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Fonts w:ascii="Arial" w:hAnsi="Arial" w:cs="Arial" w:eastAsia="Arial"/>
          <w:b/>
          <w:sz w:val="40"/>
          <w:rtl/>
        </w:rPr>
        <w:t>تقرير العمليات ربع السنوي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18"/>
          <w:rtl/>
        </w:rPr>
        <w:t>مصدر تقييم منضبط - الإصدار 1.0</w:t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sz w:val="32"/>
          <w:rtl/>
        </w:rPr>
        <w:t>السجل المعتمد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يغطي التقرير الأنشطة المنجزة خلال الربع الثاني من عام ألفين وخمسة وعشرين.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انتهت فترة التقرير في الثلاثين من يونيو عام ألفين وخمسة وعشرين.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لا تشمل هذه النسخة الأرقام الواردة بعد تاريخ الإقفال.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Arial"/>
        <w:b w:val="0"/>
        <w:sz w:val="16"/>
        <w:rtl/>
      </w:rPr>
      <w:t>ar-report-a.docx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