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cs="Arial" w:eastAsia="Arial"/>
          <w:b/>
          <w:sz w:val="40"/>
        </w:rPr>
        <w:t>Change Review Procedure</w:t>
      </w:r>
    </w:p>
    <w:p>
      <w:r>
        <w:rPr>
          <w:rFonts w:ascii="Arial" w:hAnsi="Arial" w:cs="Arial" w:eastAsia="Arial"/>
          <w:b w:val="0"/>
          <w:sz w:val="18"/>
        </w:rPr>
        <w:t>Controlled evaluation source - Version 1.0</w:t>
      </w:r>
    </w:p>
    <w:p>
      <w:pPr>
        <w:pStyle w:val="Heading1"/>
      </w:pPr>
      <w:r>
        <w:rPr>
          <w:rFonts w:ascii="Arial" w:hAnsi="Arial" w:cs="Arial" w:eastAsia="Arial"/>
          <w:b/>
          <w:sz w:val="32"/>
        </w:rPr>
        <w:t>Approved record</w:t>
      </w:r>
    </w:p>
    <w:p>
      <w:r>
        <w:rPr>
          <w:rFonts w:ascii="Arial" w:hAnsi="Arial" w:cs="Arial" w:eastAsia="Arial"/>
          <w:b w:val="0"/>
          <w:sz w:val="22"/>
        </w:rPr>
        <w:t>Each proposed process change receives a tracking number before review.</w:t>
      </w:r>
    </w:p>
    <w:p>
      <w:r>
        <w:rPr>
          <w:rFonts w:ascii="Arial" w:hAnsi="Arial" w:cs="Arial" w:eastAsia="Arial"/>
          <w:b w:val="0"/>
          <w:sz w:val="22"/>
        </w:rPr>
        <w:t>The Quality Assurance Office owns the documented review process.</w:t>
      </w:r>
    </w:p>
    <w:p>
      <w:r>
        <w:rPr>
          <w:rFonts w:ascii="Arial" w:hAnsi="Arial" w:cs="Arial" w:eastAsia="Arial"/>
          <w:b w:val="0"/>
          <w:sz w:val="22"/>
        </w:rPr>
        <w:t>Operations teams supply implementation evidence but do not own the procedure.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 w:cs="Arial" w:eastAsia="Arial"/>
        <w:b w:val="0"/>
        <w:sz w:val="16"/>
      </w:rPr>
      <w:t>en-process-a.docx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color w:val="0B254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