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Quarterly Operations Report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report covers activity completed during the second quarter of 2025.</w:t>
      </w:r>
    </w:p>
    <w:p>
      <w:r>
        <w:rPr>
          <w:rFonts w:ascii="Arial" w:hAnsi="Arial" w:cs="Arial" w:eastAsia="Arial"/>
          <w:b w:val="0"/>
          <w:sz w:val="22"/>
        </w:rPr>
        <w:t>The reporting period closed on 30 June 2025.</w:t>
      </w:r>
    </w:p>
    <w:p>
      <w:r>
        <w:rPr>
          <w:rFonts w:ascii="Arial" w:hAnsi="Arial" w:cs="Arial" w:eastAsia="Arial"/>
          <w:b w:val="0"/>
          <w:sz w:val="22"/>
        </w:rPr>
        <w:t>Figures received after the closing date are excluded from this edition.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en-report-a.docx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