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cs="Arial" w:eastAsia="Arial"/>
          <w:b/>
          <w:sz w:val="40"/>
        </w:rPr>
        <w:t>Access Review Control</w:t>
      </w:r>
    </w:p>
    <w:p>
      <w:r>
        <w:rPr>
          <w:rFonts w:ascii="Arial" w:hAnsi="Arial" w:cs="Arial" w:eastAsia="Arial"/>
          <w:b w:val="0"/>
          <w:sz w:val="18"/>
        </w:rPr>
        <w:t>Controlled evaluation source - Version 1.0</w:t>
      </w:r>
    </w:p>
    <w:p>
      <w:pPr>
        <w:pStyle w:val="Heading1"/>
      </w:pPr>
      <w:r>
        <w:rPr>
          <w:rFonts w:ascii="Arial" w:hAnsi="Arial" w:cs="Arial" w:eastAsia="Arial"/>
          <w:b/>
          <w:sz w:val="32"/>
        </w:rPr>
        <w:t>Approved record</w:t>
      </w:r>
    </w:p>
    <w:p>
      <w:r>
        <w:rPr>
          <w:rFonts w:ascii="Arial" w:hAnsi="Arial" w:cs="Arial" w:eastAsia="Arial"/>
          <w:b w:val="0"/>
          <w:sz w:val="22"/>
        </w:rPr>
        <w:t>The control requires a quarterly review of privileged access.</w:t>
      </w:r>
    </w:p>
    <w:p>
      <w:r>
        <w:rPr>
          <w:rFonts w:ascii="Arial" w:hAnsi="Arial" w:cs="Arial" w:eastAsia="Arial"/>
          <w:b w:val="0"/>
          <w:sz w:val="22"/>
        </w:rPr>
        <w:t>Control owners retain the signed review log for audit.</w:t>
      </w:r>
    </w:p>
    <w:p>
      <w:r>
        <w:rPr>
          <w:rFonts w:ascii="Arial" w:hAnsi="Arial" w:cs="Arial" w:eastAsia="Arial"/>
          <w:b w:val="0"/>
          <w:sz w:val="22"/>
        </w:rPr>
        <w:t>Procurement cost is outside the scope of this control description.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cs="Arial" w:eastAsia="Arial"/>
        <w:b w:val="0"/>
        <w:sz w:val="16"/>
      </w:rPr>
      <w:t>en-security-b.docx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0B254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