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cs="Arial" w:eastAsia="Arial"/>
          <w:b/>
          <w:sz w:val="40"/>
        </w:rPr>
        <w:t>Incident Response Charter - Governance</w:t>
      </w:r>
    </w:p>
    <w:p>
      <w:r>
        <w:rPr>
          <w:rFonts w:ascii="Arial" w:hAnsi="Arial" w:cs="Arial" w:eastAsia="Arial"/>
          <w:b w:val="0"/>
          <w:sz w:val="18"/>
        </w:rPr>
        <w:t>Controlled evaluation source - Version 1.0</w:t>
      </w:r>
    </w:p>
    <w:p>
      <w:pPr>
        <w:pStyle w:val="Heading1"/>
      </w:pPr>
      <w:r>
        <w:rPr>
          <w:rFonts w:ascii="Arial" w:hAnsi="Arial" w:cs="Arial" w:eastAsia="Arial"/>
          <w:b/>
          <w:sz w:val="32"/>
        </w:rPr>
        <w:t>Approved record</w:t>
      </w:r>
    </w:p>
    <w:p>
      <w:r>
        <w:rPr>
          <w:rFonts w:ascii="Arial" w:hAnsi="Arial" w:cs="Arial" w:eastAsia="Arial"/>
          <w:b w:val="0"/>
          <w:sz w:val="22"/>
        </w:rPr>
        <w:t>The Technology Resilience team owns incident response.</w:t>
      </w:r>
    </w:p>
    <w:p>
      <w:r>
        <w:rPr>
          <w:rFonts w:ascii="Arial" w:hAnsi="Arial" w:cs="Arial" w:eastAsia="Arial"/>
          <w:b w:val="0"/>
          <w:sz w:val="22"/>
        </w:rPr>
        <w:t>This independently issued governance record is marked as current.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 w:cs="Arial" w:eastAsia="Arial"/>
        <w:b w:val="0"/>
        <w:sz w:val="16"/>
      </w:rPr>
      <w:t>en-conflict-owner.docx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