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cs="Arial" w:eastAsia="Arial"/>
          <w:b/>
          <w:sz w:val="40"/>
        </w:rPr>
        <w:t>Sampling Method Note - Governance</w:t>
      </w:r>
    </w:p>
    <w:p>
      <w:r>
        <w:rPr>
          <w:rFonts w:ascii="Arial" w:hAnsi="Arial" w:cs="Arial" w:eastAsia="Arial"/>
          <w:b w:val="0"/>
          <w:sz w:val="18"/>
        </w:rPr>
        <w:t>Controlled evaluation source - Version 1.0</w:t>
      </w:r>
    </w:p>
    <w:p>
      <w:pPr>
        <w:pStyle w:val="Heading1"/>
      </w:pPr>
      <w:r>
        <w:rPr>
          <w:rFonts w:ascii="Arial" w:hAnsi="Arial" w:cs="Arial" w:eastAsia="Arial"/>
          <w:b/>
          <w:sz w:val="32"/>
        </w:rPr>
        <w:t>Approved record</w:t>
      </w:r>
    </w:p>
    <w:p>
      <w:r>
        <w:rPr>
          <w:rFonts w:ascii="Arial" w:hAnsi="Arial" w:cs="Arial" w:eastAsia="Arial"/>
          <w:b w:val="0"/>
          <w:sz w:val="22"/>
        </w:rPr>
        <w:t>The reported sample contains 512 completed observations.</w:t>
      </w:r>
    </w:p>
    <w:p>
      <w:r>
        <w:rPr>
          <w:rFonts w:ascii="Arial" w:hAnsi="Arial" w:cs="Arial" w:eastAsia="Arial"/>
          <w:b w:val="0"/>
          <w:sz w:val="22"/>
        </w:rPr>
        <w:t>This independently issued governance record is marked as current.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cs="Arial" w:eastAsia="Arial"/>
        <w:b w:val="0"/>
        <w:sz w:val="16"/>
      </w:rPr>
      <w:t>en-conflict-sample.docx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