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eastAsia="Arial"/>
          <w:b/>
          <w:sz w:val="40"/>
        </w:rPr>
        <w:t>Records Terminology Register</w:t>
      </w:r>
    </w:p>
    <w:p>
      <w:r>
        <w:rPr>
          <w:rFonts w:ascii="Arial" w:hAnsi="Arial" w:cs="Arial" w:eastAsia="Arial"/>
          <w:b w:val="0"/>
          <w:sz w:val="18"/>
        </w:rPr>
        <w:t>Controlled evaluation source - Version 1.0</w:t>
      </w:r>
    </w:p>
    <w:p>
      <w:pPr>
        <w:pStyle w:val="Heading1"/>
      </w:pPr>
      <w:r>
        <w:rPr>
          <w:rFonts w:ascii="Arial" w:hAnsi="Arial" w:cs="Arial" w:eastAsia="Arial"/>
          <w:b/>
          <w:sz w:val="32"/>
        </w:rPr>
        <w:t>Terminology bridge</w:t>
      </w:r>
    </w:p>
    <w:p>
      <w:r>
        <w:rPr>
          <w:rFonts w:ascii="Arial" w:hAnsi="Arial" w:cs="Arial" w:eastAsia="Arial"/>
          <w:b w:val="0"/>
          <w:sz w:val="22"/>
        </w:rPr>
        <w:t>The former term Blue Ledger now refers to the Case Register.</w:t>
      </w:r>
    </w:p>
    <w:p>
      <w:pPr>
        <w:pStyle w:val="Heading1"/>
      </w:pPr>
      <w:r>
        <w:rPr>
          <w:rFonts w:ascii="Arial" w:hAnsi="Arial" w:cs="Arial" w:eastAsia="Arial"/>
          <w:b/>
          <w:sz w:val="32"/>
        </w:rPr>
        <w:t>Context - Intake</w:t>
      </w:r>
    </w:p>
    <w:p>
      <w:r>
        <w:rPr>
          <w:rFonts w:ascii="Arial" w:hAnsi="Arial" w:cs="Arial" w:eastAsia="Arial"/>
          <w:b w:val="0"/>
          <w:sz w:val="22"/>
        </w:rPr>
        <w:t xml:space="preserve">This intake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intake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intake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Archive</w:t>
      </w:r>
    </w:p>
    <w:p>
      <w:r>
        <w:rPr>
          <w:rFonts w:ascii="Arial" w:hAnsi="Arial" w:cs="Arial" w:eastAsia="Arial"/>
          <w:b w:val="0"/>
          <w:sz w:val="22"/>
        </w:rPr>
        <w:t xml:space="preserve">This archive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archive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archive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Scheduling</w:t>
      </w:r>
    </w:p>
    <w:p>
      <w:r>
        <w:rPr>
          <w:rFonts w:ascii="Arial" w:hAnsi="Arial" w:cs="Arial" w:eastAsia="Arial"/>
          <w:b w:val="0"/>
          <w:sz w:val="22"/>
        </w:rPr>
        <w:t xml:space="preserve">This scheduling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scheduling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scheduling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Facilities</w:t>
      </w:r>
    </w:p>
    <w:p>
      <w:r>
        <w:rPr>
          <w:rFonts w:ascii="Arial" w:hAnsi="Arial" w:cs="Arial" w:eastAsia="Arial"/>
          <w:b w:val="0"/>
          <w:sz w:val="22"/>
        </w:rPr>
        <w:t xml:space="preserve">This facilities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facilities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facilities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Training</w:t>
      </w:r>
    </w:p>
    <w:p>
      <w:r>
        <w:rPr>
          <w:rFonts w:ascii="Arial" w:hAnsi="Arial" w:cs="Arial" w:eastAsia="Arial"/>
          <w:b w:val="0"/>
          <w:sz w:val="22"/>
        </w:rPr>
        <w:t xml:space="preserve">This training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training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training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Budget</w:t>
      </w:r>
    </w:p>
    <w:p>
      <w:r>
        <w:rPr>
          <w:rFonts w:ascii="Arial" w:hAnsi="Arial" w:cs="Arial" w:eastAsia="Arial"/>
          <w:b w:val="0"/>
          <w:sz w:val="22"/>
        </w:rPr>
        <w:t xml:space="preserve">This budget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budget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budget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Inventory</w:t>
      </w:r>
    </w:p>
    <w:p>
      <w:r>
        <w:rPr>
          <w:rFonts w:ascii="Arial" w:hAnsi="Arial" w:cs="Arial" w:eastAsia="Arial"/>
          <w:b w:val="0"/>
          <w:sz w:val="22"/>
        </w:rPr>
        <w:t xml:space="preserve">This inventory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inventory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inventory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Communications</w:t>
      </w:r>
    </w:p>
    <w:p>
      <w:r>
        <w:rPr>
          <w:rFonts w:ascii="Arial" w:hAnsi="Arial" w:cs="Arial" w:eastAsia="Arial"/>
          <w:b w:val="0"/>
          <w:sz w:val="22"/>
        </w:rPr>
        <w:t xml:space="preserve">This communications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communications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communications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Travel</w:t>
      </w:r>
    </w:p>
    <w:p>
      <w:r>
        <w:rPr>
          <w:rFonts w:ascii="Arial" w:hAnsi="Arial" w:cs="Arial" w:eastAsia="Arial"/>
          <w:b w:val="0"/>
          <w:sz w:val="22"/>
        </w:rPr>
        <w:t xml:space="preserve">This travel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travel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travel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Meetings</w:t>
      </w:r>
    </w:p>
    <w:p>
      <w:r>
        <w:rPr>
          <w:rFonts w:ascii="Arial" w:hAnsi="Arial" w:cs="Arial" w:eastAsia="Arial"/>
          <w:b w:val="0"/>
          <w:sz w:val="22"/>
        </w:rPr>
        <w:t xml:space="preserve">This meetings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meetings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meetings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Quality</w:t>
      </w:r>
    </w:p>
    <w:p>
      <w:r>
        <w:rPr>
          <w:rFonts w:ascii="Arial" w:hAnsi="Arial" w:cs="Arial" w:eastAsia="Arial"/>
          <w:b w:val="0"/>
          <w:sz w:val="22"/>
        </w:rPr>
        <w:t xml:space="preserve">This quality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quality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quality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Support</w:t>
      </w:r>
    </w:p>
    <w:p>
      <w:r>
        <w:rPr>
          <w:rFonts w:ascii="Arial" w:hAnsi="Arial" w:cs="Arial" w:eastAsia="Arial"/>
          <w:b w:val="0"/>
          <w:sz w:val="22"/>
        </w:rPr>
        <w:t xml:space="preserve">This support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support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support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Reporting</w:t>
      </w:r>
    </w:p>
    <w:p>
      <w:r>
        <w:rPr>
          <w:rFonts w:ascii="Arial" w:hAnsi="Arial" w:cs="Arial" w:eastAsia="Arial"/>
          <w:b w:val="0"/>
          <w:sz w:val="22"/>
        </w:rPr>
        <w:t xml:space="preserve">This reporting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reporting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reporting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Planning</w:t>
      </w:r>
    </w:p>
    <w:p>
      <w:r>
        <w:rPr>
          <w:rFonts w:ascii="Arial" w:hAnsi="Arial" w:cs="Arial" w:eastAsia="Arial"/>
          <w:b w:val="0"/>
          <w:sz w:val="22"/>
        </w:rPr>
        <w:t xml:space="preserve">This planning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planning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planning context note uses the phrases older term, record name, and current description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Approved record</w:t>
      </w:r>
    </w:p>
    <w:p>
      <w:r>
        <w:rPr>
          <w:rFonts w:ascii="Arial" w:hAnsi="Arial" w:cs="Arial" w:eastAsia="Arial"/>
          <w:b w:val="0"/>
          <w:sz w:val="22"/>
        </w:rPr>
        <w:t>The Case Register is the current controlled record for open service cases.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s="Arial" w:eastAsia="Arial"/>
        <w:b w:val="0"/>
        <w:sz w:val="16"/>
      </w:rPr>
      <w:t>en-glossary-a.docx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