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  <w:rtl/>
        </w:rPr>
        <w:t xml:space="preserve">CompactShakkil — تقرير النتائج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color w:val="2E74B5"/>
          <w:sz w:val="26"/>
          <w:szCs w:val="26"/>
          <w:rtl/>
        </w:rPr>
        <w:t xml:space="preserve">سقفُ حركة الآخِر في التشكيل، وخريطةُ الرافعات الثلاث</w:t>
      </w:r>
    </w:p>
    <w:p>
      <w:pPr>
        <w:bidi/>
        <w:spacing w:after="200"/>
        <w:jc w:val="center"/>
      </w:pPr>
      <w:r>
        <w:rPr>
          <w:rFonts w:ascii="Arial" w:cs="Arial" w:eastAsia="Arial" w:hAnsi="Arial"/>
          <w:color w:val="595959"/>
          <w:sz w:val="18"/>
          <w:szCs w:val="18"/>
          <w:rtl/>
        </w:rPr>
        <w:t xml:space="preserve">نموذجٌ مُدمَج للتشكيل العربيّ — ‏2026/07/30</w:t>
      </w:r>
    </w:p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rtl/>
        </w:rPr>
        <w:t xml:space="preserve">الملخّص التنفيذيّ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النظام المعتمد يجمع نموذجًا عصبيًّا مُدمَجًا (V3-unified، ‏3.37 مليون معامل) مع استردادٍ موقّرٍ للقرآن. القرآن يبلغ دقّةً كاملةً (100%) بالاسترداد الحرفيّ من المصحف، والنصّ العامّ يبلغ خطأ تشكيلٍ (DER) نحو 2.05% بنموذجٍ جيّد المعايرة يُحيل 5% فقط للمراجعة البشريّة.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التشخيص العميق أثبت أنّ الخطأ المتبقّي يتركّز في حركة الآخِر (الإعراب)، وأنّه مشكلةُ معلومةٍ لا غموضٍ ولا سعة: معرفةُ الحالة الإعرابيّة الصحيحة تخفض خطأ الإعراب بمقدار 72%. لكنّ تلك المعرفة غير قابلة للاستخلاص من النصّ المجرّد، ولا تُقطَف بتكبير السعة ضمن ميزانيّةٍ عمليّة. فالنموذج المُدمَج عند ~2% نقطةُ تشغيلٍ قويّةٌ ومُثلى عمليًّا.</w:t>
      </w:r>
    </w:p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rtl/>
        </w:rPr>
        <w:t xml:space="preserve">1) النسخة المعتمدة: CompactShakkil V3-unified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مُشفّر Transformer حرفيّ ثنائيّ الاتّجاه (pre-norm، تنشيط GELU)، يعمل في المجالين (العامّ والقرآنيّ) بنموذجٍ واحد.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الخاصّيّة</w:t>
            </w:r>
          </w:p>
        </w:tc>
        <w:tc>
          <w:tcPr>
            <w:tcW w:type="dxa" w:w="6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القيمة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البنية</w:t>
            </w:r>
          </w:p>
        </w:tc>
        <w:tc>
          <w:tcPr>
            <w:tcW w:type="dxa" w:w="6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Transformer Encoder حرفيّ (norm_first، GELU)</w:t>
            </w:r>
          </w:p>
        </w:tc>
      </w:tr>
      <w:tr>
        <w:tc>
          <w:tcPr>
            <w:tcW w:type="dxa" w:w="30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الأبعاد</w:t>
            </w:r>
          </w:p>
        </w:tc>
        <w:tc>
          <w:tcPr>
            <w:tcW w:type="dxa" w:w="62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d_model=256 · nhead=8 · طبقات=4 · ff=1024 · max_pos=512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المفردات</w:t>
            </w:r>
          </w:p>
        </w:tc>
        <w:tc>
          <w:tcPr>
            <w:tcW w:type="dxa" w:w="6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vocab_v2 — 47 حرفًا، 15 فئة حركة</w:t>
            </w:r>
          </w:p>
        </w:tc>
      </w:tr>
      <w:tr>
        <w:tc>
          <w:tcPr>
            <w:tcW w:type="dxa" w:w="30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الحجم</w:t>
            </w:r>
          </w:p>
        </w:tc>
        <w:tc>
          <w:tcPr>
            <w:tcW w:type="dxa" w:w="62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3,371,791 معاملًا (~3.37M) — مُدمَج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التدريب</w:t>
            </w:r>
          </w:p>
        </w:tc>
        <w:tc>
          <w:tcPr>
            <w:tcW w:type="dxa" w:w="6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صقلٌ من V3 على مزيجٍ موحّد: العامّ النظيف (حدّ 700 ألف) + القرآن ×8</w:t>
            </w:r>
          </w:p>
        </w:tc>
      </w:tr>
      <w:tr>
        <w:tc>
          <w:tcPr>
            <w:tcW w:type="dxa" w:w="30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الضبط</w:t>
            </w:r>
          </w:p>
        </w:tc>
        <w:tc>
          <w:tcPr>
            <w:tcW w:type="dxa" w:w="62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lr=4e-5 · label_smoothing=0 · 10000 خطوة · val_acc=0.9928</w:t>
            </w:r>
          </w:p>
        </w:tc>
      </w:tr>
    </w:tbl>
    <w:p>
      <w:pPr>
        <w:bidi/>
        <w:spacing w:after="120" w:before="6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  <w:rtl/>
        </w:rPr>
        <w:t xml:space="preserve">إزالة label_smoothing مقصودة: ترفع تمييز الثقة وتُحسّن المعايرة الذاتيّة دون خسارة دقّة، فيصير قرار «المؤكّد يُعتمد، المشكوك يُراجع» موثوقًا.</w:t>
      </w:r>
    </w:p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rtl/>
        </w:rPr>
        <w:t xml:space="preserve">2) الأداء المُتحقَّق (500 آية + 1000 جملة)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500"/>
      </w:tblGrid>
      <w:t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المجال</w:t>
            </w:r>
          </w:p>
        </w:tc>
        <w:tc>
          <w:tcPr>
            <w:tcW w:type="dxa" w:w="3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الآليّة</w:t>
            </w:r>
          </w:p>
        </w:tc>
        <w:tc>
          <w:tcPr>
            <w:tcW w:type="dxa" w:w="3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النتيجة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القرآن — 500 آية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استرداد موقّر من المصحف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تغطية 500/500 = 100% · دقّة 100% (خطأ صفر)</w:t>
            </w:r>
          </w:p>
        </w:tc>
      </w:tr>
      <w:tr>
        <w:tc>
          <w:tcPr>
            <w:tcW w:type="dxa" w:w="26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العامّ — 1000 جملة</w:t>
            </w:r>
          </w:p>
        </w:tc>
        <w:tc>
          <w:tcPr>
            <w:tcW w:type="dxa" w:w="31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V3-unified العصبيّ</w:t>
            </w:r>
          </w:p>
        </w:tc>
        <w:tc>
          <w:tcPr>
            <w:tcW w:type="dxa" w:w="35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DER = 2.05% · حركة الآخِر = 2.94%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المعايرة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ثقة softmax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متوسّط الثقة 98.3% · للمراجعة 4.9% فقط</w:t>
            </w:r>
          </w:p>
        </w:tc>
      </w:tr>
    </w:tbl>
    <w:p>
      <w:pPr>
        <w:bidi/>
        <w:spacing w:after="120" w:before="6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  <w:rtl/>
        </w:rPr>
        <w:t xml:space="preserve">النتيجة مستقرّةٌ وقابلة للتكرار: قياس العامّ 2.05% مطابقٌ لكلّ القياسات السابقة (300/500/600/1000). الاسترداد يُعيد النصّ الأصليّ للقرآن، فلا آيةَ واحدةً تُترَك لتنبّؤٍ عصبيّ.</w:t>
      </w:r>
    </w:p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rtl/>
        </w:rPr>
        <w:t xml:space="preserve">3) التشخيص: أين يقع الخطأ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فصلُ الخطأ إلى «بنيةٍ داخليّة» (صرف) و«حركة آخِر» (إعراب) كشف أنّ الإعراب هو عنق الزجاجة:</w:t>
      </w:r>
    </w:p>
    <w:tbl>
      <w:tblPr>
        <w:bidiVisual/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4000"/>
      </w:tblGrid>
      <w:tr>
        <w:tc>
          <w:tcPr>
            <w:tcW w:type="dxa" w:w="3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المكوّن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خطأ (DER)</w:t>
            </w:r>
          </w:p>
        </w:tc>
        <w:tc>
          <w:tcPr>
            <w:tcW w:type="dxa" w:w="4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ملاحظة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البنية الداخليّة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1.72%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أنماطٌ إحصائيّة يتقنها النموذج</w:t>
            </w:r>
          </w:p>
        </w:tc>
      </w:tr>
      <w:tr>
        <w:tc>
          <w:tcPr>
            <w:tcW w:type="dxa" w:w="34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حركة الآخِر (الإعراب)</w:t>
            </w:r>
          </w:p>
        </w:tc>
        <w:tc>
          <w:tcPr>
            <w:tcW w:type="dxa" w:w="24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3.01%</w:t>
            </w:r>
          </w:p>
        </w:tc>
        <w:tc>
          <w:tcPr>
            <w:tcW w:type="dxa" w:w="40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ضِعف البنية تقريبًا — عنق الزجاجة</w:t>
            </w:r>
          </w:p>
        </w:tc>
      </w:tr>
    </w:tbl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قرينتان حاسمتان: (أ) 82% من الأخطاء «ثقتها منخفضة» — النموذج يُشير إلى عدم يقينه. (ب) 84% من أخطاء حركة الآخِر «عائلة خاطئة» (يختار الحالة الخطأ أصلًا: نصب مكان رفع…)، لا مجرّد تنوينٍ أو شدّةٍ خطأ. ودقّةُ الأساس في عائلة الحالة عند نهاية الكلمة = 97.45%.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  <w:rtl/>
        </w:rPr>
        <w:t xml:space="preserve">مقارنةٌ مفتاحيّة: نفس النموذج يبلغ في حركة آخِر القرآن 99.62% وفي العامّ 97.02% — الفارق سببه انفتاحُ النصّ لا صِغَر النموذج؛ فكلّما انغلق المجال وتكرّر تلاشى سقفُ الإعراب.</w:t>
      </w:r>
    </w:p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rtl/>
        </w:rPr>
        <w:t xml:space="preserve">4) خريطة الرافعات الثلاث لحركة الآخِر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/>
        </w:rPr>
        <w:t xml:space="preserve">الرافعة 1 — معرفة الحالة الذهبيّة (أوراكل): تنفع بقوّة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بحقن عائلة الحالة الصحيحة (مرفوع/منصوب/مجرور) المشتقّة من التشكيل الذهبيّ، وبتدريبٍ من الصفر يتكيّف فيه المساران معًا (ميزانيّةٌ متساوية):</w:t>
      </w:r>
    </w:p>
    <w:tbl>
      <w:tblPr>
        <w:bidiVisual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200"/>
        <w:gridCol w:w="1800"/>
      </w:tblGrid>
      <w:t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الضابط (بلا ميزة)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بالأوراكل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الأثر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البنية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8.35%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8.15%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≈ لا شيء</w:t>
            </w:r>
          </w:p>
        </w:tc>
      </w:tr>
      <w:tr>
        <w:tc>
          <w:tcPr>
            <w:tcW w:type="dxa" w:w="26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حركة الآخِر</w:t>
            </w:r>
          </w:p>
        </w:tc>
        <w:tc>
          <w:tcPr>
            <w:tcW w:type="dxa" w:w="28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12.26%</w:t>
            </w:r>
          </w:p>
        </w:tc>
        <w:tc>
          <w:tcPr>
            <w:tcW w:type="dxa" w:w="22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3.41%</w:t>
            </w:r>
          </w:p>
        </w:tc>
        <w:tc>
          <w:tcPr>
            <w:tcW w:type="dxa" w:w="18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‏−72%</w:t>
            </w:r>
          </w:p>
        </w:tc>
      </w:tr>
    </w:tbl>
    <w:p>
      <w:pPr>
        <w:bidi/>
        <w:spacing w:after="12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وبالتدريب الكامل تهبط حركة الآخِر مع الأوراكل إلى 1.92%، مقتربةً من الأرضيّة. الاستنتاج: عنق الإعراب مشكلةُ معلومةٍ قابلةٍ للحسم، لا غموضٌ. لكنّه أوراكلٌ ذهبيّ غير قابلٍ للنشر مباشرةً.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/>
        </w:rPr>
        <w:t xml:space="preserve">الرافعة 2 — استخلاص الحالة من المُدخَل: فشل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جُرّبت ثلاث طرقٍ لإنتاج إشارة الحالة من النصّ المجرّد، وفشلت جميعًا لأنّ المُدخَل نفسه لا يحمل معلومةً تفوق ما يستخرجه الأساس: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المحاولة</w:t>
            </w:r>
          </w:p>
        </w:tc>
        <w:tc>
          <w:tcPr>
            <w:tcW w:type="dxa" w:w="6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النتيجة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وسم POS مدموج (CAMeL)</w:t>
            </w:r>
          </w:p>
        </w:tc>
        <w:tc>
          <w:tcPr>
            <w:tcW w:type="dxa" w:w="6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لا تغيير — POS إشارةٌ زائدة على نموذجٍ سياقيّ</w:t>
            </w:r>
          </w:p>
        </w:tc>
      </w:tr>
      <w:tr>
        <w:tc>
          <w:tcPr>
            <w:tcW w:type="dxa" w:w="32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حقل الحالة cas (CAMeL)</w:t>
            </w:r>
          </w:p>
        </w:tc>
        <w:tc>
          <w:tcPr>
            <w:tcW w:type="dxa" w:w="60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76% غير محدّد؛ ودقّة تنبّؤه: مرفوع 23.8% · منصوب 26.9% · مجرور 54.3%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مُصنِّف حالةٍ متخصّص</w:t>
            </w:r>
          </w:p>
        </w:tc>
        <w:tc>
          <w:tcPr>
            <w:tcW w:type="dxa" w:w="6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دقّة العائلة 94.01% — أدنى من حاجز الأساس 97.45%</w:t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/>
        </w:rPr>
        <w:t xml:space="preserve">الرافعة 3 — تكبير السعة: عائدٌ متناقص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بميزانيّةٍ متساوية (من الصفر، 400 ألف جملة، 12000 خطوة)، مضاعفةُ السعة 3.3 أضعاف (256×4 ← 384×6) حسّنت كلّ المحاور:</w:t>
      </w:r>
    </w:p>
    <w:tbl>
      <w:tblPr>
        <w:bidiVisual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1600"/>
      </w:tblGrid>
      <w:t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(ميزانيّة متساوية)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الضابط 256×4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الكبير 384×6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الأثر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DER كلّيّ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5.21%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3.85%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‏−26%</w:t>
            </w:r>
          </w:p>
        </w:tc>
      </w:tr>
      <w:tr>
        <w:tc>
          <w:tcPr>
            <w:tcW w:type="dxa" w:w="26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حركة الآخِر</w:t>
            </w:r>
          </w:p>
        </w:tc>
        <w:tc>
          <w:tcPr>
            <w:tcW w:type="dxa" w:w="26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7.21%</w:t>
            </w:r>
          </w:p>
        </w:tc>
        <w:tc>
          <w:tcPr>
            <w:tcW w:type="dxa" w:w="26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5.60%</w:t>
            </w:r>
          </w:p>
        </w:tc>
        <w:tc>
          <w:tcPr>
            <w:tcW w:type="dxa" w:w="16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‏−22%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دقّة العائلة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94.03%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95.36%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‏+1.33</w:t>
            </w:r>
          </w:p>
        </w:tc>
      </w:tr>
    </w:tbl>
    <w:p>
      <w:pPr>
        <w:bidi/>
        <w:spacing w:after="12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لكن على البيانات الكاملة (الكبير ~11M، 40 ألف خطوة من الصفر): DER=2.39% وحركة الآخِر=3.45% — أسوأ قليلًا من الأساس (2.05% / 3.01%). فالكبير ناقصُ التدريب نسبةً إلى تدريب الأساس متعدّد المراحل. الخلاصة: مضاعفةُ السعة بميزانيّةٍ عمليّة لا تتجاوز النموذج المُدمَج المُتقَن، وتكسر «المُدمَج».</w:t>
      </w:r>
    </w:p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rtl/>
        </w:rPr>
        <w:t xml:space="preserve">5) نتائج سلبيّة موثّقة (قيمتها بحثيّة)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التنظيف الاصطلاحيّ (توحيد همزة إلى/إذا/إذ ولام «ال» القمريّة): يمسّ ~0.22% من التسميات، وأثرُه على DER ≈ صفر — لأنّ النموذج «تعلّم» اصطلاح البيانات (الأغلبيّة العارية) فطابقه. قيمته صحّةٌ إملائيّة لا دقّة.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الألف الخنجريّة كفئةٍ عصبيّة، وكسرُ همزة الوصل، وقواعد الجرّ الموضعيّة: جميعها «تحارب البيانات» وأضرّت أو لم تنفع — والقرآن يعالج الخنجريّة بالاسترداد.</w:t>
      </w:r>
    </w:p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rtl/>
        </w:rPr>
        <w:t xml:space="preserve">6) الخلاصة والتوصية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اكتملت المفترقات الثلاثة بالدليل: الحالة الذهبيّة تنفع (−72%) لكنّها غير قابلة للنشر؛ استخلاصُ الحالة من المُدخَل فاشل؛ والسعة عائدٌ متناقصٌ يكسر المُدمَج. لذا يُعتمد النموذج المُدمَج V3-unified عند ~2% نقطةَ تشغيلٍ مُثلى عمليًّا، مع الاسترداد الموقّر للقرآن (100%).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الرافعة الوحيدة الحقيقيّة لتجاوز ذلك هي معرفةٌ نحويّةٌ خارجيّةٌ موثوقة (مُحلِّل إعرابٍ أو نموذجٌ لغويٌّ مُدرَّبٌ مسبقًا رأى نصوصًا أوسع بمراتب) — وهي خارج نطاق نموذجٍ حرفيٍّ مُدمَجٍ قائمٍ بذاته، وتمثّل اتّجاه العمل المستقبليّ.</w:t>
      </w:r>
    </w:p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rtl/>
        </w:rPr>
        <w:t xml:space="preserve">7) المنهجيّة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كلّ التقييمات السحابيّة أُجريت بمُحمِّلٍ ومرورٍ أماميٍّ مكتوبين بـ numpy فقط (لتعذّر torch في البيئة)، مُتحقَّقٍ منهما مقابل أرقام torch الأصليّة. الاسترداد الموقّر يُطبّع النصّ (تجريد التشكيل + توحيد الهمزات والألف المقصورة والتاء المربوطة + إزالة رموز المصحف) ثمّ يُطابقه بفهرس المصحف بمستويات (آية تامّة/مضمّنة/مقطع/مقطع مُتّفق التشكيل)، فيُعيد النصّ الأصليّ الموثوق — خطأ صفر على ما يُطابِق.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  <w:rtl/>
        </w:rPr>
        <w:t xml:space="preserve">جميع الأرقام في هذا التقرير قابلةٌ للتكرار على مجموعة الاختبار نفسها ببذور عشوائيّة مثبّتة.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2026-07-30T11:41:52.886Z</dcterms:created>
  <dcterms:modified xsi:type="dcterms:W3CDTF">2026-07-30T11:41:52.911Z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