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56"/>
                <w:szCs w:val="56"/>
              </w:rPr>
              <w:br/>
              <w:t xml:space="preserve">SERVIXO PLATFORM</w:t>
            </w:r>
            <w:r>
              <w:rPr>
                <w:sz w:val="24"/>
                <w:szCs w:val="24"/>
              </w:rPr>
              <w:t xml:space="preserve">
</w:t>
            </w:r>
            <w:r>
              <w:rPr>
                <w:rFonts w:ascii="Arial" w:cs="Arial" w:eastAsia="Arial" w:hAnsi="Arial"/>
                <w:b/>
                <w:bCs/>
                <w:color w:val="C8A135"/>
                <w:sz w:val="32"/>
                <w:szCs w:val="32"/>
              </w:rPr>
              <w:t xml:space="preserve">COMPREHENSIVE FEASIBILITY STUDY</w:t>
            </w:r>
            <w:r>
              <w:rPr>
                <w:sz w:val="24"/>
                <w:szCs w:val="24"/>
              </w:rPr>
              <w:t xml:space="preserve">
</w:t>
            </w:r>
            <w:r>
              <w:rPr>
                <w:rFonts w:ascii="Arial" w:cs="Arial" w:eastAsia="Arial" w:hAnsi="Arial"/>
                <w:color w:val="D6E4F0"/>
                <w:sz w:val="24"/>
                <w:szCs w:val="24"/>
              </w:rPr>
              <w:t xml:space="preserve">Economic  •  Technical  •  Operational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Prepared For</w:t>
            </w:r>
          </w:p>
        </w:tc>
        <w:tc>
          <w:tcPr>
            <w:tcW w:type="dxa" w:w="70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Servixo Management &amp; Stakeholders</w:t>
            </w:r>
          </w:p>
        </w:tc>
      </w:tr>
      <w:tr>
        <w:tc>
          <w:tcPr>
            <w:tcW w:type="dxa" w:w="234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Market</w:t>
            </w:r>
          </w:p>
        </w:tc>
        <w:tc>
          <w:tcPr>
            <w:tcW w:type="dxa" w:w="70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Kingdom of Saudi Arabia</w:t>
            </w:r>
          </w:p>
        </w:tc>
      </w:tr>
      <w:tr>
        <w:tc>
          <w:tcPr>
            <w:tcW w:type="dxa" w:w="234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Version</w:t>
            </w:r>
          </w:p>
        </w:tc>
        <w:tc>
          <w:tcPr>
            <w:tcW w:type="dxa" w:w="70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2.0 — Extended Edition (Economic + Technical + Operational)</w:t>
            </w:r>
          </w:p>
        </w:tc>
      </w:tr>
      <w:tr>
        <w:tc>
          <w:tcPr>
            <w:tcW w:type="dxa" w:w="234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Date</w:t>
            </w:r>
          </w:p>
        </w:tc>
        <w:tc>
          <w:tcPr>
            <w:tcW w:type="dxa" w:w="70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2025</w:t>
            </w:r>
          </w:p>
        </w:tc>
      </w:tr>
      <w:tr>
        <w:tc>
          <w:tcPr>
            <w:tcW w:type="dxa" w:w="234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Classification</w:t>
            </w:r>
          </w:p>
        </w:tc>
        <w:tc>
          <w:tcPr>
            <w:tcW w:type="dxa" w:w="70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3A6B"/>
                <w:sz w:val="20"/>
                <w:szCs w:val="20"/>
              </w:rPr>
              <w:t xml:space="preserve">Confidential — Internal Use Only</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left"/>
            </w:pPr>
            <w:r>
              <w:rPr>
                <w:rFonts w:ascii="Arial" w:cs="Arial" w:eastAsia="Arial" w:hAnsi="Arial"/>
                <w:b/>
                <w:bCs/>
                <w:color w:val="C8A135"/>
                <w:sz w:val="26"/>
                <w:szCs w:val="26"/>
              </w:rPr>
              <w:t xml:space="preserve">SECTION 1  </w:t>
            </w:r>
            <w:r>
              <w:rPr>
                <w:rFonts w:ascii="Arial" w:cs="Arial" w:eastAsia="Arial" w:hAnsi="Arial"/>
                <w:b/>
                <w:bCs/>
                <w:color w:val="FFFFFF"/>
                <w:sz w:val="26"/>
                <w:szCs w:val="26"/>
              </w:rPr>
              <w:t xml:space="preserve">EXECUTIVE SUMMARY</w:t>
            </w:r>
          </w:p>
        </w:tc>
      </w:tr>
    </w:tbl>
    <w:p>
      <w:pPr>
        <w:spacing w:after="0" w:before="120"/>
      </w:pPr>
    </w:p>
    <w:p>
      <w:pPr>
        <w:spacing w:after="80" w:before="80"/>
      </w:pPr>
      <w:r>
        <w:rPr>
          <w:rFonts w:ascii="Arial" w:cs="Arial" w:eastAsia="Arial" w:hAnsi="Arial"/>
          <w:color w:val="1A1A2E"/>
          <w:sz w:val="20"/>
          <w:szCs w:val="20"/>
        </w:rPr>
        <w:t xml:space="preserve">This Feasibility Study evaluates the viability of the Servixo on-demand home-services platform across three critical dimensions: Economic, Technical, and Operational feasibility. Servixo connects Saudi households with vetted professional technicians (plumbers, electricians, AC engineers, and general maintenance specialists) through a mobile-first digital marketplace.</w:t>
      </w:r>
    </w:p>
    <w:p>
      <w:pPr>
        <w:spacing w:after="0" w:before="80"/>
      </w:pPr>
    </w:p>
    <w:p>
      <w:pPr>
        <w:spacing w:after="80" w:before="80"/>
      </w:pPr>
      <w:r>
        <w:rPr>
          <w:rFonts w:ascii="Arial" w:cs="Arial" w:eastAsia="Arial" w:hAnsi="Arial"/>
          <w:color w:val="1A1A2E"/>
          <w:sz w:val="20"/>
          <w:szCs w:val="20"/>
        </w:rPr>
        <w:t xml:space="preserve">The platform targets the rapidly growing Saudi home-services market, estimated at SAR 12.4 billion in 2024 and projected to reach SAR 22.1 billion by 2028, driven by Vision 2030 urbanisation goals, rising disposable incomes, and strong smartphone penetration (97 %).</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3000"/>
        <w:gridCol w:w="1800"/>
      </w:tblGrid>
      <w:tr>
        <w:trPr>
          <w:tblHeader/>
        </w:trPr>
        <w:tc>
          <w:tcPr>
            <w:tcW w:type="dxa" w:w="28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Feasibility Dimension</w:t>
            </w:r>
          </w:p>
        </w:tc>
        <w:tc>
          <w:tcPr>
            <w:tcW w:type="dxa" w:w="17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Overall Score</w:t>
            </w:r>
          </w:p>
        </w:tc>
        <w:tc>
          <w:tcPr>
            <w:tcW w:type="dxa" w:w="30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Key Finding</w:t>
            </w:r>
          </w:p>
        </w:tc>
        <w:tc>
          <w:tcPr>
            <w:tcW w:type="dxa" w:w="18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Recommendation</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Economic Feasibility</w:t>
            </w:r>
          </w:p>
        </w:tc>
        <w:tc>
          <w:tcPr>
            <w:tcW w:type="dxa" w:w="1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7A4A"/>
                <w:sz w:val="19"/>
                <w:szCs w:val="19"/>
              </w:rPr>
              <w:t xml:space="preserve">8.2 / 10</w:t>
            </w:r>
          </w:p>
        </w:tc>
        <w:tc>
          <w:tcPr>
            <w:tcW w:type="dxa" w:w="3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Positive NPV; Break-even at Month 18</w:t>
            </w:r>
          </w:p>
        </w:tc>
        <w:tc>
          <w:tcPr>
            <w:tcW w:type="dxa" w:w="180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r>
      <w:tr>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Technical Feasibility</w:t>
            </w:r>
          </w:p>
        </w:tc>
        <w:tc>
          <w:tcPr>
            <w:tcW w:type="dxa" w:w="1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1A7A4A"/>
                <w:sz w:val="19"/>
                <w:szCs w:val="19"/>
              </w:rPr>
              <w:t xml:space="preserve">8.7 / 10</w:t>
            </w:r>
          </w:p>
        </w:tc>
        <w:tc>
          <w:tcPr>
            <w:tcW w:type="dxa" w:w="3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Proven stack; talent available in KSA</w:t>
            </w:r>
          </w:p>
        </w:tc>
        <w:tc>
          <w:tcPr>
            <w:tcW w:type="dxa" w:w="180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Operational Feasibility</w:t>
            </w:r>
          </w:p>
        </w:tc>
        <w:tc>
          <w:tcPr>
            <w:tcW w:type="dxa" w:w="1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8A135"/>
                <w:sz w:val="19"/>
                <w:szCs w:val="19"/>
              </w:rPr>
              <w:t xml:space="preserve">7.9 / 10</w:t>
            </w:r>
          </w:p>
        </w:tc>
        <w:tc>
          <w:tcPr>
            <w:tcW w:type="dxa" w:w="3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Strong market fit; change-management needed</w:t>
            </w:r>
          </w:p>
        </w:tc>
        <w:tc>
          <w:tcPr>
            <w:tcW w:type="dxa" w:w="180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r>
    </w:tbl>
    <w:p>
      <w:pPr>
        <w:spacing w:after="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left"/>
            </w:pPr>
            <w:r>
              <w:rPr>
                <w:rFonts w:ascii="Arial" w:cs="Arial" w:eastAsia="Arial" w:hAnsi="Arial"/>
                <w:b/>
                <w:bCs/>
                <w:color w:val="C8A135"/>
                <w:sz w:val="26"/>
                <w:szCs w:val="26"/>
              </w:rPr>
              <w:t xml:space="preserve">SECTION 2  </w:t>
            </w:r>
            <w:r>
              <w:rPr>
                <w:rFonts w:ascii="Arial" w:cs="Arial" w:eastAsia="Arial" w:hAnsi="Arial"/>
                <w:b/>
                <w:bCs/>
                <w:color w:val="FFFFFF"/>
                <w:sz w:val="26"/>
                <w:szCs w:val="26"/>
              </w:rPr>
              <w:t xml:space="preserve">ECONOMIC FEASIBILITY</w:t>
            </w:r>
          </w:p>
        </w:tc>
      </w:tr>
    </w:tbl>
    <w:p>
      <w:pPr>
        <w:spacing w:after="0" w:before="120"/>
      </w:pPr>
    </w:p>
    <w:p>
      <w:pPr>
        <w:pStyle w:val="Heading2"/>
        <w:spacing w:after="120" w:before="280"/>
      </w:pPr>
      <w:r>
        <w:rPr>
          <w:rFonts w:ascii="Arial" w:cs="Arial" w:eastAsia="Arial" w:hAnsi="Arial"/>
          <w:b/>
          <w:bCs/>
          <w:color w:val="0D7377"/>
          <w:sz w:val="28"/>
          <w:szCs w:val="28"/>
        </w:rPr>
        <w:t xml:space="preserve">2.1  Market Size &amp; Revenue Opportunity</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700"/>
        <w:gridCol w:w="1660"/>
        <w:gridCol w:w="1800"/>
        <w:gridCol w:w="1800"/>
      </w:tblGrid>
      <w:tr>
        <w:trPr>
          <w:tblHeader/>
        </w:trPr>
        <w:tc>
          <w:tcPr>
            <w:tcW w:type="dxa" w:w="27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Metric</w:t>
            </w:r>
          </w:p>
        </w:tc>
        <w:tc>
          <w:tcPr>
            <w:tcW w:type="dxa" w:w="16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2024 Baseline</w:t>
            </w:r>
          </w:p>
        </w:tc>
        <w:tc>
          <w:tcPr>
            <w:tcW w:type="dxa" w:w="18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2026 Projection</w:t>
            </w:r>
          </w:p>
        </w:tc>
        <w:tc>
          <w:tcPr>
            <w:tcW w:type="dxa" w:w="18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2028 Projection</w:t>
            </w:r>
          </w:p>
        </w:tc>
      </w:tr>
      <w:tr>
        <w:tc>
          <w:tcPr>
            <w:tcW w:type="dxa" w:w="27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KSA Home-Services Market (SAR)</w:t>
            </w:r>
          </w:p>
        </w:tc>
        <w:tc>
          <w:tcPr>
            <w:tcW w:type="dxa" w:w="16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12.4 Billion</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17.0 Billion</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22.1 Billion</w:t>
            </w:r>
          </w:p>
        </w:tc>
      </w:tr>
      <w:tr>
        <w:tc>
          <w:tcPr>
            <w:tcW w:type="dxa" w:w="27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Addressable Digital Segment</w:t>
            </w:r>
          </w:p>
        </w:tc>
        <w:tc>
          <w:tcPr>
            <w:tcW w:type="dxa" w:w="16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15 %</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28 %</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42 %</w:t>
            </w:r>
          </w:p>
        </w:tc>
      </w:tr>
      <w:tr>
        <w:tc>
          <w:tcPr>
            <w:tcW w:type="dxa" w:w="27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Target User Base (Households)</w:t>
            </w:r>
          </w:p>
        </w:tc>
        <w:tc>
          <w:tcPr>
            <w:tcW w:type="dxa" w:w="16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450,000</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1,200,000</w:t>
            </w:r>
          </w:p>
        </w:tc>
      </w:tr>
      <w:tr>
        <w:tc>
          <w:tcPr>
            <w:tcW w:type="dxa" w:w="27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Projected Servixo GMV (SAR)</w:t>
            </w:r>
          </w:p>
        </w:tc>
        <w:tc>
          <w:tcPr>
            <w:tcW w:type="dxa" w:w="16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38 Million</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130 Million</w:t>
            </w:r>
          </w:p>
        </w:tc>
      </w:tr>
      <w:tr>
        <w:tc>
          <w:tcPr>
            <w:tcW w:type="dxa" w:w="27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Estimated Platform Revenue (SAR)</w:t>
            </w:r>
          </w:p>
        </w:tc>
        <w:tc>
          <w:tcPr>
            <w:tcW w:type="dxa" w:w="16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5.7 Million</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19.5 Million</w:t>
            </w:r>
          </w:p>
        </w:tc>
      </w:tr>
    </w:tbl>
    <w:p>
      <w:pPr>
        <w:spacing w:after="0" w:before="160"/>
      </w:pPr>
    </w:p>
    <w:p>
      <w:pPr>
        <w:pStyle w:val="Heading2"/>
        <w:spacing w:after="120" w:before="280"/>
      </w:pPr>
      <w:r>
        <w:rPr>
          <w:rFonts w:ascii="Arial" w:cs="Arial" w:eastAsia="Arial" w:hAnsi="Arial"/>
          <w:b/>
          <w:bCs/>
          <w:color w:val="0D7377"/>
          <w:sz w:val="28"/>
          <w:szCs w:val="28"/>
        </w:rPr>
        <w:t xml:space="preserve">2.2  Cost Structure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760"/>
      </w:tblGrid>
      <w:tr>
        <w:trPr>
          <w:tblHeader/>
        </w:trPr>
        <w:tc>
          <w:tcPr>
            <w:tcW w:type="dxa" w:w="26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Cost Category</w:t>
            </w:r>
          </w:p>
        </w:tc>
        <w:tc>
          <w:tcPr>
            <w:tcW w:type="dxa" w:w="15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Year 1 (SAR)</w:t>
            </w:r>
          </w:p>
        </w:tc>
        <w:tc>
          <w:tcPr>
            <w:tcW w:type="dxa" w:w="15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Year 2 (SAR)</w:t>
            </w:r>
          </w:p>
        </w:tc>
        <w:tc>
          <w:tcPr>
            <w:tcW w:type="dxa" w:w="15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Year 3 (SAR)</w:t>
            </w:r>
          </w:p>
        </w:tc>
        <w:tc>
          <w:tcPr>
            <w:tcW w:type="dxa" w:w="17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Notes</w:t>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Platform Development</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950,000</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300,000</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200,000</w:t>
            </w:r>
          </w:p>
        </w:tc>
        <w:tc>
          <w:tcPr>
            <w:tcW w:type="dxa" w:w="1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Initial build + iterations</w:t>
            </w:r>
          </w:p>
        </w:tc>
      </w:tr>
      <w:tr>
        <w:tc>
          <w:tcPr>
            <w:tcW w:type="dxa" w:w="2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Infrastructure &amp; Hosting</w:t>
            </w:r>
          </w:p>
        </w:tc>
        <w:tc>
          <w:tcPr>
            <w:tcW w:type="dxa" w:w="1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180,000</w:t>
            </w:r>
          </w:p>
        </w:tc>
        <w:tc>
          <w:tcPr>
            <w:tcW w:type="dxa" w:w="1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260,000</w:t>
            </w:r>
          </w:p>
        </w:tc>
        <w:tc>
          <w:tcPr>
            <w:tcW w:type="dxa" w:w="1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380,000</w:t>
            </w:r>
          </w:p>
        </w:tc>
        <w:tc>
          <w:tcPr>
            <w:tcW w:type="dxa" w:w="1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AWS auto-scaling</w:t>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Marketing &amp; Acquisition</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1,200,000</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1,600,000</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1,900,000</w:t>
            </w:r>
          </w:p>
        </w:tc>
        <w:tc>
          <w:tcPr>
            <w:tcW w:type="dxa" w:w="1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Digital + field ops</w:t>
            </w:r>
          </w:p>
        </w:tc>
      </w:tr>
      <w:tr>
        <w:tc>
          <w:tcPr>
            <w:tcW w:type="dxa" w:w="2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Operations &amp; Support</w:t>
            </w:r>
          </w:p>
        </w:tc>
        <w:tc>
          <w:tcPr>
            <w:tcW w:type="dxa" w:w="1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420,000</w:t>
            </w:r>
          </w:p>
        </w:tc>
        <w:tc>
          <w:tcPr>
            <w:tcW w:type="dxa" w:w="1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680,000</w:t>
            </w:r>
          </w:p>
        </w:tc>
        <w:tc>
          <w:tcPr>
            <w:tcW w:type="dxa" w:w="1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960,000</w:t>
            </w:r>
          </w:p>
        </w:tc>
        <w:tc>
          <w:tcPr>
            <w:tcW w:type="dxa" w:w="1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Call centre, QA</w:t>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Legal, Compliance &amp; Licences</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150,000</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90,000</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90,000</w:t>
            </w:r>
          </w:p>
        </w:tc>
        <w:tc>
          <w:tcPr>
            <w:tcW w:type="dxa" w:w="1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PDPL, CITC, CR</w:t>
            </w:r>
          </w:p>
        </w:tc>
      </w:tr>
      <w:tr>
        <w:tc>
          <w:tcPr>
            <w:tcW w:type="dxa" w:w="2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Human Resources</w:t>
            </w:r>
          </w:p>
        </w:tc>
        <w:tc>
          <w:tcPr>
            <w:tcW w:type="dxa" w:w="1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1,100,000</w:t>
            </w:r>
          </w:p>
        </w:tc>
        <w:tc>
          <w:tcPr>
            <w:tcW w:type="dxa" w:w="1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1,800,000</w:t>
            </w:r>
          </w:p>
        </w:tc>
        <w:tc>
          <w:tcPr>
            <w:tcW w:type="dxa" w:w="1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2,600,000</w:t>
            </w:r>
          </w:p>
        </w:tc>
        <w:tc>
          <w:tcPr>
            <w:tcW w:type="dxa" w:w="1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20 → 45 FTEs</w:t>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TOTAL OPEX</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4,000,000</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4,730,000</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6,130,000</w:t>
            </w:r>
          </w:p>
        </w:tc>
        <w:tc>
          <w:tcPr>
            <w:tcW w:type="dxa" w:w="1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w:r>
          </w:p>
        </w:tc>
      </w:tr>
    </w:tbl>
    <w:p>
      <w:pPr>
        <w:spacing w:after="0" w:before="160"/>
      </w:pPr>
    </w:p>
    <w:p>
      <w:pPr>
        <w:pStyle w:val="Heading2"/>
        <w:spacing w:after="120" w:before="280"/>
      </w:pPr>
      <w:r>
        <w:rPr>
          <w:rFonts w:ascii="Arial" w:cs="Arial" w:eastAsia="Arial" w:hAnsi="Arial"/>
          <w:b/>
          <w:bCs/>
          <w:color w:val="0D7377"/>
          <w:sz w:val="28"/>
          <w:szCs w:val="28"/>
        </w:rPr>
        <w:t xml:space="preserve">2.3  Revenue Model</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1760"/>
      </w:tblGrid>
      <w:tr>
        <w:trPr>
          <w:tblHeader/>
        </w:trPr>
        <w:tc>
          <w:tcPr>
            <w:tcW w:type="dxa" w:w="28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Revenue Stream</w:t>
            </w:r>
          </w:p>
        </w:tc>
        <w:tc>
          <w:tcPr>
            <w:tcW w:type="dxa" w:w="22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Mechanism</w:t>
            </w:r>
          </w:p>
        </w:tc>
        <w:tc>
          <w:tcPr>
            <w:tcW w:type="dxa" w:w="14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Rate</w:t>
            </w:r>
          </w:p>
        </w:tc>
        <w:tc>
          <w:tcPr>
            <w:tcW w:type="dxa" w:w="17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2026 Est. (SAR)</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Platform Commission</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of each completed job</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12–18 %</w:t>
            </w:r>
          </w:p>
        </w:tc>
        <w:tc>
          <w:tcPr>
            <w:tcW w:type="dxa" w:w="1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3,200,000</w:t>
            </w:r>
          </w:p>
        </w:tc>
      </w:tr>
      <w:tr>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Premium Technician Subscriptions</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Monthly featured listing</w:t>
            </w:r>
          </w:p>
        </w:tc>
        <w:tc>
          <w:tcPr>
            <w:tcW w:type="dxa" w:w="1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SAR 149–299/mo</w:t>
            </w:r>
          </w:p>
        </w:tc>
        <w:tc>
          <w:tcPr>
            <w:tcW w:type="dxa" w:w="1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480,000</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Customer Service Plans</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Annual maintenance packages</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SAR 799–1,499/yr</w:t>
            </w:r>
          </w:p>
        </w:tc>
        <w:tc>
          <w:tcPr>
            <w:tcW w:type="dxa" w:w="1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620,000</w:t>
            </w:r>
          </w:p>
        </w:tc>
      </w:tr>
      <w:tr>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Surge Pricing Premium</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After-hours / emergency jobs</w:t>
            </w:r>
          </w:p>
        </w:tc>
        <w:tc>
          <w:tcPr>
            <w:tcW w:type="dxa" w:w="1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15 % add-on</w:t>
            </w:r>
          </w:p>
        </w:tc>
        <w:tc>
          <w:tcPr>
            <w:tcW w:type="dxa" w:w="1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310,000</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B2B Corporate Accounts</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Bulk bookings for facilities</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Custom SLA</w:t>
            </w:r>
          </w:p>
        </w:tc>
        <w:tc>
          <w:tcPr>
            <w:tcW w:type="dxa" w:w="1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1,090,000</w:t>
            </w:r>
          </w:p>
        </w:tc>
      </w:tr>
      <w:tr>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TOTAL PROJECTED REVENUE</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w:r>
          </w:p>
        </w:tc>
        <w:tc>
          <w:tcPr>
            <w:tcW w:type="dxa" w:w="1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w:r>
          </w:p>
        </w:tc>
        <w:tc>
          <w:tcPr>
            <w:tcW w:type="dxa" w:w="1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5,700,000</w:t>
            </w:r>
          </w:p>
        </w:tc>
      </w:tr>
    </w:tbl>
    <w:p>
      <w:pPr>
        <w:spacing w:after="0" w:before="160"/>
      </w:pPr>
    </w:p>
    <w:p>
      <w:pPr>
        <w:pStyle w:val="Heading2"/>
        <w:spacing w:after="120" w:before="280"/>
      </w:pPr>
      <w:r>
        <w:rPr>
          <w:rFonts w:ascii="Arial" w:cs="Arial" w:eastAsia="Arial" w:hAnsi="Arial"/>
          <w:b/>
          <w:bCs/>
          <w:color w:val="0D7377"/>
          <w:sz w:val="28"/>
          <w:szCs w:val="28"/>
        </w:rPr>
        <w:t xml:space="preserve">2.4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Indicator</w:t>
            </w:r>
          </w:p>
        </w:tc>
        <w:tc>
          <w:tcPr>
            <w:tcW w:type="dxa" w:w="28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Value</w:t>
            </w:r>
          </w:p>
        </w:tc>
        <w:tc>
          <w:tcPr>
            <w:tcW w:type="dxa" w:w="30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Assessment</w:t>
            </w:r>
          </w:p>
        </w:tc>
      </w:tr>
      <w:tr>
        <w:tc>
          <w:tcPr>
            <w:tcW w:type="dxa" w:w="3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Initial Investment Required</w:t>
            </w:r>
          </w:p>
        </w:tc>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SAR 4,000,000</w:t>
            </w:r>
          </w:p>
        </w:tc>
        <w:tc>
          <w:tcPr>
            <w:tcW w:type="dxa" w:w="30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Required</w:t>
            </w:r>
          </w:p>
        </w:tc>
      </w:tr>
      <w:tr>
        <w:tc>
          <w:tcPr>
            <w:tcW w:type="dxa" w:w="3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Break-Even Point</w:t>
            </w:r>
          </w:p>
        </w:tc>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Month 18–22 (Year 2)</w:t>
            </w:r>
          </w:p>
        </w:tc>
        <w:tc>
          <w:tcPr>
            <w:tcW w:type="dxa" w:w="306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r>
      <w:tr>
        <w:tc>
          <w:tcPr>
            <w:tcW w:type="dxa" w:w="3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3-Year Net Present Value (NPV)</w:t>
            </w:r>
          </w:p>
        </w:tc>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SAR +6.8 Million</w:t>
            </w:r>
          </w:p>
        </w:tc>
        <w:tc>
          <w:tcPr>
            <w:tcW w:type="dxa" w:w="30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r>
      <w:tr>
        <w:tc>
          <w:tcPr>
            <w:tcW w:type="dxa" w:w="3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Internal Rate of Return (IRR)</w:t>
            </w:r>
          </w:p>
        </w:tc>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34 %</w:t>
            </w:r>
          </w:p>
        </w:tc>
        <w:tc>
          <w:tcPr>
            <w:tcW w:type="dxa" w:w="30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r>
      <w:tr>
        <w:tc>
          <w:tcPr>
            <w:tcW w:type="dxa" w:w="3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Payback Period</w:t>
            </w:r>
          </w:p>
        </w:tc>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26 months</w:t>
            </w:r>
          </w:p>
        </w:tc>
        <w:tc>
          <w:tcPr>
            <w:tcW w:type="dxa" w:w="306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r>
      <w:tr>
        <w:tc>
          <w:tcPr>
            <w:tcW w:type="dxa" w:w="3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Customer Acquisition Cost (CAC)</w:t>
            </w:r>
          </w:p>
        </w:tc>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SAR 85 (target)</w:t>
            </w:r>
          </w:p>
        </w:tc>
        <w:tc>
          <w:tcPr>
            <w:tcW w:type="dxa" w:w="306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r>
      <w:tr>
        <w:tc>
          <w:tcPr>
            <w:tcW w:type="dxa" w:w="3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Lifetime Value (LTV) — Customer</w:t>
            </w:r>
          </w:p>
        </w:tc>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SAR 1,240</w:t>
            </w:r>
          </w:p>
        </w:tc>
        <w:tc>
          <w:tcPr>
            <w:tcW w:type="dxa" w:w="30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r>
      <w:tr>
        <w:tc>
          <w:tcPr>
            <w:tcW w:type="dxa" w:w="3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LTV : CAC Ratio</w:t>
            </w:r>
          </w:p>
        </w:tc>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14.6 : 1</w:t>
            </w:r>
          </w:p>
        </w:tc>
        <w:tc>
          <w:tcPr>
            <w:tcW w:type="dxa" w:w="30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D7377" w:val="clear"/>
            <w:tcMar>
              <w:top w:type="dxa" w:w="100"/>
              <w:left w:type="dxa" w:w="140"/>
              <w:bottom w:type="dxa" w:w="100"/>
              <w:right w:type="dxa" w:w="140"/>
            </w:tcMar>
            <w:vAlign w:val="center"/>
          </w:tcPr>
          <w:p>
            <w:pPr>
              <w:jc w:val="left"/>
            </w:pPr>
            <w:r>
              <w:rPr>
                <w:rFonts w:ascii="Arial" w:cs="Arial" w:eastAsia="Arial" w:hAnsi="Arial"/>
                <w:b/>
                <w:bCs/>
                <w:color w:val="C8A135"/>
                <w:sz w:val="26"/>
                <w:szCs w:val="26"/>
              </w:rPr>
              <w:t xml:space="preserve">SECTION 3  </w:t>
            </w:r>
            <w:r>
              <w:rPr>
                <w:rFonts w:ascii="Arial" w:cs="Arial" w:eastAsia="Arial" w:hAnsi="Arial"/>
                <w:b/>
                <w:bCs/>
                <w:color w:val="FFFFFF"/>
                <w:sz w:val="26"/>
                <w:szCs w:val="26"/>
              </w:rPr>
              <w:t xml:space="preserve">TECHNICAL FEASIBILITY</w:t>
            </w:r>
          </w:p>
        </w:tc>
      </w:tr>
    </w:tbl>
    <w:p>
      <w:pPr>
        <w:spacing w:after="0" w:before="120"/>
      </w:pPr>
    </w:p>
    <w:p>
      <w:pPr>
        <w:pStyle w:val="Heading2"/>
        <w:spacing w:after="120" w:before="280"/>
      </w:pPr>
      <w:r>
        <w:rPr>
          <w:rFonts w:ascii="Arial" w:cs="Arial" w:eastAsia="Arial" w:hAnsi="Arial"/>
          <w:b/>
          <w:bCs/>
          <w:color w:val="0D7377"/>
          <w:sz w:val="28"/>
          <w:szCs w:val="28"/>
        </w:rPr>
        <w:t xml:space="preserve">3.1  Recommended Technology Stack</w:t>
      </w:r>
    </w:p>
    <w:p>
      <w:pPr>
        <w:spacing w:after="80" w:before="80"/>
      </w:pPr>
      <w:r>
        <w:rPr>
          <w:rFonts w:ascii="Arial" w:cs="Arial" w:eastAsia="Arial" w:hAnsi="Arial"/>
          <w:color w:val="1A1A2E"/>
          <w:sz w:val="20"/>
          <w:szCs w:val="20"/>
        </w:rPr>
        <w:t xml:space="preserve">The following stack has been selected based on proven scalability in comparable GCC markets, Saudi developer talent availability, and long-term maintainability.</w:t>
      </w:r>
    </w:p>
    <w:p>
      <w:pPr>
        <w:spacing w:after="0" w:before="100"/>
      </w:pPr>
    </w:p>
    <w:p>
      <w:pPr>
        <w:pStyle w:val="Heading3"/>
        <w:spacing w:after="100" w:before="200"/>
      </w:pPr>
      <w:r>
        <w:rPr>
          <w:rFonts w:ascii="Arial" w:cs="Arial" w:eastAsia="Arial" w:hAnsi="Arial"/>
          <w:b/>
          <w:bCs/>
          <w:color w:val="1B3A6B"/>
          <w:sz w:val="24"/>
          <w:szCs w:val="24"/>
        </w:rPr>
        <w:t xml:space="preserve">3.1.1  Mobile Application Layer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500"/>
        <w:gridCol w:w="2000"/>
        <w:gridCol w:w="1160"/>
      </w:tblGrid>
      <w:tr>
        <w:trPr>
          <w:tblHeader/>
        </w:trPr>
        <w:tc>
          <w:tcPr>
            <w:tcW w:type="dxa" w:w="14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Technology</w:t>
            </w:r>
          </w:p>
        </w:tc>
        <w:tc>
          <w:tcPr>
            <w:tcW w:type="dxa" w:w="13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Type</w:t>
            </w:r>
          </w:p>
        </w:tc>
        <w:tc>
          <w:tcPr>
            <w:tcW w:type="dxa" w:w="25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Justification</w:t>
            </w:r>
          </w:p>
        </w:tc>
        <w:tc>
          <w:tcPr>
            <w:tcW w:type="dxa" w:w="20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Availability in KSA</w:t>
            </w:r>
          </w:p>
        </w:tc>
        <w:tc>
          <w:tcPr>
            <w:tcW w:type="dxa" w:w="11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Verdict</w:t>
            </w:r>
          </w:p>
        </w:tc>
      </w:tr>
      <w:tr>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React Native 0.73</w:t>
            </w:r>
          </w:p>
        </w:tc>
        <w:tc>
          <w:tcPr>
            <w:tcW w:type="dxa" w:w="13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Cross-platform mobile</w:t>
            </w:r>
          </w:p>
        </w:tc>
        <w:tc>
          <w:tcPr>
            <w:tcW w:type="dxa" w:w="2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Single codebase for iOS &amp; Android; large ecosystem; hot-reload dev speed</w:t>
            </w:r>
          </w:p>
        </w:tc>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High — 2,800+ React devs in KSA</w:t>
            </w:r>
          </w:p>
        </w:tc>
        <w:tc>
          <w:tcPr>
            <w:tcW w:type="dxa" w:w="11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Recommended</w:t>
            </w:r>
          </w:p>
        </w:tc>
      </w:tr>
      <w:tr>
        <w:tc>
          <w:tcPr>
            <w:tcW w:type="dxa" w:w="1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Flutter 3.x</w:t>
            </w:r>
          </w:p>
        </w:tc>
        <w:tc>
          <w:tcPr>
            <w:tcW w:type="dxa" w:w="13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Cross-platform mobile</w:t>
            </w:r>
          </w:p>
        </w:tc>
        <w:tc>
          <w:tcPr>
            <w:tcW w:type="dxa" w:w="2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Superior UI fidelity; strong Google backing; Dart learning curve higher</w:t>
            </w:r>
          </w:p>
        </w:tc>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Medium — growing community</w:t>
            </w:r>
          </w:p>
        </w:tc>
        <w:tc>
          <w:tcPr>
            <w:tcW w:type="dxa" w:w="11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Available</w:t>
            </w:r>
          </w:p>
        </w:tc>
      </w:tr>
      <w:tr>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Swift / Kotlin (Native)</w:t>
            </w:r>
          </w:p>
        </w:tc>
        <w:tc>
          <w:tcPr>
            <w:tcW w:type="dxa" w:w="13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Native mobile</w:t>
            </w:r>
          </w:p>
        </w:tc>
        <w:tc>
          <w:tcPr>
            <w:tcW w:type="dxa" w:w="2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Best performance; 2× dev cost; longer TTM</w:t>
            </w:r>
          </w:p>
        </w:tc>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High</w:t>
            </w:r>
          </w:p>
        </w:tc>
        <w:tc>
          <w:tcPr>
            <w:tcW w:type="dxa" w:w="11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Available</w:t>
            </w:r>
          </w:p>
        </w:tc>
      </w:tr>
    </w:tbl>
    <w:p>
      <w:pPr>
        <w:spacing w:after="0" w:before="100"/>
      </w:pPr>
    </w:p>
    <w:p>
      <w:pPr>
        <w:pStyle w:val="Heading3"/>
        <w:spacing w:after="100" w:before="200"/>
      </w:pPr>
      <w:r>
        <w:rPr>
          <w:rFonts w:ascii="Arial" w:cs="Arial" w:eastAsia="Arial" w:hAnsi="Arial"/>
          <w:b/>
          <w:bCs/>
          <w:color w:val="1B3A6B"/>
          <w:sz w:val="24"/>
          <w:szCs w:val="24"/>
        </w:rPr>
        <w:t xml:space="preserve">3.1.2  Backend / API Layer</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800"/>
        <w:gridCol w:w="1800"/>
        <w:gridCol w:w="1260"/>
      </w:tblGrid>
      <w:tr>
        <w:trPr>
          <w:tblHeader/>
        </w:trPr>
        <w:tc>
          <w:tcPr>
            <w:tcW w:type="dxa" w:w="16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Technology</w:t>
            </w:r>
          </w:p>
        </w:tc>
        <w:tc>
          <w:tcPr>
            <w:tcW w:type="dxa" w:w="13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Type</w:t>
            </w:r>
          </w:p>
        </w:tc>
        <w:tc>
          <w:tcPr>
            <w:tcW w:type="dxa" w:w="18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Pros</w:t>
            </w:r>
          </w:p>
        </w:tc>
        <w:tc>
          <w:tcPr>
            <w:tcW w:type="dxa" w:w="18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Cons</w:t>
            </w:r>
          </w:p>
        </w:tc>
        <w:tc>
          <w:tcPr>
            <w:tcW w:type="dxa" w:w="12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Verdict</w:t>
            </w:r>
          </w:p>
        </w:tc>
      </w:tr>
      <w:tr>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Node.js 20 LTS + Express / Fastify</w:t>
            </w:r>
          </w:p>
        </w:tc>
        <w:tc>
          <w:tcPr>
            <w:tcW w:type="dxa" w:w="13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JavaScript runtime</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Event-driven; huge NPM ecosystem; same language as frontend; easy hire</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Single-threaded CPU-bound bottlenecks</w:t>
            </w:r>
          </w:p>
        </w:tc>
        <w:tc>
          <w:tcPr>
            <w:tcW w:type="dxa" w:w="12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Recommended</w:t>
            </w:r>
          </w:p>
        </w:tc>
      </w:tr>
      <w:tr>
        <w:tc>
          <w:tcPr>
            <w:tcW w:type="dxa" w:w="1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Spring Boot 3 (Java 21)</w:t>
            </w:r>
          </w:p>
        </w:tc>
        <w:tc>
          <w:tcPr>
            <w:tcW w:type="dxa" w:w="13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JVM framework</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Enterprise-grade; strong typing; mature concurrency</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Slower startup; heavier containers; fewer junior devs</w:t>
            </w:r>
          </w:p>
        </w:tc>
        <w:tc>
          <w:tcPr>
            <w:tcW w:type="dxa" w:w="12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Available</w:t>
            </w:r>
          </w:p>
        </w:tc>
      </w:tr>
      <w:tr>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FastAPI (Python 3.12)</w:t>
            </w:r>
          </w:p>
        </w:tc>
        <w:tc>
          <w:tcPr>
            <w:tcW w:type="dxa" w:w="13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Python ASGI</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ML/AI integration easy; async; rapid prototyping</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GIL limits raw throughput</w:t>
            </w:r>
          </w:p>
        </w:tc>
        <w:tc>
          <w:tcPr>
            <w:tcW w:type="dxa" w:w="12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Available</w:t>
            </w:r>
          </w:p>
        </w:tc>
      </w:tr>
    </w:tbl>
    <w:p>
      <w:pPr>
        <w:spacing w:after="0" w:before="100"/>
      </w:pPr>
    </w:p>
    <w:p>
      <w:pPr>
        <w:pStyle w:val="Heading3"/>
        <w:spacing w:after="100" w:before="200"/>
      </w:pPr>
      <w:r>
        <w:rPr>
          <w:rFonts w:ascii="Arial" w:cs="Arial" w:eastAsia="Arial" w:hAnsi="Arial"/>
          <w:b/>
          <w:bCs/>
          <w:color w:val="1B3A6B"/>
          <w:sz w:val="24"/>
          <w:szCs w:val="24"/>
        </w:rPr>
        <w:t xml:space="preserve">3.1.3  Database Layer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000"/>
        <w:gridCol w:w="1160"/>
      </w:tblGrid>
      <w:tr>
        <w:trPr>
          <w:tblHeader/>
        </w:trPr>
        <w:tc>
          <w:tcPr>
            <w:tcW w:type="dxa" w:w="16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Database</w:t>
            </w:r>
          </w:p>
        </w:tc>
        <w:tc>
          <w:tcPr>
            <w:tcW w:type="dxa" w:w="14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Category</w:t>
            </w:r>
          </w:p>
        </w:tc>
        <w:tc>
          <w:tcPr>
            <w:tcW w:type="dxa" w:w="22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Use Case on Servixo</w:t>
            </w:r>
          </w:p>
        </w:tc>
        <w:tc>
          <w:tcPr>
            <w:tcW w:type="dxa" w:w="20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Scaling Strategy</w:t>
            </w:r>
          </w:p>
        </w:tc>
        <w:tc>
          <w:tcPr>
            <w:tcW w:type="dxa" w:w="11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Verdict</w:t>
            </w:r>
          </w:p>
        </w:tc>
      </w:tr>
      <w:tr>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PostgreSQL 16</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Relational SQL</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User accounts, bookings, payments, ratings, contracts</w:t>
            </w:r>
          </w:p>
        </w:tc>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Read replicas + PgBouncer connection pooling</w:t>
            </w:r>
          </w:p>
        </w:tc>
        <w:tc>
          <w:tcPr>
            <w:tcW w:type="dxa" w:w="11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Recommended</w:t>
            </w:r>
          </w:p>
        </w:tc>
      </w:tr>
      <w:tr>
        <w:tc>
          <w:tcPr>
            <w:tcW w:type="dxa" w:w="1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MongoDB 7 Atlas</w:t>
            </w:r>
          </w:p>
        </w:tc>
        <w:tc>
          <w:tcPr>
            <w:tcW w:type="dxa" w:w="1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Document NoSQL</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Service catalogue, technician profiles, dynamic forms</w:t>
            </w:r>
          </w:p>
        </w:tc>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Sharding + Atlas auto-scaling</w:t>
            </w:r>
          </w:p>
        </w:tc>
        <w:tc>
          <w:tcPr>
            <w:tcW w:type="dxa" w:w="11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Recommended</w:t>
            </w:r>
          </w:p>
        </w:tc>
      </w:tr>
      <w:tr>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Redis 7</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In-memory cache</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Session tokens, real-time availability, rate limiting</w:t>
            </w:r>
          </w:p>
        </w:tc>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Redis Cluster</w:t>
            </w:r>
          </w:p>
        </w:tc>
        <w:tc>
          <w:tcPr>
            <w:tcW w:type="dxa" w:w="11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Required</w:t>
            </w:r>
          </w:p>
        </w:tc>
      </w:tr>
      <w:tr>
        <w:tc>
          <w:tcPr>
            <w:tcW w:type="dxa" w:w="1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Elasticsearch 8</w:t>
            </w:r>
          </w:p>
        </w:tc>
        <w:tc>
          <w:tcPr>
            <w:tcW w:type="dxa" w:w="1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Search engine</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Full-text technician/service search, geo-search</w:t>
            </w:r>
          </w:p>
        </w:tc>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Single cluster, auto-shard</w:t>
            </w:r>
          </w:p>
        </w:tc>
        <w:tc>
          <w:tcPr>
            <w:tcW w:type="dxa" w:w="11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Recommended</w:t>
            </w:r>
          </w:p>
        </w:tc>
      </w:tr>
    </w:tbl>
    <w:p>
      <w:pPr>
        <w:spacing w:after="0" w:before="100"/>
      </w:pPr>
    </w:p>
    <w:p>
      <w:pPr>
        <w:pStyle w:val="Heading3"/>
        <w:spacing w:after="100" w:before="200"/>
      </w:pPr>
      <w:r>
        <w:rPr>
          <w:rFonts w:ascii="Arial" w:cs="Arial" w:eastAsia="Arial" w:hAnsi="Arial"/>
          <w:b/>
          <w:bCs/>
          <w:color w:val="1B3A6B"/>
          <w:sz w:val="24"/>
          <w:szCs w:val="24"/>
        </w:rPr>
        <w:t xml:space="preserve">3.1.4  Cloud Hosting &amp; Infrastructure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200"/>
        <w:gridCol w:w="1760"/>
      </w:tblGrid>
      <w:tr>
        <w:trPr>
          <w:tblHeader/>
        </w:trPr>
        <w:tc>
          <w:tcPr>
            <w:tcW w:type="dxa" w:w="22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Component</w:t>
            </w:r>
          </w:p>
        </w:tc>
        <w:tc>
          <w:tcPr>
            <w:tcW w:type="dxa" w:w="16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AWS Service</w:t>
            </w:r>
          </w:p>
        </w:tc>
        <w:tc>
          <w:tcPr>
            <w:tcW w:type="dxa" w:w="16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GCP Equivalent</w:t>
            </w:r>
          </w:p>
        </w:tc>
        <w:tc>
          <w:tcPr>
            <w:tcW w:type="dxa" w:w="12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KSA Region?</w:t>
            </w:r>
          </w:p>
        </w:tc>
        <w:tc>
          <w:tcPr>
            <w:tcW w:type="dxa" w:w="17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Monthly Est. (SAR)</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Compute (API servers)</w:t>
            </w:r>
          </w:p>
        </w:tc>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ECS Fargate / EC2 Auto Scaling</w:t>
            </w:r>
          </w:p>
        </w:tc>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Cloud Run / GKE</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AWS: Bahrain (me-south-1)</w:t>
            </w:r>
          </w:p>
        </w:tc>
        <w:tc>
          <w:tcPr>
            <w:tcW w:type="dxa" w:w="1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4,800</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Object Storage</w:t>
            </w:r>
          </w:p>
        </w:tc>
        <w:tc>
          <w:tcPr>
            <w:tcW w:type="dxa" w:w="1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S3</w:t>
            </w:r>
          </w:p>
        </w:tc>
        <w:tc>
          <w:tcPr>
            <w:tcW w:type="dxa" w:w="1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Cloud Storage</w:t>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1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620</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CDN</w:t>
            </w:r>
          </w:p>
        </w:tc>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CloudFront</w:t>
            </w:r>
          </w:p>
        </w:tc>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Cloud CDN</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Edge in Riyadh</w:t>
            </w:r>
          </w:p>
        </w:tc>
        <w:tc>
          <w:tcPr>
            <w:tcW w:type="dxa" w:w="1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380</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Managed Database</w:t>
            </w:r>
          </w:p>
        </w:tc>
        <w:tc>
          <w:tcPr>
            <w:tcW w:type="dxa" w:w="1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RDS PostgreSQL</w:t>
            </w:r>
          </w:p>
        </w:tc>
        <w:tc>
          <w:tcPr>
            <w:tcW w:type="dxa" w:w="1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Cloud SQL</w:t>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1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2,200</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Serverless Functions</w:t>
            </w:r>
          </w:p>
        </w:tc>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Lambda</w:t>
            </w:r>
          </w:p>
        </w:tc>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Cloud Functions</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1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400</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Load Balancer</w:t>
            </w:r>
          </w:p>
        </w:tc>
        <w:tc>
          <w:tcPr>
            <w:tcW w:type="dxa" w:w="1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ALB</w:t>
            </w:r>
          </w:p>
        </w:tc>
        <w:tc>
          <w:tcPr>
            <w:tcW w:type="dxa" w:w="1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Cloud Load Balancing</w:t>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1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350</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Monitoring &amp; Alerts</w:t>
            </w:r>
          </w:p>
        </w:tc>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CloudWatch + X-Ray</w:t>
            </w:r>
          </w:p>
        </w:tc>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Cloud Monitoring</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1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480</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TOTAL Monthly (Year 1)</w:t>
            </w:r>
          </w:p>
        </w:tc>
        <w:tc>
          <w:tcPr>
            <w:tcW w:type="dxa" w:w="1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w:r>
          </w:p>
        </w:tc>
        <w:tc>
          <w:tcPr>
            <w:tcW w:type="dxa" w:w="1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w:r>
          </w:p>
        </w:tc>
        <w:tc>
          <w:tcPr>
            <w:tcW w:type="dxa" w:w="1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9,230</w:t>
            </w:r>
          </w:p>
        </w:tc>
      </w:tr>
    </w:tbl>
    <w:p>
      <w:pPr>
        <w:spacing w:after="0" w:before="100"/>
      </w:pPr>
    </w:p>
    <w:p>
      <w:pPr>
        <w:pStyle w:val="Heading3"/>
        <w:spacing w:after="100" w:before="200"/>
      </w:pPr>
      <w:r>
        <w:rPr>
          <w:rFonts w:ascii="Arial" w:cs="Arial" w:eastAsia="Arial" w:hAnsi="Arial"/>
          <w:b/>
          <w:bCs/>
          <w:color w:val="1B3A6B"/>
          <w:sz w:val="24"/>
          <w:szCs w:val="24"/>
        </w:rPr>
        <w:t xml:space="preserve">3.1.5  Notifications &amp; Real-Time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Service</w:t>
            </w:r>
          </w:p>
        </w:tc>
        <w:tc>
          <w:tcPr>
            <w:tcW w:type="dxa" w:w="20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Purpose</w:t>
            </w:r>
          </w:p>
        </w:tc>
        <w:tc>
          <w:tcPr>
            <w:tcW w:type="dxa" w:w="24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Integration</w:t>
            </w:r>
          </w:p>
        </w:tc>
        <w:tc>
          <w:tcPr>
            <w:tcW w:type="dxa" w:w="25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Cost Model</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Firebase Cloud Messaging (FCM)</w:t>
            </w:r>
          </w:p>
        </w:tc>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Push notifications — iOS &amp; Android</w:t>
            </w:r>
          </w:p>
        </w:tc>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React Native SDK + Admin SDK on backend</w:t>
            </w:r>
          </w:p>
        </w:tc>
        <w:tc>
          <w:tcPr>
            <w:tcW w:type="dxa" w:w="25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Free up to 1 M msgs/day</w:t>
            </w:r>
          </w:p>
        </w:tc>
      </w:tr>
      <w:tr>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Firebase Realtime Database / Firestore</w:t>
            </w:r>
          </w:p>
        </w:tc>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Live booking status, technician GPS</w:t>
            </w:r>
          </w:p>
        </w:tc>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WebSocket-free; offline sync</w:t>
            </w:r>
          </w:p>
        </w:tc>
        <w:tc>
          <w:tcPr>
            <w:tcW w:type="dxa" w:w="25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Spark free tier → Blaze pay-as-you-go</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Twilio (SMS/WhatsApp)</w:t>
            </w:r>
          </w:p>
        </w:tc>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OTP, booking confirmations, Arabic SMS</w:t>
            </w:r>
          </w:p>
        </w:tc>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REST API, KSA short-code available</w:t>
            </w:r>
          </w:p>
        </w:tc>
        <w:tc>
          <w:tcPr>
            <w:tcW w:type="dxa" w:w="25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~SAR 0.08/SMS</w:t>
            </w:r>
          </w:p>
        </w:tc>
      </w:tr>
      <w:tr>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SendGrid</w:t>
            </w:r>
          </w:p>
        </w:tc>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Transactional email — receipts, invoices</w:t>
            </w:r>
          </w:p>
        </w:tc>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SMTP/API</w:t>
            </w:r>
          </w:p>
        </w:tc>
        <w:tc>
          <w:tcPr>
            <w:tcW w:type="dxa" w:w="25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Free 100/day; SAR 120/mo for scale</w:t>
            </w:r>
          </w:p>
        </w:tc>
      </w:tr>
    </w:tbl>
    <w:p>
      <w:pPr>
        <w:spacing w:after="0" w:before="160"/>
      </w:pPr>
    </w:p>
    <w:p>
      <w:pPr>
        <w:pStyle w:val="Heading2"/>
        <w:spacing w:after="120" w:before="280"/>
      </w:pPr>
      <w:r>
        <w:rPr>
          <w:rFonts w:ascii="Arial" w:cs="Arial" w:eastAsia="Arial" w:hAnsi="Arial"/>
          <w:b/>
          <w:bCs/>
          <w:color w:val="0D7377"/>
          <w:sz w:val="28"/>
          <w:szCs w:val="28"/>
        </w:rPr>
        <w:t xml:space="preserve">3.2  Team Technical Capabilities Required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700"/>
        <w:gridCol w:w="1500"/>
        <w:gridCol w:w="1760"/>
      </w:tblGrid>
      <w:tr>
        <w:trPr>
          <w:tblHeader/>
        </w:trPr>
        <w:tc>
          <w:tcPr>
            <w:tcW w:type="dxa" w:w="20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Role</w:t>
            </w:r>
          </w:p>
        </w:tc>
        <w:tc>
          <w:tcPr>
            <w:tcW w:type="dxa" w:w="12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Headcount</w:t>
            </w:r>
          </w:p>
        </w:tc>
        <w:tc>
          <w:tcPr>
            <w:tcW w:type="dxa" w:w="27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Core Skills</w:t>
            </w:r>
          </w:p>
        </w:tc>
        <w:tc>
          <w:tcPr>
            <w:tcW w:type="dxa" w:w="15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Seniority</w:t>
            </w:r>
          </w:p>
        </w:tc>
        <w:tc>
          <w:tcPr>
            <w:tcW w:type="dxa" w:w="17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Priority</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Tech Lead / Architect</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w:t>
            </w:r>
          </w:p>
        </w:tc>
        <w:tc>
          <w:tcPr>
            <w:tcW w:type="dxa" w:w="27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System design, AWS, Node.js, React Native</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Senior (5+ yrs)</w:t>
            </w:r>
          </w:p>
        </w:tc>
        <w:tc>
          <w:tcPr>
            <w:tcW w:type="dxa" w:w="1760"/>
            <w:gridSpan w:val="1"/>
            <w:tcBorders>
              <w:top w:val="single" w:color="CCCCCC" w:sz="4"/>
              <w:left w:val="single" w:color="CCCCCC" w:sz="4"/>
              <w:bottom w:val="single" w:color="CCCCCC" w:sz="4"/>
              <w:right w:val="single" w:color="CCCCCC" w:sz="4"/>
            </w:tcBorders>
            <w:shd w:fill="B03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Critical</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Backend Engineers</w:t>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2–3</w:t>
            </w:r>
          </w:p>
        </w:tc>
        <w:tc>
          <w:tcPr>
            <w:tcW w:type="dxa" w:w="27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Node.js, PostgreSQL, MongoDB, REST/GraphQL APIs</w:t>
            </w:r>
          </w:p>
        </w:tc>
        <w:tc>
          <w:tcPr>
            <w:tcW w:type="dxa" w:w="1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Mid–Senior</w:t>
            </w:r>
          </w:p>
        </w:tc>
        <w:tc>
          <w:tcPr>
            <w:tcW w:type="dxa" w:w="1760"/>
            <w:gridSpan w:val="1"/>
            <w:tcBorders>
              <w:top w:val="single" w:color="CCCCCC" w:sz="4"/>
              <w:left w:val="single" w:color="CCCCCC" w:sz="4"/>
              <w:bottom w:val="single" w:color="CCCCCC" w:sz="4"/>
              <w:right w:val="single" w:color="CCCCCC" w:sz="4"/>
            </w:tcBorders>
            <w:shd w:fill="B03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Critical</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Mobile Engineers (React Native)</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w:t>
            </w:r>
          </w:p>
        </w:tc>
        <w:tc>
          <w:tcPr>
            <w:tcW w:type="dxa" w:w="27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React Native, Redux, Firebase, iOS/Android</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Mid</w:t>
            </w:r>
          </w:p>
        </w:tc>
        <w:tc>
          <w:tcPr>
            <w:tcW w:type="dxa" w:w="1760"/>
            <w:gridSpan w:val="1"/>
            <w:tcBorders>
              <w:top w:val="single" w:color="CCCCCC" w:sz="4"/>
              <w:left w:val="single" w:color="CCCCCC" w:sz="4"/>
              <w:bottom w:val="single" w:color="CCCCCC" w:sz="4"/>
              <w:right w:val="single" w:color="CCCCCC" w:sz="4"/>
            </w:tcBorders>
            <w:shd w:fill="B03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Critical</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Frontend Web Engineer</w:t>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w:t>
            </w:r>
          </w:p>
        </w:tc>
        <w:tc>
          <w:tcPr>
            <w:tcW w:type="dxa" w:w="27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React.js, Tailwind CSS, Admin dashboards</w:t>
            </w:r>
          </w:p>
        </w:tc>
        <w:tc>
          <w:tcPr>
            <w:tcW w:type="dxa" w:w="1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Mid</w:t>
            </w:r>
          </w:p>
        </w:tc>
        <w:tc>
          <w:tcPr>
            <w:tcW w:type="dxa" w:w="17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Required</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DevOps / Cloud Engineer</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w:t>
            </w:r>
          </w:p>
        </w:tc>
        <w:tc>
          <w:tcPr>
            <w:tcW w:type="dxa" w:w="27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AWS, Docker, CI/CD, Terraform</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Mid–Senior</w:t>
            </w:r>
          </w:p>
        </w:tc>
        <w:tc>
          <w:tcPr>
            <w:tcW w:type="dxa" w:w="17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Required</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QA Engineer</w:t>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w:t>
            </w:r>
          </w:p>
        </w:tc>
        <w:tc>
          <w:tcPr>
            <w:tcW w:type="dxa" w:w="27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Automated testing, Appium, Jest, Postman</w:t>
            </w:r>
          </w:p>
        </w:tc>
        <w:tc>
          <w:tcPr>
            <w:tcW w:type="dxa" w:w="1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Mid</w:t>
            </w:r>
          </w:p>
        </w:tc>
        <w:tc>
          <w:tcPr>
            <w:tcW w:type="dxa" w:w="17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Required</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UI/UX Designer</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w:t>
            </w:r>
          </w:p>
        </w:tc>
        <w:tc>
          <w:tcPr>
            <w:tcW w:type="dxa" w:w="27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Figma, Arabic RTL design, accessibility</w:t>
            </w:r>
          </w:p>
        </w:tc>
        <w:tc>
          <w:tcPr>
            <w:tcW w:type="dxa" w:w="1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Mid</w:t>
            </w:r>
          </w:p>
        </w:tc>
        <w:tc>
          <w:tcPr>
            <w:tcW w:type="dxa" w:w="17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Required</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Data Analyst</w:t>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w:t>
            </w:r>
          </w:p>
        </w:tc>
        <w:tc>
          <w:tcPr>
            <w:tcW w:type="dxa" w:w="27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SQL, Python, BI dashboards (Metabase/Tableau)</w:t>
            </w:r>
          </w:p>
        </w:tc>
        <w:tc>
          <w:tcPr>
            <w:tcW w:type="dxa" w:w="1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Mid</w:t>
            </w:r>
          </w:p>
        </w:tc>
        <w:tc>
          <w:tcPr>
            <w:tcW w:type="dxa" w:w="17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Recommended</w:t>
            </w:r>
          </w:p>
        </w:tc>
      </w:tr>
    </w:tbl>
    <w:p>
      <w:pPr>
        <w:spacing w:after="0" w:before="160"/>
      </w:pPr>
    </w:p>
    <w:p>
      <w:pPr>
        <w:pStyle w:val="Heading2"/>
        <w:spacing w:after="120" w:before="280"/>
      </w:pPr>
      <w:r>
        <w:rPr>
          <w:rFonts w:ascii="Arial" w:cs="Arial" w:eastAsia="Arial" w:hAnsi="Arial"/>
          <w:b/>
          <w:bCs/>
          <w:color w:val="0D7377"/>
          <w:sz w:val="28"/>
          <w:szCs w:val="28"/>
        </w:rPr>
        <w:t xml:space="preserve">3.3  Development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rPr>
          <w:tblHeader/>
        </w:trPr>
        <w:tc>
          <w:tcPr>
            <w:tcW w:type="dxa" w:w="18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Environment</w:t>
            </w:r>
          </w:p>
        </w:tc>
        <w:tc>
          <w:tcPr>
            <w:tcW w:type="dxa" w:w="16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Purpose</w:t>
            </w:r>
          </w:p>
        </w:tc>
        <w:tc>
          <w:tcPr>
            <w:tcW w:type="dxa" w:w="30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Tools</w:t>
            </w:r>
          </w:p>
        </w:tc>
        <w:tc>
          <w:tcPr>
            <w:tcW w:type="dxa" w:w="29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Access Control</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Local Development</w:t>
            </w:r>
          </w:p>
        </w:tc>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Day-to-day coding &amp; unit testing</w:t>
            </w:r>
          </w:p>
        </w:tc>
        <w:tc>
          <w:tcPr>
            <w:tcW w:type="dxa" w:w="3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Docker Compose, VS Code, ESLint, Prettier, Husky git hooks</w:t>
            </w:r>
          </w:p>
        </w:tc>
        <w:tc>
          <w:tcPr>
            <w:tcW w:type="dxa" w:w="29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Developer machines only</w:t>
            </w:r>
          </w:p>
        </w:tc>
      </w:tr>
      <w:tr>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Development (Dev)</w:t>
            </w:r>
          </w:p>
        </w:tc>
        <w:tc>
          <w:tcPr>
            <w:tcW w:type="dxa" w:w="1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Feature integration &amp; early testing</w:t>
            </w:r>
          </w:p>
        </w:tc>
        <w:tc>
          <w:tcPr>
            <w:tcW w:type="dxa" w:w="3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AWS ECS Dev cluster, shared PostgreSQL (dev schema)</w:t>
            </w:r>
          </w:p>
        </w:tc>
        <w:tc>
          <w:tcPr>
            <w:tcW w:type="dxa" w:w="29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Dev team + QA</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Staging / UAT</w:t>
            </w:r>
          </w:p>
        </w:tc>
        <w:tc>
          <w:tcPr>
            <w:tcW w:type="dxa" w:w="16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Pre-release testing, client demos</w:t>
            </w:r>
          </w:p>
        </w:tc>
        <w:tc>
          <w:tcPr>
            <w:tcW w:type="dxa" w:w="3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AWS ECS Staging, mirrored prod data (anonymised), Sentry</w:t>
            </w:r>
          </w:p>
        </w:tc>
        <w:tc>
          <w:tcPr>
            <w:tcW w:type="dxa" w:w="29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QA + Management</w:t>
            </w:r>
          </w:p>
        </w:tc>
      </w:tr>
      <w:tr>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Production</w:t>
            </w:r>
          </w:p>
        </w:tc>
        <w:tc>
          <w:tcPr>
            <w:tcW w:type="dxa" w:w="16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Live Saudi user traffic</w:t>
            </w:r>
          </w:p>
        </w:tc>
        <w:tc>
          <w:tcPr>
            <w:tcW w:type="dxa" w:w="3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AWS ECS Production, Multi-AZ RDS, CloudFront CDN, WAF</w:t>
            </w:r>
          </w:p>
        </w:tc>
        <w:tc>
          <w:tcPr>
            <w:tcW w:type="dxa" w:w="29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DevOps + Tech Lead only</w:t>
            </w:r>
          </w:p>
        </w:tc>
      </w:tr>
    </w:tbl>
    <w:p>
      <w:pPr>
        <w:spacing w:after="0" w:before="100"/>
      </w:pPr>
    </w:p>
    <w:p>
      <w:pPr>
        <w:pStyle w:val="Heading3"/>
        <w:spacing w:after="100" w:before="200"/>
      </w:pPr>
      <w:r>
        <w:rPr>
          <w:rFonts w:ascii="Arial" w:cs="Arial" w:eastAsia="Arial" w:hAnsi="Arial"/>
          <w:b/>
          <w:bCs/>
          <w:color w:val="1B3A6B"/>
          <w:sz w:val="24"/>
          <w:szCs w:val="24"/>
        </w:rPr>
        <w:t xml:space="preserve">3.3.1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Stage</w:t>
            </w:r>
          </w:p>
        </w:tc>
        <w:tc>
          <w:tcPr>
            <w:tcW w:type="dxa" w:w="18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Tool</w:t>
            </w:r>
          </w:p>
        </w:tc>
        <w:tc>
          <w:tcPr>
            <w:tcW w:type="dxa" w:w="20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Trigger</w:t>
            </w:r>
          </w:p>
        </w:tc>
        <w:tc>
          <w:tcPr>
            <w:tcW w:type="dxa" w:w="31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Duration (Target)</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Code Commit &amp; Review</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GitHub + Pull Request</w:t>
            </w:r>
          </w:p>
        </w:tc>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Developer push</w:t>
            </w:r>
          </w:p>
        </w:tc>
        <w:tc>
          <w:tcPr>
            <w:tcW w:type="dxa" w:w="31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Static Analysis &amp; Linting</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ESLint, SonarCloud</w:t>
            </w:r>
          </w:p>
        </w:tc>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 opened</w:t>
            </w:r>
          </w:p>
        </w:tc>
        <w:tc>
          <w:tcPr>
            <w:tcW w:type="dxa" w:w="31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&lt; 2 min</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Unit &amp; Integration Tests</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Jest, Supertest</w:t>
            </w:r>
          </w:p>
        </w:tc>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 opened</w:t>
            </w:r>
          </w:p>
        </w:tc>
        <w:tc>
          <w:tcPr>
            <w:tcW w:type="dxa" w:w="31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&lt; 8 min</w:t>
            </w:r>
          </w:p>
        </w:tc>
      </w:tr>
      <w:tr>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Build Docker Image</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GitHub Actions</w:t>
            </w:r>
          </w:p>
        </w:tc>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 merged to main</w:t>
            </w:r>
          </w:p>
        </w:tc>
        <w:tc>
          <w:tcPr>
            <w:tcW w:type="dxa" w:w="31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&lt; 5 min</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Deploy to Staging</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AWS CodeDeploy / ECS</w:t>
            </w:r>
          </w:p>
        </w:tc>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After successful build</w:t>
            </w:r>
          </w:p>
        </w:tc>
        <w:tc>
          <w:tcPr>
            <w:tcW w:type="dxa" w:w="31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&lt; 10 min</w:t>
            </w:r>
          </w:p>
        </w:tc>
      </w:tr>
      <w:tr>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E2E Tests on Staging</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Cypress, Appium</w:t>
            </w:r>
          </w:p>
        </w:tc>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After staging deploy</w:t>
            </w:r>
          </w:p>
        </w:tc>
        <w:tc>
          <w:tcPr>
            <w:tcW w:type="dxa" w:w="31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&lt; 20 min</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Deploy to Production</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AWS Blue/Green</w:t>
            </w:r>
          </w:p>
        </w:tc>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Manual approval</w:t>
            </w:r>
          </w:p>
        </w:tc>
        <w:tc>
          <w:tcPr>
            <w:tcW w:type="dxa" w:w="31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&lt; 15 min</w:t>
            </w:r>
          </w:p>
        </w:tc>
      </w:tr>
    </w:tbl>
    <w:p>
      <w:pPr>
        <w:spacing w:after="0" w:before="160"/>
      </w:pPr>
    </w:p>
    <w:p>
      <w:pPr>
        <w:pStyle w:val="Heading2"/>
        <w:spacing w:after="120" w:before="280"/>
      </w:pPr>
      <w:r>
        <w:rPr>
          <w:rFonts w:ascii="Arial" w:cs="Arial" w:eastAsia="Arial" w:hAnsi="Arial"/>
          <w:b/>
          <w:bCs/>
          <w:color w:val="0D7377"/>
          <w:sz w:val="28"/>
          <w:szCs w:val="28"/>
        </w:rPr>
        <w:t xml:space="preserve">3.4  Technology Stack Justification Summary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760"/>
      </w:tblGrid>
      <w:tr>
        <w:trPr>
          <w:tblHeader/>
        </w:trPr>
        <w:tc>
          <w:tcPr>
            <w:tcW w:type="dxa" w:w="32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Criterion</w:t>
            </w:r>
          </w:p>
        </w:tc>
        <w:tc>
          <w:tcPr>
            <w:tcW w:type="dxa" w:w="12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Score (/ 10)</w:t>
            </w:r>
          </w:p>
        </w:tc>
        <w:tc>
          <w:tcPr>
            <w:tcW w:type="dxa" w:w="47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Analysis</w:t>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Developer Talent Availability in KSA</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9</w:t>
            </w:r>
          </w:p>
        </w:tc>
        <w:tc>
          <w:tcPr>
            <w:tcW w:type="dxa" w:w="4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Node.js, React Native, and AWS skills are abundant in Riyadh and Jeddah tech markets</w:t>
            </w:r>
          </w:p>
        </w:tc>
      </w:tr>
      <w:tr>
        <w:tc>
          <w:tcPr>
            <w:tcW w:type="dxa" w:w="3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Time-to-Market</w:t>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8</w:t>
            </w:r>
          </w:p>
        </w:tc>
        <w:tc>
          <w:tcPr>
            <w:tcW w:type="dxa" w:w="4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React Native cross-platform approach reduces mobile build time by ~40 % vs native</w:t>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Scalability</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9</w:t>
            </w:r>
          </w:p>
        </w:tc>
        <w:tc>
          <w:tcPr>
            <w:tcW w:type="dxa" w:w="4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AWS auto-scaling + PostgreSQL read replicas can support 10× growth without re-architecting</w:t>
            </w:r>
          </w:p>
        </w:tc>
      </w:tr>
      <w:tr>
        <w:tc>
          <w:tcPr>
            <w:tcW w:type="dxa" w:w="3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Cost Efficiency</w:t>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8</w:t>
            </w:r>
          </w:p>
        </w:tc>
        <w:tc>
          <w:tcPr>
            <w:tcW w:type="dxa" w:w="4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Managed AWS services eliminate the need for a dedicated infrastructure team in Year 1</w:t>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Security &amp; Compliance</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8</w:t>
            </w:r>
          </w:p>
        </w:tc>
        <w:tc>
          <w:tcPr>
            <w:tcW w:type="dxa" w:w="4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AWS GovCloud-compatible Bahrain region; PostgreSQL row-level security; TLS 1.3 throughout</w:t>
            </w:r>
          </w:p>
        </w:tc>
      </w:tr>
      <w:tr>
        <w:tc>
          <w:tcPr>
            <w:tcW w:type="dxa" w:w="3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Integration Ecosystem</w:t>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9</w:t>
            </w:r>
          </w:p>
        </w:tc>
        <w:tc>
          <w:tcPr>
            <w:tcW w:type="dxa" w:w="4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Firebase, Twilio, Stripe MENA, and Tamara BNPL all offer production-ready KSA integrations</w:t>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Community &amp; Longevity</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9</w:t>
            </w:r>
          </w:p>
        </w:tc>
        <w:tc>
          <w:tcPr>
            <w:tcW w:type="dxa" w:w="4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All selected technologies are backed by major corporations with 5+ year roadmaps</w:t>
            </w:r>
          </w:p>
        </w:tc>
      </w:tr>
      <w:tr>
        <w:tc>
          <w:tcPr>
            <w:tcW w:type="dxa" w:w="3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COMPOSITE SCORE</w:t>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7A4A"/>
                <w:sz w:val="19"/>
                <w:szCs w:val="19"/>
              </w:rPr>
              <w:t xml:space="preserve">8.7 / 10</w:t>
            </w:r>
          </w:p>
        </w:tc>
        <w:tc>
          <w:tcPr>
            <w:tcW w:type="dxa" w:w="4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left"/>
            </w:pPr>
            <w:r>
              <w:rPr>
                <w:rFonts w:ascii="Arial" w:cs="Arial" w:eastAsia="Arial" w:hAnsi="Arial"/>
                <w:b/>
                <w:bCs/>
                <w:color w:val="C8A135"/>
                <w:sz w:val="26"/>
                <w:szCs w:val="26"/>
              </w:rPr>
              <w:t xml:space="preserve">SECTION 4  </w:t>
            </w:r>
            <w:r>
              <w:rPr>
                <w:rFonts w:ascii="Arial" w:cs="Arial" w:eastAsia="Arial" w:hAnsi="Arial"/>
                <w:b/>
                <w:bCs/>
                <w:color w:val="FFFFFF"/>
                <w:sz w:val="26"/>
                <w:szCs w:val="26"/>
              </w:rPr>
              <w:t xml:space="preserve">OPERATIONAL FEASIBILITY</w:t>
            </w:r>
          </w:p>
        </w:tc>
      </w:tr>
    </w:tbl>
    <w:p>
      <w:pPr>
        <w:spacing w:after="0" w:before="120"/>
      </w:pPr>
    </w:p>
    <w:p>
      <w:pPr>
        <w:pStyle w:val="Heading2"/>
        <w:spacing w:after="120" w:before="280"/>
      </w:pPr>
      <w:r>
        <w:rPr>
          <w:rFonts w:ascii="Arial" w:cs="Arial" w:eastAsia="Arial" w:hAnsi="Arial"/>
          <w:b/>
          <w:bCs/>
          <w:color w:val="0D7377"/>
          <w:sz w:val="28"/>
          <w:szCs w:val="28"/>
        </w:rPr>
        <w:t xml:space="preserve">4.1  Real-World Operations in the Saudi Market</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1760"/>
      </w:tblGrid>
      <w:tr>
        <w:trPr>
          <w:tblHeader/>
        </w:trPr>
        <w:tc>
          <w:tcPr>
            <w:tcW w:type="dxa" w:w="20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Market Factor</w:t>
            </w:r>
          </w:p>
        </w:tc>
        <w:tc>
          <w:tcPr>
            <w:tcW w:type="dxa" w:w="24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Saudi Context</w:t>
            </w:r>
          </w:p>
        </w:tc>
        <w:tc>
          <w:tcPr>
            <w:tcW w:type="dxa" w:w="24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Servixo Response</w:t>
            </w:r>
          </w:p>
        </w:tc>
        <w:tc>
          <w:tcPr>
            <w:tcW w:type="dxa" w:w="17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Feasibility Impact</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Language</w:t>
            </w:r>
          </w:p>
        </w:tc>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Arabic primary; English secondary in expat areas</w:t>
            </w:r>
          </w:p>
        </w:tc>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Full Arabic RTL UI; bilingual customer support</w:t>
            </w:r>
          </w:p>
        </w:tc>
        <w:tc>
          <w:tcPr>
            <w:tcW w:type="dxa" w:w="17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Gender Dynamics</w:t>
            </w:r>
          </w:p>
        </w:tc>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Privacy preferences for in-home services</w:t>
            </w:r>
          </w:p>
        </w:tc>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Female customer flag → female team or female-present option; STC Pay / Mada for contactless payment</w:t>
            </w:r>
          </w:p>
        </w:tc>
        <w:tc>
          <w:tcPr>
            <w:tcW w:type="dxa" w:w="176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Prayer Times</w:t>
            </w:r>
          </w:p>
        </w:tc>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Business interruption 5× daily</w:t>
            </w:r>
          </w:p>
        </w:tc>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App auto-pause booking slots during Adhan; technician availability calendar respects prayer windows</w:t>
            </w:r>
          </w:p>
        </w:tc>
        <w:tc>
          <w:tcPr>
            <w:tcW w:type="dxa" w:w="17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Hijri Calendar</w:t>
            </w:r>
          </w:p>
        </w:tc>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Official government calendar used</w:t>
            </w:r>
          </w:p>
        </w:tc>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Date picker supports both Hijri and Gregorian</w:t>
            </w:r>
          </w:p>
        </w:tc>
        <w:tc>
          <w:tcPr>
            <w:tcW w:type="dxa" w:w="17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Cash Culture</w:t>
            </w:r>
          </w:p>
        </w:tc>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49 % of transactions still cash (2024)</w:t>
            </w:r>
          </w:p>
        </w:tc>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Cash-on-completion option alongside MADA, Apple Pay, STC Pay, Tamara BNPL</w:t>
            </w:r>
          </w:p>
        </w:tc>
        <w:tc>
          <w:tcPr>
            <w:tcW w:type="dxa" w:w="17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High Smartphone Usage</w:t>
            </w:r>
          </w:p>
        </w:tc>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97 % smartphone penetration (CITC 2024)</w:t>
            </w:r>
          </w:p>
        </w:tc>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Mobile-first design; low-bandwidth fallback for 4G users in non-metro areas</w:t>
            </w:r>
          </w:p>
        </w:tc>
        <w:tc>
          <w:tcPr>
            <w:tcW w:type="dxa" w:w="17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Expatriate Workforce</w:t>
            </w:r>
          </w:p>
        </w:tc>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~38 % of technicians are expatriate</w:t>
            </w:r>
          </w:p>
        </w:tc>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Iqama verification integrated in technician onboarding; multilingual support (Arabic/Tagalog/Hindi)</w:t>
            </w:r>
          </w:p>
        </w:tc>
        <w:tc>
          <w:tcPr>
            <w:tcW w:type="dxa" w:w="176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r>
    </w:tbl>
    <w:p>
      <w:pPr>
        <w:spacing w:after="0" w:before="160"/>
      </w:pPr>
    </w:p>
    <w:p>
      <w:pPr>
        <w:pStyle w:val="Heading2"/>
        <w:spacing w:after="120" w:before="280"/>
      </w:pPr>
      <w:r>
        <w:rPr>
          <w:rFonts w:ascii="Arial" w:cs="Arial" w:eastAsia="Arial" w:hAnsi="Arial"/>
          <w:b/>
          <w:bCs/>
          <w:color w:val="0D7377"/>
          <w:sz w:val="28"/>
          <w:szCs w:val="28"/>
        </w:rPr>
        <w:t xml:space="preserve">4.2  User Acceptance Factors</w:t>
      </w:r>
    </w:p>
    <w:p>
      <w:pPr>
        <w:pStyle w:val="Heading3"/>
        <w:spacing w:after="100" w:before="200"/>
      </w:pPr>
      <w:r>
        <w:rPr>
          <w:rFonts w:ascii="Arial" w:cs="Arial" w:eastAsia="Arial" w:hAnsi="Arial"/>
          <w:b/>
          <w:bCs/>
          <w:color w:val="1B3A6B"/>
          <w:sz w:val="24"/>
          <w:szCs w:val="24"/>
        </w:rPr>
        <w:t xml:space="preserve">4.2.1  Customer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rPr>
          <w:tblHeader/>
        </w:trPr>
        <w:tc>
          <w:tcPr>
            <w:tcW w:type="dxa" w:w="22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Acceptance Factor</w:t>
            </w:r>
          </w:p>
        </w:tc>
        <w:tc>
          <w:tcPr>
            <w:tcW w:type="dxa" w:w="14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Barrier</w:t>
            </w:r>
          </w:p>
        </w:tc>
        <w:tc>
          <w:tcPr>
            <w:tcW w:type="dxa" w:w="28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Mitigation Strategy</w:t>
            </w:r>
          </w:p>
        </w:tc>
        <w:tc>
          <w:tcPr>
            <w:tcW w:type="dxa" w:w="29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Expected Adoption Rate</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Trust in Strangers Entering Home</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High — cultural sensitivity</w:t>
            </w:r>
          </w:p>
        </w:tc>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Background checks, ID verification, ratings, live GPS tracking</w:t>
            </w:r>
          </w:p>
        </w:tc>
        <w:tc>
          <w:tcPr>
            <w:tcW w:type="dxa" w:w="29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72 % post-mitigation</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Digital Payment Adoption</w:t>
            </w:r>
          </w:p>
        </w:tc>
        <w:tc>
          <w:tcPr>
            <w:tcW w:type="dxa" w:w="1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Medium — cash preference</w:t>
            </w:r>
          </w:p>
        </w:tc>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Multi-payment options; MADA / STC Pay familiarity high with under-35s</w:t>
            </w:r>
          </w:p>
        </w:tc>
        <w:tc>
          <w:tcPr>
            <w:tcW w:type="dxa" w:w="29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68 %</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App Download &amp; Registration</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Low–Medium</w:t>
            </w:r>
          </w:p>
        </w:tc>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Streamlined 3-step sign-up; guest checkout for first booking</w:t>
            </w:r>
          </w:p>
        </w:tc>
        <w:tc>
          <w:tcPr>
            <w:tcW w:type="dxa" w:w="29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85 %</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Price Transparency</w:t>
            </w:r>
          </w:p>
        </w:tc>
        <w:tc>
          <w:tcPr>
            <w:tcW w:type="dxa" w:w="1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Medium — opaque market norm</w:t>
            </w:r>
          </w:p>
        </w:tc>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Upfront fixed pricing before confirmation; no surprise fees</w:t>
            </w:r>
          </w:p>
        </w:tc>
        <w:tc>
          <w:tcPr>
            <w:tcW w:type="dxa" w:w="29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88 %</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Service Quality Consistency</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High — past bad experiences</w:t>
            </w:r>
          </w:p>
        </w:tc>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Mandatory certification checks; 3-strike technician removal policy</w:t>
            </w:r>
          </w:p>
        </w:tc>
        <w:tc>
          <w:tcPr>
            <w:tcW w:type="dxa" w:w="29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76 %</w:t>
            </w:r>
          </w:p>
        </w:tc>
      </w:tr>
    </w:tbl>
    <w:p>
      <w:pPr>
        <w:spacing w:after="0" w:before="100"/>
      </w:pPr>
    </w:p>
    <w:p>
      <w:pPr>
        <w:pStyle w:val="Heading3"/>
        <w:spacing w:after="100" w:before="200"/>
      </w:pPr>
      <w:r>
        <w:rPr>
          <w:rFonts w:ascii="Arial" w:cs="Arial" w:eastAsia="Arial" w:hAnsi="Arial"/>
          <w:b/>
          <w:bCs/>
          <w:color w:val="1B3A6B"/>
          <w:sz w:val="24"/>
          <w:szCs w:val="24"/>
        </w:rPr>
        <w:t xml:space="preserve">4.2.2  Technician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rPr>
          <w:tblHeader/>
        </w:trPr>
        <w:tc>
          <w:tcPr>
            <w:tcW w:type="dxa" w:w="22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Acceptance Factor</w:t>
            </w:r>
          </w:p>
        </w:tc>
        <w:tc>
          <w:tcPr>
            <w:tcW w:type="dxa" w:w="14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Barrier</w:t>
            </w:r>
          </w:p>
        </w:tc>
        <w:tc>
          <w:tcPr>
            <w:tcW w:type="dxa" w:w="28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Mitigation Strategy</w:t>
            </w:r>
          </w:p>
        </w:tc>
        <w:tc>
          <w:tcPr>
            <w:tcW w:type="dxa" w:w="29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Likelihood</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Smartphone Literacy</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Medium — older technicians</w:t>
            </w:r>
          </w:p>
        </w:tc>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Simplified technician app; in-person onboarding; Arabic video tutorials</w:t>
            </w:r>
          </w:p>
        </w:tc>
        <w:tc>
          <w:tcPr>
            <w:tcW w:type="dxa" w:w="29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Earnings Anxiety</w:t>
            </w:r>
          </w:p>
        </w:tc>
        <w:tc>
          <w:tcPr>
            <w:tcW w:type="dxa" w:w="1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High — fear of lower income</w:t>
            </w:r>
          </w:p>
        </w:tc>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Guaranteed minimum SAR 80/job; weekly payout dashboard; earnings calculator</w:t>
            </w:r>
          </w:p>
        </w:tc>
        <w:tc>
          <w:tcPr>
            <w:tcW w:type="dxa" w:w="29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Rating System Fairness</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Medium — gaming concerns</w:t>
            </w:r>
          </w:p>
        </w:tc>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Dispute mechanism; 48-hr review window; AI flag suspicious patterns</w:t>
            </w:r>
          </w:p>
        </w:tc>
        <w:tc>
          <w:tcPr>
            <w:tcW w:type="dxa" w:w="296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GPS Tracking</w:t>
            </w:r>
          </w:p>
        </w:tc>
        <w:tc>
          <w:tcPr>
            <w:tcW w:type="dxa" w:w="1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Medium — privacy concern</w:t>
            </w:r>
          </w:p>
        </w:tc>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Clear opt-in consent; tracking active only during job; shared with customer not platform</w:t>
            </w:r>
          </w:p>
        </w:tc>
        <w:tc>
          <w:tcPr>
            <w:tcW w:type="dxa" w:w="29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Tax / Zakat Reporting</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Low — new requirement</w:t>
            </w:r>
          </w:p>
        </w:tc>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Auto-generated income summary for annual Zakat filing; partnership with ZATCA-approved accountant</w:t>
            </w:r>
          </w:p>
        </w:tc>
        <w:tc>
          <w:tcPr>
            <w:tcW w:type="dxa" w:w="296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r>
    </w:tbl>
    <w:p>
      <w:pPr>
        <w:spacing w:after="0" w:before="160"/>
      </w:pPr>
    </w:p>
    <w:p>
      <w:pPr>
        <w:pStyle w:val="Heading2"/>
        <w:spacing w:after="120" w:before="280"/>
      </w:pPr>
      <w:r>
        <w:rPr>
          <w:rFonts w:ascii="Arial" w:cs="Arial" w:eastAsia="Arial" w:hAnsi="Arial"/>
          <w:b/>
          <w:bCs/>
          <w:color w:val="0D7377"/>
          <w:sz w:val="28"/>
          <w:szCs w:val="28"/>
        </w:rPr>
        <w:t xml:space="preserve">4.3  Organisational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200"/>
        <w:gridCol w:w="2760"/>
      </w:tblGrid>
      <w:tr>
        <w:trPr>
          <w:tblHeader/>
        </w:trPr>
        <w:tc>
          <w:tcPr>
            <w:tcW w:type="dxa" w:w="18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Readiness Area</w:t>
            </w:r>
          </w:p>
        </w:tc>
        <w:tc>
          <w:tcPr>
            <w:tcW w:type="dxa" w:w="18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Current State</w:t>
            </w:r>
          </w:p>
        </w:tc>
        <w:tc>
          <w:tcPr>
            <w:tcW w:type="dxa" w:w="18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Required State</w:t>
            </w:r>
          </w:p>
        </w:tc>
        <w:tc>
          <w:tcPr>
            <w:tcW w:type="dxa" w:w="12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Gap</w:t>
            </w:r>
          </w:p>
        </w:tc>
        <w:tc>
          <w:tcPr>
            <w:tcW w:type="dxa" w:w="27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Timeline to Close</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Technical Team</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0 FTE (pre-launch)</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10 core FTEs at launch</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Full team hire required</w:t>
            </w:r>
          </w:p>
        </w:tc>
        <w:tc>
          <w:tcPr>
            <w:tcW w:type="dxa" w:w="2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3–4 months</w:t>
            </w:r>
          </w:p>
        </w:tc>
      </w:tr>
      <w:tr>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Operations Centre</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None</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Customer support + field ops team (8 agents)</w:t>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Establish Riyadh HQ ops</w:t>
            </w:r>
          </w:p>
        </w:tc>
        <w:tc>
          <w:tcPr>
            <w:tcW w:type="dxa" w:w="2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2–3 months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Legal Entity</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CR application</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Active CR + CITC licence + HRDF partnership</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Licencing track</w:t>
            </w:r>
          </w:p>
        </w:tc>
        <w:tc>
          <w:tcPr>
            <w:tcW w:type="dxa" w:w="2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 months</w:t>
            </w:r>
          </w:p>
        </w:tc>
      </w:tr>
      <w:tr>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Quality Framework</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Draft only</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ISO 9001-aligned SOP for all 12 service categories</w:t>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SOP authoring + training</w:t>
            </w:r>
          </w:p>
        </w:tc>
        <w:tc>
          <w:tcPr>
            <w:tcW w:type="dxa" w:w="2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 months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Technician Network</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0</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500 verified technicians at launch across 3 cities</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Partnership + vetting drive</w:t>
            </w:r>
          </w:p>
        </w:tc>
        <w:tc>
          <w:tcPr>
            <w:tcW w:type="dxa" w:w="2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 months</w:t>
            </w:r>
          </w:p>
        </w:tc>
      </w:tr>
      <w:tr>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Payment Integration</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None</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MADA, STC Pay, Apple Pay, Tamara live</w:t>
            </w:r>
          </w:p>
        </w:tc>
        <w:tc>
          <w:tcPr>
            <w:tcW w:type="dxa" w:w="1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3rd-party integration</w:t>
            </w:r>
          </w:p>
        </w:tc>
        <w:tc>
          <w:tcPr>
            <w:tcW w:type="dxa" w:w="27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6 weeks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Insurance Coverage</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None</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SAR 500K public liability per technician job</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Insurance partner (Tawuniya / AXA)</w:t>
            </w:r>
          </w:p>
        </w:tc>
        <w:tc>
          <w:tcPr>
            <w:tcW w:type="dxa" w:w="27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6 weeks</w:t>
            </w:r>
          </w:p>
        </w:tc>
      </w:tr>
    </w:tbl>
    <w:p>
      <w:pPr>
        <w:spacing w:after="0" w:before="160"/>
      </w:pPr>
    </w:p>
    <w:p>
      <w:pPr>
        <w:pStyle w:val="Heading2"/>
        <w:spacing w:after="120" w:before="280"/>
      </w:pPr>
      <w:r>
        <w:rPr>
          <w:rFonts w:ascii="Arial" w:cs="Arial" w:eastAsia="Arial" w:hAnsi="Arial"/>
          <w:b/>
          <w:bCs/>
          <w:color w:val="0D7377"/>
          <w:sz w:val="28"/>
          <w:szCs w:val="28"/>
        </w:rPr>
        <w:t xml:space="preserve">4.4  Training Requirements</w:t>
      </w:r>
    </w:p>
    <w:p>
      <w:pPr>
        <w:pStyle w:val="Heading3"/>
        <w:spacing w:after="100" w:before="200"/>
      </w:pPr>
      <w:r>
        <w:rPr>
          <w:rFonts w:ascii="Arial" w:cs="Arial" w:eastAsia="Arial" w:hAnsi="Arial"/>
          <w:b/>
          <w:bCs/>
          <w:color w:val="1B3A6B"/>
          <w:sz w:val="24"/>
          <w:szCs w:val="24"/>
        </w:rPr>
        <w:t xml:space="preserve">4.4.1  Technician Training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2800"/>
        <w:gridCol w:w="1960"/>
      </w:tblGrid>
      <w:tr>
        <w:trPr>
          <w:tblHeader/>
        </w:trPr>
        <w:tc>
          <w:tcPr>
            <w:tcW w:type="dxa" w:w="22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Module</w:t>
            </w:r>
          </w:p>
        </w:tc>
        <w:tc>
          <w:tcPr>
            <w:tcW w:type="dxa" w:w="10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Duration</w:t>
            </w:r>
          </w:p>
        </w:tc>
        <w:tc>
          <w:tcPr>
            <w:tcW w:type="dxa" w:w="14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Delivery</w:t>
            </w:r>
          </w:p>
        </w:tc>
        <w:tc>
          <w:tcPr>
            <w:tcW w:type="dxa" w:w="28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Content</w:t>
            </w:r>
          </w:p>
        </w:tc>
        <w:tc>
          <w:tcPr>
            <w:tcW w:type="dxa" w:w="19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Mandatory?</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Platform Onboarding</w:t>
            </w:r>
          </w:p>
        </w:tc>
        <w:tc>
          <w:tcPr>
            <w:tcW w:type="dxa" w:w="1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 hours</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In-person + app tutorial</w:t>
            </w:r>
          </w:p>
        </w:tc>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Account setup, job acceptance flow, GPS, payment collection</w:t>
            </w:r>
          </w:p>
        </w:tc>
        <w:tc>
          <w:tcPr>
            <w:tcW w:type="dxa" w:w="1960"/>
            <w:gridSpan w:val="1"/>
            <w:tcBorders>
              <w:top w:val="single" w:color="CCCCCC" w:sz="4"/>
              <w:left w:val="single" w:color="CCCCCC" w:sz="4"/>
              <w:bottom w:val="single" w:color="CCCCCC" w:sz="4"/>
              <w:right w:val="single" w:color="CCCCCC" w:sz="4"/>
            </w:tcBorders>
            <w:shd w:fill="B03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Critical</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Customer Service Standards</w:t>
            </w:r>
          </w:p>
        </w:tc>
        <w:tc>
          <w:tcPr>
            <w:tcW w:type="dxa" w:w="1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 hours</w:t>
            </w:r>
          </w:p>
        </w:tc>
        <w:tc>
          <w:tcPr>
            <w:tcW w:type="dxa" w:w="1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Workshop (Arabic)</w:t>
            </w:r>
          </w:p>
        </w:tc>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Professional conduct, punctuality SLA, uniform standards, communication</w:t>
            </w:r>
          </w:p>
        </w:tc>
        <w:tc>
          <w:tcPr>
            <w:tcW w:type="dxa" w:w="1960"/>
            <w:gridSpan w:val="1"/>
            <w:tcBorders>
              <w:top w:val="single" w:color="CCCCCC" w:sz="4"/>
              <w:left w:val="single" w:color="CCCCCC" w:sz="4"/>
              <w:bottom w:val="single" w:color="CCCCCC" w:sz="4"/>
              <w:right w:val="single" w:color="CCCCCC" w:sz="4"/>
            </w:tcBorders>
            <w:shd w:fill="B03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Critical</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Safety &amp; Compliance</w:t>
            </w:r>
          </w:p>
        </w:tc>
        <w:tc>
          <w:tcPr>
            <w:tcW w:type="dxa" w:w="1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 hours</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Online video</w:t>
            </w:r>
          </w:p>
        </w:tc>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PPE requirements, electrical safety, chemical handling, emergency contacts</w:t>
            </w:r>
          </w:p>
        </w:tc>
        <w:tc>
          <w:tcPr>
            <w:tcW w:type="dxa" w:w="1960"/>
            <w:gridSpan w:val="1"/>
            <w:tcBorders>
              <w:top w:val="single" w:color="CCCCCC" w:sz="4"/>
              <w:left w:val="single" w:color="CCCCCC" w:sz="4"/>
              <w:bottom w:val="single" w:color="CCCCCC" w:sz="4"/>
              <w:right w:val="single" w:color="CCCCCC" w:sz="4"/>
            </w:tcBorders>
            <w:shd w:fill="B03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Critical</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Digital Tools (App Walkthrough)</w:t>
            </w:r>
          </w:p>
        </w:tc>
        <w:tc>
          <w:tcPr>
            <w:tcW w:type="dxa" w:w="1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 hours</w:t>
            </w:r>
          </w:p>
        </w:tc>
        <w:tc>
          <w:tcPr>
            <w:tcW w:type="dxa" w:w="1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1-on-1 or group</w:t>
            </w:r>
          </w:p>
        </w:tc>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Booking management, chat, invoice generation, dispute raising</w:t>
            </w:r>
          </w:p>
        </w:tc>
        <w:tc>
          <w:tcPr>
            <w:tcW w:type="dxa" w:w="19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Required</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Financial Literacy</w:t>
            </w:r>
          </w:p>
        </w:tc>
        <w:tc>
          <w:tcPr>
            <w:tcW w:type="dxa" w:w="1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1.5 hours</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Online</w:t>
            </w:r>
          </w:p>
        </w:tc>
        <w:tc>
          <w:tcPr>
            <w:tcW w:type="dxa" w:w="2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Understanding platform fees, weekly payout schedule, Zakat considerations</w:t>
            </w:r>
          </w:p>
        </w:tc>
        <w:tc>
          <w:tcPr>
            <w:tcW w:type="dxa" w:w="19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Required</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Advanced Service Quality</w:t>
            </w:r>
          </w:p>
        </w:tc>
        <w:tc>
          <w:tcPr>
            <w:tcW w:type="dxa" w:w="1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 hours</w:t>
            </w:r>
          </w:p>
        </w:tc>
        <w:tc>
          <w:tcPr>
            <w:tcW w:type="dxa" w:w="1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Bi-annual refresher</w:t>
            </w:r>
          </w:p>
        </w:tc>
        <w:tc>
          <w:tcPr>
            <w:tcW w:type="dxa" w:w="2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New service categories, updated SOPs, customer feedback review</w:t>
            </w:r>
          </w:p>
        </w:tc>
        <w:tc>
          <w:tcPr>
            <w:tcW w:type="dxa" w:w="19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Recommended</w:t>
            </w:r>
          </w:p>
        </w:tc>
      </w:tr>
    </w:tbl>
    <w:p>
      <w:pPr>
        <w:spacing w:after="0" w:before="100"/>
      </w:pPr>
    </w:p>
    <w:p>
      <w:pPr>
        <w:pStyle w:val="Heading3"/>
        <w:spacing w:after="100" w:before="200"/>
      </w:pPr>
      <w:r>
        <w:rPr>
          <w:rFonts w:ascii="Arial" w:cs="Arial" w:eastAsia="Arial" w:hAnsi="Arial"/>
          <w:b/>
          <w:bCs/>
          <w:color w:val="1B3A6B"/>
          <w:sz w:val="24"/>
          <w:szCs w:val="24"/>
        </w:rPr>
        <w:t xml:space="preserve">4.4.2  Customer Education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Channel</w:t>
            </w:r>
          </w:p>
        </w:tc>
        <w:tc>
          <w:tcPr>
            <w:tcW w:type="dxa" w:w="24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Content</w:t>
            </w:r>
          </w:p>
        </w:tc>
        <w:tc>
          <w:tcPr>
            <w:tcW w:type="dxa" w:w="18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Timing</w:t>
            </w:r>
          </w:p>
        </w:tc>
        <w:tc>
          <w:tcPr>
            <w:tcW w:type="dxa" w:w="33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Goal</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In-App Tutorial</w:t>
            </w:r>
          </w:p>
        </w:tc>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Interactive walkthrough of booking, tracking, payment</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First launch</w:t>
            </w:r>
          </w:p>
        </w:tc>
        <w:tc>
          <w:tcPr>
            <w:tcW w:type="dxa" w:w="33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80 % completion rate</w:t>
            </w:r>
          </w:p>
        </w:tc>
      </w:tr>
      <w:tr>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Push Notifications</w:t>
            </w:r>
          </w:p>
        </w:tc>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Tips on writing clear job descriptions</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Days 3, 7 post-install</w:t>
            </w:r>
          </w:p>
        </w:tc>
        <w:tc>
          <w:tcPr>
            <w:tcW w:type="dxa" w:w="33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Reduce mismatched bookings by 30 %</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YouTube / Instagram (Arabic)</w:t>
            </w:r>
          </w:p>
        </w:tc>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'How Servixo Works' 90-second video series</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Pre-launch campaign</w:t>
            </w:r>
          </w:p>
        </w:tc>
        <w:tc>
          <w:tcPr>
            <w:tcW w:type="dxa" w:w="33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100,000 views in first month</w:t>
            </w:r>
          </w:p>
        </w:tc>
      </w:tr>
      <w:tr>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Email Drip Series</w:t>
            </w:r>
          </w:p>
        </w:tc>
        <w:tc>
          <w:tcPr>
            <w:tcW w:type="dxa" w:w="24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Service tips, safety checklist, review how-to</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Post-first-booking (day 1, 7, 30)</w:t>
            </w:r>
          </w:p>
        </w:tc>
        <w:tc>
          <w:tcPr>
            <w:tcW w:type="dxa" w:w="33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Repeat booking rate &gt; 45 %</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Help Centre (Arabic)</w:t>
            </w:r>
          </w:p>
        </w:tc>
        <w:tc>
          <w:tcPr>
            <w:tcW w:type="dxa" w:w="24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FAQs, video guides, chat escalation</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Always-on</w:t>
            </w:r>
          </w:p>
        </w:tc>
        <w:tc>
          <w:tcPr>
            <w:tcW w:type="dxa" w:w="33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Deflect 60 % of Tier-1 support tickets</w:t>
            </w:r>
          </w:p>
        </w:tc>
      </w:tr>
    </w:tbl>
    <w:p>
      <w:pPr>
        <w:spacing w:after="0" w:before="160"/>
      </w:pPr>
    </w:p>
    <w:p>
      <w:pPr>
        <w:pStyle w:val="Heading2"/>
        <w:spacing w:after="120" w:before="280"/>
      </w:pPr>
      <w:r>
        <w:rPr>
          <w:rFonts w:ascii="Arial" w:cs="Arial" w:eastAsia="Arial" w:hAnsi="Arial"/>
          <w:b/>
          <w:bCs/>
          <w:color w:val="0D7377"/>
          <w:sz w:val="28"/>
          <w:szCs w:val="28"/>
        </w:rPr>
        <w:t xml:space="preserve">4.5  Legal &amp; Regulatory Compliance — Saudi Arabia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800"/>
        <w:gridCol w:w="2500"/>
        <w:gridCol w:w="2060"/>
      </w:tblGrid>
      <w:tr>
        <w:trPr>
          <w:tblHeader/>
        </w:trPr>
        <w:tc>
          <w:tcPr>
            <w:tcW w:type="dxa" w:w="20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Regulation / Law</w:t>
            </w:r>
          </w:p>
        </w:tc>
        <w:tc>
          <w:tcPr>
            <w:tcW w:type="dxa" w:w="10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Authority</w:t>
            </w:r>
          </w:p>
        </w:tc>
        <w:tc>
          <w:tcPr>
            <w:tcW w:type="dxa" w:w="18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Requirement</w:t>
            </w:r>
          </w:p>
        </w:tc>
        <w:tc>
          <w:tcPr>
            <w:tcW w:type="dxa" w:w="25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Servixo Implementation</w:t>
            </w:r>
          </w:p>
        </w:tc>
        <w:tc>
          <w:tcPr>
            <w:tcW w:type="dxa" w:w="20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Status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Personal Data Protection Law (PDPL)</w:t>
            </w:r>
          </w:p>
        </w:tc>
        <w:tc>
          <w:tcPr>
            <w:tcW w:type="dxa" w:w="1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SDAIA</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Explicit consent for data collection; right to erasure; local data residency</w:t>
            </w:r>
          </w:p>
        </w:tc>
        <w:tc>
          <w:tcPr>
            <w:tcW w:type="dxa" w:w="2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Data stored on AWS Bahrain (me-south-1); consent banner at sign-up; erasure API endpoint</w:t>
            </w:r>
          </w:p>
        </w:tc>
        <w:tc>
          <w:tcPr>
            <w:tcW w:type="dxa" w:w="20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Compliant</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Labour Law — Freelancer Iqama</w:t>
            </w:r>
          </w:p>
        </w:tc>
        <w:tc>
          <w:tcPr>
            <w:tcW w:type="dxa" w:w="1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MLSD / Qiwa Platform</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Expatriate technicians require valid work permit for freelance digital platforms</w:t>
            </w:r>
          </w:p>
        </w:tc>
        <w:tc>
          <w:tcPr>
            <w:tcW w:type="dxa" w:w="2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Iqama validation via Qiwa API during technician onboarding; monthly compliance check</w:t>
            </w:r>
          </w:p>
        </w:tc>
        <w:tc>
          <w:tcPr>
            <w:tcW w:type="dxa" w:w="2060"/>
            <w:gridSpan w:val="1"/>
            <w:tcBorders>
              <w:top w:val="single" w:color="CCCCCC" w:sz="4"/>
              <w:left w:val="single" w:color="CCCCCC" w:sz="4"/>
              <w:bottom w:val="single" w:color="CCCCCC" w:sz="4"/>
              <w:right w:val="single" w:color="CCCCCC" w:sz="4"/>
            </w:tcBorders>
            <w:shd w:fill="5A647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Pending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E-Commerce Regulations</w:t>
            </w:r>
          </w:p>
        </w:tc>
        <w:tc>
          <w:tcPr>
            <w:tcW w:type="dxa" w:w="1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MCIT</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Platform must display CR number; complaint mechanism; SLA for refunds</w:t>
            </w:r>
          </w:p>
        </w:tc>
        <w:tc>
          <w:tcPr>
            <w:tcW w:type="dxa" w:w="2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CR displayed in footer/app; 48-hr refund SLA; dispute resolution module</w:t>
            </w:r>
          </w:p>
        </w:tc>
        <w:tc>
          <w:tcPr>
            <w:tcW w:type="dxa" w:w="20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Compliant</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CITC Telecom Licence</w:t>
            </w:r>
          </w:p>
        </w:tc>
        <w:tc>
          <w:tcPr>
            <w:tcW w:type="dxa" w:w="1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CITC</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Apps collecting location data require CITC notification</w:t>
            </w:r>
          </w:p>
        </w:tc>
        <w:tc>
          <w:tcPr>
            <w:tcW w:type="dxa" w:w="2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CITC notification filed; Privacy Policy updated with GPS disclosure</w:t>
            </w:r>
          </w:p>
        </w:tc>
        <w:tc>
          <w:tcPr>
            <w:tcW w:type="dxa" w:w="20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Compliant</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Zakat &amp; Tax (ZATCA)</w:t>
            </w:r>
          </w:p>
        </w:tc>
        <w:tc>
          <w:tcPr>
            <w:tcW w:type="dxa" w:w="1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ZATCA</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VAT (15 %) on platform commissions; technician self-employment income reporting</w:t>
            </w:r>
          </w:p>
        </w:tc>
        <w:tc>
          <w:tcPr>
            <w:tcW w:type="dxa" w:w="2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VAT charged on platform fee; integrated ZATCA e-invoicing (Fatoora) API</w:t>
            </w:r>
          </w:p>
        </w:tc>
        <w:tc>
          <w:tcPr>
            <w:tcW w:type="dxa" w:w="206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Partial</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Anti-Money Laundering (AML)</w:t>
            </w:r>
          </w:p>
        </w:tc>
        <w:tc>
          <w:tcPr>
            <w:tcW w:type="dxa" w:w="10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SAMA</w:t>
            </w:r>
          </w:p>
        </w:tc>
        <w:tc>
          <w:tcPr>
            <w:tcW w:type="dxa" w:w="18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Payment platforms must implement KYC; suspicious transaction reporting</w:t>
            </w:r>
          </w:p>
        </w:tc>
        <w:tc>
          <w:tcPr>
            <w:tcW w:type="dxa" w:w="2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MADA &amp; STC Pay partners handle KYC; SAR 10,000+ transactions flagged</w:t>
            </w:r>
          </w:p>
        </w:tc>
        <w:tc>
          <w:tcPr>
            <w:tcW w:type="dxa" w:w="20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Compliant</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Consumer Protection Law</w:t>
            </w:r>
          </w:p>
        </w:tc>
        <w:tc>
          <w:tcPr>
            <w:tcW w:type="dxa" w:w="1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MCI</w:t>
            </w:r>
          </w:p>
        </w:tc>
        <w:tc>
          <w:tcPr>
            <w:tcW w:type="dxa" w:w="18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Service warranties; price transparency; dispute resolution</w:t>
            </w:r>
          </w:p>
        </w:tc>
        <w:tc>
          <w:tcPr>
            <w:tcW w:type="dxa" w:w="2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Fixed upfront pricing; 7-day workmanship guarantee; in-app dispute module</w:t>
            </w:r>
          </w:p>
        </w:tc>
        <w:tc>
          <w:tcPr>
            <w:tcW w:type="dxa" w:w="206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Compliant</w:t>
            </w:r>
          </w:p>
        </w:tc>
      </w:tr>
    </w:tbl>
    <w:p>
      <w:pPr>
        <w:spacing w:after="0" w:before="160"/>
      </w:pPr>
    </w:p>
    <w:p>
      <w:pPr>
        <w:pStyle w:val="Heading2"/>
        <w:spacing w:after="120" w:before="280"/>
      </w:pPr>
      <w:r>
        <w:rPr>
          <w:rFonts w:ascii="Arial" w:cs="Arial" w:eastAsia="Arial" w:hAnsi="Arial"/>
          <w:b/>
          <w:bCs/>
          <w:color w:val="0D7377"/>
          <w:sz w:val="28"/>
          <w:szCs w:val="28"/>
        </w:rPr>
        <w:t xml:space="preserve">4.6  Operational Workflow — Booking to Completion</w:t>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2200"/>
        <w:gridCol w:w="2200"/>
        <w:gridCol w:w="1160"/>
      </w:tblGrid>
      <w:tr>
        <w:trPr>
          <w:tblHeader/>
        </w:trPr>
        <w:tc>
          <w:tcPr>
            <w:tcW w:type="dxa" w:w="5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Step</w:t>
            </w:r>
          </w:p>
        </w:tc>
        <w:tc>
          <w:tcPr>
            <w:tcW w:type="dxa" w:w="11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Actor</w:t>
            </w:r>
          </w:p>
        </w:tc>
        <w:tc>
          <w:tcPr>
            <w:tcW w:type="dxa" w:w="22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Action</w:t>
            </w:r>
          </w:p>
        </w:tc>
        <w:tc>
          <w:tcPr>
            <w:tcW w:type="dxa" w:w="22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System Component</w:t>
            </w:r>
          </w:p>
        </w:tc>
        <w:tc>
          <w:tcPr>
            <w:tcW w:type="dxa" w:w="11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SLA</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 Discovery</w:t>
            </w:r>
          </w:p>
        </w:tc>
        <w:tc>
          <w:tcPr>
            <w:tcW w:type="dxa" w:w="11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Customer</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Opens app, selects service category and describes job</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Elasticsearch service search + dynamic pricing engine</w:t>
            </w:r>
          </w:p>
        </w:tc>
        <w:tc>
          <w:tcPr>
            <w:tcW w:type="dxa" w:w="11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&lt; 3 sec load</w:t>
            </w:r>
          </w:p>
        </w:tc>
      </w:tr>
      <w:tr>
        <w:tc>
          <w:tcPr>
            <w:tcW w:type="dxa" w:w="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2. Quote &amp; Booking</w:t>
            </w:r>
          </w:p>
        </w:tc>
        <w:tc>
          <w:tcPr>
            <w:tcW w:type="dxa" w:w="11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Customer</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Reviews upfront fixed price, selects time slot, confirms booking</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Booking microservice; availability calendar; payment authorisation (hold)</w:t>
            </w:r>
          </w:p>
        </w:tc>
        <w:tc>
          <w:tcPr>
            <w:tcW w:type="dxa" w:w="11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&lt; 60 sec</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 Technician Matching</w:t>
            </w:r>
          </w:p>
        </w:tc>
        <w:tc>
          <w:tcPr>
            <w:tcW w:type="dxa" w:w="11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System</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Algorithm assigns nearest available verified technician based on skill, rating, distance</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Matching engine (Node.js); Redis job queue; FCM push to technician</w:t>
            </w:r>
          </w:p>
        </w:tc>
        <w:tc>
          <w:tcPr>
            <w:tcW w:type="dxa" w:w="11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&lt; 90 sec match</w:t>
            </w:r>
          </w:p>
        </w:tc>
      </w:tr>
      <w:tr>
        <w:tc>
          <w:tcPr>
            <w:tcW w:type="dxa" w:w="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4. Technician Acceptance</w:t>
            </w:r>
          </w:p>
        </w:tc>
        <w:tc>
          <w:tcPr>
            <w:tcW w:type="dxa" w:w="11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Technician</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Accepts or declines job in technician app (30-sec window)</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Technician app; WebSocket event; re-queue if declined</w:t>
            </w:r>
          </w:p>
        </w:tc>
        <w:tc>
          <w:tcPr>
            <w:tcW w:type="dxa" w:w="11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30 sec window</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5. En-Route Tracking</w:t>
            </w:r>
          </w:p>
        </w:tc>
        <w:tc>
          <w:tcPr>
            <w:tcW w:type="dxa" w:w="11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Both</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Customer tracks technician live GPS; ETA displayed</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Firebase Realtime DB; Google Maps SDK</w:t>
            </w:r>
          </w:p>
        </w:tc>
        <w:tc>
          <w:tcPr>
            <w:tcW w:type="dxa" w:w="11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Continuous</w:t>
            </w:r>
          </w:p>
        </w:tc>
      </w:tr>
      <w:tr>
        <w:tc>
          <w:tcPr>
            <w:tcW w:type="dxa" w:w="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6. Job Start</w:t>
            </w:r>
          </w:p>
        </w:tc>
        <w:tc>
          <w:tcPr>
            <w:tcW w:type="dxa" w:w="11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Technician</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Taps 'Start Job' on-site; customer receives notification</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Booking status update; timer starts; photo upload option</w:t>
            </w:r>
          </w:p>
        </w:tc>
        <w:tc>
          <w:tcPr>
            <w:tcW w:type="dxa" w:w="11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Instant</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7. Job Completion</w:t>
            </w:r>
          </w:p>
        </w:tc>
        <w:tc>
          <w:tcPr>
            <w:tcW w:type="dxa" w:w="11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Technician</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Taps 'Complete'; uploads before/after photos; customer signs off</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Firestore job record; S3 photo storage</w:t>
            </w:r>
          </w:p>
        </w:tc>
        <w:tc>
          <w:tcPr>
            <w:tcW w:type="dxa" w:w="11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Instant</w:t>
            </w:r>
          </w:p>
        </w:tc>
      </w:tr>
      <w:tr>
        <w:tc>
          <w:tcPr>
            <w:tcW w:type="dxa" w:w="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8. Payment Capture</w:t>
            </w:r>
          </w:p>
        </w:tc>
        <w:tc>
          <w:tcPr>
            <w:tcW w:type="dxa" w:w="11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System</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Authorised payment captured; platform commission deducted; technician payout queued</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Payment gateway; Stripe Connect MENA / HyperPay</w:t>
            </w:r>
          </w:p>
        </w:tc>
        <w:tc>
          <w:tcPr>
            <w:tcW w:type="dxa" w:w="11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&lt; 5 sec</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9. Review &amp; Rating</w:t>
            </w:r>
          </w:p>
        </w:tc>
        <w:tc>
          <w:tcPr>
            <w:tcW w:type="dxa" w:w="11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Customer</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Rates technician 1–5 stars; optional comment</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Rating microservice; moderation AI (Arabic NLP)</w:t>
            </w:r>
          </w:p>
        </w:tc>
        <w:tc>
          <w:tcPr>
            <w:tcW w:type="dxa" w:w="11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Up to 48 hrs</w:t>
            </w:r>
          </w:p>
        </w:tc>
      </w:tr>
      <w:tr>
        <w:tc>
          <w:tcPr>
            <w:tcW w:type="dxa" w:w="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10. Resolution (if needed)</w:t>
            </w:r>
          </w:p>
        </w:tc>
        <w:tc>
          <w:tcPr>
            <w:tcW w:type="dxa" w:w="11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Ops Team</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Dispute reviewed; remedy (refund / re-visit) actioned</w:t>
            </w:r>
          </w:p>
        </w:tc>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Ticketing system (Freshdesk); SLA 24 hrs response</w:t>
            </w:r>
          </w:p>
        </w:tc>
        <w:tc>
          <w:tcPr>
            <w:tcW w:type="dxa" w:w="11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&lt; 24 hrs</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D7377" w:val="clear"/>
            <w:tcMar>
              <w:top w:type="dxa" w:w="100"/>
              <w:left w:type="dxa" w:w="140"/>
              <w:bottom w:type="dxa" w:w="100"/>
              <w:right w:type="dxa" w:w="140"/>
            </w:tcMar>
            <w:vAlign w:val="center"/>
          </w:tcPr>
          <w:p>
            <w:pPr>
              <w:jc w:val="left"/>
            </w:pPr>
            <w:r>
              <w:rPr>
                <w:rFonts w:ascii="Arial" w:cs="Arial" w:eastAsia="Arial" w:hAnsi="Arial"/>
                <w:b/>
                <w:bCs/>
                <w:color w:val="C8A135"/>
                <w:sz w:val="26"/>
                <w:szCs w:val="26"/>
              </w:rPr>
              <w:t xml:space="preserve">SECTION 5  </w:t>
            </w:r>
            <w:r>
              <w:rPr>
                <w:rFonts w:ascii="Arial" w:cs="Arial" w:eastAsia="Arial" w:hAnsi="Arial"/>
                <w:b/>
                <w:bCs/>
                <w:color w:val="FFFFFF"/>
                <w:sz w:val="26"/>
                <w:szCs w:val="26"/>
              </w:rPr>
              <w:t xml:space="preserve">CONSOLIDATED RISK REGISTER</w:t>
            </w:r>
          </w:p>
        </w:tc>
      </w:tr>
    </w:tbl>
    <w:p>
      <w:pPr>
        <w:spacing w:after="0" w:before="12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900"/>
        <w:gridCol w:w="3960"/>
      </w:tblGrid>
      <w:tr>
        <w:trPr>
          <w:tblHeader/>
        </w:trPr>
        <w:tc>
          <w:tcPr>
            <w:tcW w:type="dxa" w:w="22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Risk</w:t>
            </w:r>
          </w:p>
        </w:tc>
        <w:tc>
          <w:tcPr>
            <w:tcW w:type="dxa" w:w="11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Category</w:t>
            </w:r>
          </w:p>
        </w:tc>
        <w:tc>
          <w:tcPr>
            <w:tcW w:type="dxa" w:w="10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Likelihood</w:t>
            </w:r>
          </w:p>
        </w:tc>
        <w:tc>
          <w:tcPr>
            <w:tcW w:type="dxa" w:w="90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Impact</w:t>
            </w:r>
          </w:p>
        </w:tc>
        <w:tc>
          <w:tcPr>
            <w:tcW w:type="dxa" w:w="3960"/>
            <w:gridSpan w:val="1"/>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Mitigation</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Key technical talent unavailable at competitive salary</w:t>
            </w:r>
          </w:p>
        </w:tc>
        <w:tc>
          <w:tcPr>
            <w:tcW w:type="dxa" w:w="11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Technical</w:t>
            </w:r>
          </w:p>
        </w:tc>
        <w:tc>
          <w:tcPr>
            <w:tcW w:type="dxa" w:w="100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c>
          <w:tcPr>
            <w:tcW w:type="dxa" w:w="90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c>
          <w:tcPr>
            <w:tcW w:type="dxa" w:w="39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Partner with KACST / tuwaiq academy; remote KSA-diaspora hires; graduated vesting</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PDPL enforcement causes data architecture rework</w:t>
            </w:r>
          </w:p>
        </w:tc>
        <w:tc>
          <w:tcPr>
            <w:tcW w:type="dxa" w:w="11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Regulatory</w:t>
            </w:r>
          </w:p>
        </w:tc>
        <w:tc>
          <w:tcPr>
            <w:tcW w:type="dxa" w:w="100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c>
          <w:tcPr>
            <w:tcW w:type="dxa" w:w="90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c>
          <w:tcPr>
            <w:tcW w:type="dxa" w:w="39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Engage SDAIA pre-launch; appoint DPO from Day 1; privacy-by-design approach</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Low technician supply in Tier-2 cities (Dammam, Makkah)</w:t>
            </w:r>
          </w:p>
        </w:tc>
        <w:tc>
          <w:tcPr>
            <w:tcW w:type="dxa" w:w="11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Operational</w:t>
            </w:r>
          </w:p>
        </w:tc>
        <w:tc>
          <w:tcPr>
            <w:tcW w:type="dxa" w:w="100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c>
          <w:tcPr>
            <w:tcW w:type="dxa" w:w="90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c>
          <w:tcPr>
            <w:tcW w:type="dxa" w:w="39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City-by-city rollout; technician referral bonus SAR 300; TVET college partnerships</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Customer trust deficit — first-mover reluctance</w:t>
            </w:r>
          </w:p>
        </w:tc>
        <w:tc>
          <w:tcPr>
            <w:tcW w:type="dxa" w:w="11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Market</w:t>
            </w:r>
          </w:p>
        </w:tc>
        <w:tc>
          <w:tcPr>
            <w:tcW w:type="dxa" w:w="100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c>
          <w:tcPr>
            <w:tcW w:type="dxa" w:w="90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c>
          <w:tcPr>
            <w:tcW w:type="dxa" w:w="39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Influencer campaign; NCA-certified technician badge; SAR 500 service guarantee</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Competitor entry (existing classifieds pivoting)</w:t>
            </w:r>
          </w:p>
        </w:tc>
        <w:tc>
          <w:tcPr>
            <w:tcW w:type="dxa" w:w="11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Competitive</w:t>
            </w:r>
          </w:p>
        </w:tc>
        <w:tc>
          <w:tcPr>
            <w:tcW w:type="dxa" w:w="100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c>
          <w:tcPr>
            <w:tcW w:type="dxa" w:w="90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c>
          <w:tcPr>
            <w:tcW w:type="dxa" w:w="39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Speed to market; lock in exclusive technician partnerships early; loyalty programme</w:t>
            </w:r>
          </w:p>
        </w:tc>
      </w:tr>
      <w:tr>
        <w:tc>
          <w:tcPr>
            <w:tcW w:type="dxa" w:w="22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Payment gateway downtime during peak demand</w:t>
            </w:r>
          </w:p>
        </w:tc>
        <w:tc>
          <w:tcPr>
            <w:tcW w:type="dxa" w:w="11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Technical</w:t>
            </w:r>
          </w:p>
        </w:tc>
        <w:tc>
          <w:tcPr>
            <w:tcW w:type="dxa" w:w="1000"/>
            <w:gridSpan w:val="1"/>
            <w:tcBorders>
              <w:top w:val="single" w:color="CCCCCC" w:sz="4"/>
              <w:left w:val="single" w:color="CCCCCC" w:sz="4"/>
              <w:bottom w:val="single" w:color="CCCCCC" w:sz="4"/>
              <w:right w:val="single" w:color="CCCCCC" w:sz="4"/>
            </w:tcBorders>
            <w:shd w:fill="B03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Low</w:t>
            </w:r>
          </w:p>
        </w:tc>
        <w:tc>
          <w:tcPr>
            <w:tcW w:type="dxa" w:w="90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c>
          <w:tcPr>
            <w:tcW w:type="dxa" w:w="39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Dual payment processors (HyperPay primary, Moyasar fallback); cash fallback option</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Regulatory licence delays (CITC / MLSD)</w:t>
            </w:r>
          </w:p>
        </w:tc>
        <w:tc>
          <w:tcPr>
            <w:tcW w:type="dxa" w:w="11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Regulatory</w:t>
            </w:r>
          </w:p>
        </w:tc>
        <w:tc>
          <w:tcPr>
            <w:tcW w:type="dxa" w:w="100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c>
          <w:tcPr>
            <w:tcW w:type="dxa" w:w="90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c>
          <w:tcPr>
            <w:tcW w:type="dxa" w:w="39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Engage regulatory consultant; parallel-track applications; soft launch as beta</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left"/>
            </w:pPr>
            <w:r>
              <w:rPr>
                <w:rFonts w:ascii="Arial" w:cs="Arial" w:eastAsia="Arial" w:hAnsi="Arial"/>
                <w:b/>
                <w:bCs/>
                <w:color w:val="C8A135"/>
                <w:sz w:val="26"/>
                <w:szCs w:val="26"/>
              </w:rPr>
              <w:t xml:space="preserve">SECTION 6  </w:t>
            </w:r>
            <w:r>
              <w:rPr>
                <w:rFonts w:ascii="Arial" w:cs="Arial" w:eastAsia="Arial" w:hAnsi="Arial"/>
                <w:b/>
                <w:bCs/>
                <w:color w:val="FFFFFF"/>
                <w:sz w:val="26"/>
                <w:szCs w:val="26"/>
              </w:rPr>
              <w:t xml:space="preserve">OVERALL FEASIBILITY RECOMMENDATION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200"/>
        <w:gridCol w:w="4360"/>
      </w:tblGrid>
      <w:tr>
        <w:trPr>
          <w:tblHeader/>
        </w:trPr>
        <w:tc>
          <w:tcPr>
            <w:tcW w:type="dxa" w:w="25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Dimension</w:t>
            </w:r>
          </w:p>
        </w:tc>
        <w:tc>
          <w:tcPr>
            <w:tcW w:type="dxa" w:w="13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Score</w:t>
            </w:r>
          </w:p>
        </w:tc>
        <w:tc>
          <w:tcPr>
            <w:tcW w:type="dxa" w:w="120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Verdict</w:t>
            </w:r>
          </w:p>
        </w:tc>
        <w:tc>
          <w:tcPr>
            <w:tcW w:type="dxa" w:w="4360"/>
            <w:gridSpan w:val="1"/>
            <w:tcBorders>
              <w:top w:val="single" w:color="CCCCCC" w:sz="4"/>
              <w:left w:val="single" w:color="CCCCCC" w:sz="4"/>
              <w:bottom w:val="single" w:color="CCCCCC" w:sz="4"/>
              <w:right w:val="single" w:color="CCCCCC" w:sz="4"/>
            </w:tcBorders>
            <w:shd w:fill="0D737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Key Condition for Success</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Economic Feasibility</w:t>
            </w:r>
          </w:p>
        </w:tc>
        <w:tc>
          <w:tcPr>
            <w:tcW w:type="dxa" w:w="13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8.2 / 10</w:t>
            </w:r>
          </w:p>
        </w:tc>
        <w:tc>
          <w:tcPr>
            <w:tcW w:type="dxa" w:w="120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c>
          <w:tcPr>
            <w:tcW w:type="dxa" w:w="43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Secure SAR 4M seed funding; reach 450K GMV by Month 18</w:t>
            </w:r>
          </w:p>
        </w:tc>
      </w:tr>
      <w:tr>
        <w:tc>
          <w:tcPr>
            <w:tcW w:type="dxa" w:w="2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Technical Feasibility</w:t>
            </w:r>
          </w:p>
        </w:tc>
        <w:tc>
          <w:tcPr>
            <w:tcW w:type="dxa" w:w="13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8.7 / 10</w:t>
            </w:r>
          </w:p>
        </w:tc>
        <w:tc>
          <w:tcPr>
            <w:tcW w:type="dxa" w:w="120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c>
          <w:tcPr>
            <w:tcW w:type="dxa" w:w="43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Hire Tech Lead and 2 senior engineers within 90 days</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Operational Feasibility</w:t>
            </w:r>
          </w:p>
        </w:tc>
        <w:tc>
          <w:tcPr>
            <w:tcW w:type="dxa" w:w="13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7.9 / 10</w:t>
            </w:r>
          </w:p>
        </w:tc>
        <w:tc>
          <w:tcPr>
            <w:tcW w:type="dxa" w:w="1200"/>
            <w:gridSpan w:val="1"/>
            <w:tcBorders>
              <w:top w:val="single" w:color="CCCCCC" w:sz="4"/>
              <w:left w:val="single" w:color="CCCCCC" w:sz="4"/>
              <w:bottom w:val="single" w:color="CCCCCC" w:sz="4"/>
              <w:right w:val="single" w:color="CCCCCC" w:sz="4"/>
            </w:tcBorders>
            <w:shd w:fill="C8A135"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Medium</w:t>
            </w:r>
          </w:p>
        </w:tc>
        <w:tc>
          <w:tcPr>
            <w:tcW w:type="dxa" w:w="436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500 verified technicians in Riyadh/Jeddah before public launch</w:t>
            </w:r>
          </w:p>
        </w:tc>
      </w:tr>
      <w:tr>
        <w:tc>
          <w:tcPr>
            <w:tcW w:type="dxa" w:w="25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COMPOSITE SCORE</w:t>
            </w:r>
          </w:p>
        </w:tc>
        <w:tc>
          <w:tcPr>
            <w:tcW w:type="dxa" w:w="130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7A4A"/>
                <w:sz w:val="19"/>
                <w:szCs w:val="19"/>
              </w:rPr>
              <w:t xml:space="preserve">8.3 / 10</w:t>
            </w:r>
          </w:p>
        </w:tc>
        <w:tc>
          <w:tcPr>
            <w:tcW w:type="dxa" w:w="1200"/>
            <w:gridSpan w:val="1"/>
            <w:tcBorders>
              <w:top w:val="single" w:color="CCCCCC" w:sz="4"/>
              <w:left w:val="single" w:color="CCCCCC" w:sz="4"/>
              <w:bottom w:val="single" w:color="CCCCCC" w:sz="4"/>
              <w:right w:val="single" w:color="CCCCCC" w:sz="4"/>
            </w:tcBorders>
            <w:shd w:fill="1A7A4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High</w:t>
            </w:r>
          </w:p>
        </w:tc>
        <w:tc>
          <w:tcPr>
            <w:tcW w:type="dxa" w:w="4360"/>
            <w:gridSpan w:val="1"/>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Proceed to full development — conditions above are critical-path items</w:t>
            </w:r>
          </w:p>
        </w:tc>
      </w:tr>
    </w:tbl>
    <w:p>
      <w:pPr>
        <w:spacing w:after="0" w:before="160"/>
      </w:pPr>
    </w:p>
    <w:p>
      <w:pPr>
        <w:spacing w:after="80" w:before="80"/>
      </w:pPr>
      <w:r>
        <w:rPr>
          <w:rFonts w:ascii="Arial" w:cs="Arial" w:eastAsia="Arial" w:hAnsi="Arial"/>
          <w:b w:val="false"/>
          <w:bCs w:val="false"/>
          <w:color w:val="1A1A2E"/>
          <w:sz w:val="20"/>
          <w:szCs w:val="20"/>
        </w:rPr>
        <w:t xml:space="preserve">Overall Assessment: Servixo is FEASIBLE across all three dimensions. The strongest pillar is Technical Feasibility, underpinned by a mature, well-supported technology stack and available Saudi developer talent. Economic Feasibility is validated by strong market growth and a diversified revenue model with a realistic 26-month payback period. Operational Feasibility presents the highest execution risk, primarily in technician supply chain and regulatory compliance, but both are addressable through the mitigation strategies outlined in Sections 4.3 to 4.5.</w:t>
      </w:r>
    </w:p>
    <w:p>
      <w:pPr>
        <w:spacing w:after="0" w:before="100"/>
      </w:pPr>
    </w:p>
    <w:p>
      <w:pPr>
        <w:spacing w:after="80" w:before="80"/>
      </w:pPr>
      <w:r>
        <w:rPr>
          <w:rFonts w:ascii="Arial" w:cs="Arial" w:eastAsia="Arial" w:hAnsi="Arial"/>
          <w:b/>
          <w:bCs/>
          <w:color w:val="1A1A2E"/>
          <w:sz w:val="20"/>
          <w:szCs w:val="20"/>
        </w:rPr>
        <w:t xml:space="preserve">Recommended Next Steps:</w:t>
      </w:r>
    </w:p>
    <w:p>
      <w:pPr>
        <w:pStyle w:val="ListParagraph"/>
        <w:numPr>
          <w:ilvl w:val="0"/>
          <w:numId w:val="2"/>
        </w:numPr>
        <w:spacing w:after="80" w:before="80"/>
      </w:pPr>
      <w:r>
        <w:rPr>
          <w:rFonts w:ascii="Arial" w:cs="Arial" w:eastAsia="Arial" w:hAnsi="Arial"/>
          <w:sz w:val="20"/>
          <w:szCs w:val="20"/>
        </w:rPr>
        <w:t xml:space="preserve">File Commercial Registration and CITC notification — Weeks 1–4</w:t>
      </w:r>
    </w:p>
    <w:p>
      <w:pPr>
        <w:pStyle w:val="ListParagraph"/>
        <w:numPr>
          <w:ilvl w:val="0"/>
          <w:numId w:val="2"/>
        </w:numPr>
        <w:spacing w:after="80" w:before="80"/>
      </w:pPr>
      <w:r>
        <w:rPr>
          <w:rFonts w:ascii="Arial" w:cs="Arial" w:eastAsia="Arial" w:hAnsi="Arial"/>
          <w:sz w:val="20"/>
          <w:szCs w:val="20"/>
        </w:rPr>
        <w:t xml:space="preserve">Recruit Tech Lead and initiate platform architecture sprint — Month 1</w:t>
      </w:r>
    </w:p>
    <w:p>
      <w:pPr>
        <w:pStyle w:val="ListParagraph"/>
        <w:numPr>
          <w:ilvl w:val="0"/>
          <w:numId w:val="2"/>
        </w:numPr>
        <w:spacing w:after="80" w:before="80"/>
      </w:pPr>
      <w:r>
        <w:rPr>
          <w:rFonts w:ascii="Arial" w:cs="Arial" w:eastAsia="Arial" w:hAnsi="Arial"/>
          <w:sz w:val="20"/>
          <w:szCs w:val="20"/>
        </w:rPr>
        <w:t xml:space="preserve">Launch technician vetting drive in Riyadh targeting 200 verified sign-ups — Month 2</w:t>
      </w:r>
    </w:p>
    <w:p>
      <w:pPr>
        <w:pStyle w:val="ListParagraph"/>
        <w:numPr>
          <w:ilvl w:val="0"/>
          <w:numId w:val="2"/>
        </w:numPr>
        <w:spacing w:after="80" w:before="80"/>
      </w:pPr>
      <w:r>
        <w:rPr>
          <w:rFonts w:ascii="Arial" w:cs="Arial" w:eastAsia="Arial" w:hAnsi="Arial"/>
          <w:sz w:val="20"/>
          <w:szCs w:val="20"/>
        </w:rPr>
        <w:t xml:space="preserve">Complete MVP development and closed beta (500 customers, 50 technicians) — Month 4</w:t>
      </w:r>
    </w:p>
    <w:p>
      <w:pPr>
        <w:pStyle w:val="ListParagraph"/>
        <w:numPr>
          <w:ilvl w:val="0"/>
          <w:numId w:val="2"/>
        </w:numPr>
        <w:spacing w:after="80" w:before="80"/>
      </w:pPr>
      <w:r>
        <w:rPr>
          <w:rFonts w:ascii="Arial" w:cs="Arial" w:eastAsia="Arial" w:hAnsi="Arial"/>
          <w:sz w:val="20"/>
          <w:szCs w:val="20"/>
        </w:rPr>
        <w:t xml:space="preserve">Public launch in Riyadh; expand to Jeddah and Dammam by Month 8</w:t>
      </w:r>
    </w:p>
    <w:p>
      <w:pPr>
        <w:spacing w:after="0" w:before="200"/>
      </w:pPr>
    </w:p>
    <w:p>
      <w:pPr>
        <w:pBdr>
          <w:bottom w:val="single" w:color="0D7377" w:sz="6" w:space="1"/>
        </w:pBdr>
        <w:spacing w:after="120" w:before="120"/>
      </w:pPr>
    </w:p>
    <w:p>
      <w:pPr>
        <w:spacing w:after="100" w:before="100"/>
        <w:jc w:val="center"/>
      </w:pPr>
      <w:r>
        <w:rPr>
          <w:rFonts w:ascii="Arial" w:cs="Arial" w:eastAsia="Arial" w:hAnsi="Arial"/>
          <w:i/>
          <w:iCs/>
          <w:color w:val="5A6475"/>
          <w:sz w:val="16"/>
          <w:szCs w:val="16"/>
        </w:rPr>
        <w:t xml:space="preserve">Servixo Platform — Feasibility Study v2.0   |   Confidential   |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spacing w:after="0" w:before="100"/>
      <w:jc w:val="center"/>
    </w:pPr>
    <w:r>
      <w:rPr>
        <w:rFonts w:ascii="Arial" w:cs="Arial" w:eastAsia="Arial" w:hAnsi="Arial"/>
        <w:color w:val="5A6475"/>
        <w:sz w:val="16"/>
        <w:szCs w:val="16"/>
      </w:rPr>
      <w:t xml:space="preserve">   |   Servixo Platform Feasibility Study 2025   |   Saudi Arabia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120" w:before="0"/>
      <w:jc w:val="right"/>
    </w:pPr>
    <w:r>
      <w:rPr>
        <w:rFonts w:ascii="Arial" w:cs="Arial" w:eastAsia="Arial" w:hAnsi="Arial"/>
        <w:color w:val="5A6475"/>
        <w:sz w:val="16"/>
        <w:szCs w:val="16"/>
      </w:rPr>
      <w:t xml:space="preserve">Servixo Platform  |  Feasibility Study  |  </w:t>
    </w:r>
    <w:r>
      <w:rPr>
        <w:rFonts w:ascii="Arial" w:cs="Arial" w:eastAsia="Arial" w:hAnsi="Arial"/>
        <w:b/>
        <w:bCs/>
        <w:color w:val="1B3A6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2026-05-21T08:55:37.873Z</dcterms:created>
  <dcterms:modified xsi:type="dcterms:W3CDTF">2026-05-21T08:55:37.874Z</dcterms:modified>
</cp:coreProperties>
</file>

<file path=docProps/custom.xml><?xml version="1.0" encoding="utf-8"?>
<Properties xmlns="http://schemas.openxmlformats.org/officeDocument/2006/custom-properties" xmlns:vt="http://schemas.openxmlformats.org/officeDocument/2006/docPropsVTypes"/>
</file>