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val="clear"/>
          </w:tcPr>
          <w:p>
            <w:pPr>
              <w:spacing w:before="3587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E  N  T  E  R  P  R  I  S  E     E  R  P     R  E  L  E  A  S  E     R  E  P  O  R  T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4"/>
                <w:szCs w:val="64"/>
              </w:rPr>
              <w:t xml:space="preserve">GarfiX EOS 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4"/>
                <w:szCs w:val="64"/>
              </w:rPr>
              <w:t xml:space="preserve">v12.1 — Techni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4"/>
                <w:szCs w:val="64"/>
              </w:rPr>
              <w:t xml:space="preserve">cal Release Report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تقرير تقني لإصدار v12.1: تعاز أمني + AI Fabric + 1855+ Tests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Version: 12.1.0 | الإصدار: 12.1.0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Author: ahmedezzatelsayad | المؤلف: ahmedezzatelsayad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Date: July 2026 | التاريخ: يوليو 2026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License: MIT | الترخيص: MIT</w:t>
            </w:r>
          </w:p>
          <w:p>
            <w:pPr>
              <w:spacing w:before="3000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github.com/ahmedezzatelsayad/Garfix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v12.1.0 —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الفهرس | 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الملخص التنفيذي |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الخلفية والأهداف | Background &amp; Objectives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التعاز الأمني | Security Hardening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مشاكل الأمن المصلاحة | Security Issues Fixed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مواعين الاستخدام | Usage Safeguards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AI Fabric v2 ـ نسى 16 مراحل Cascade | 16-Phase Cascade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ال Budget Engine | Budget Engine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ال Profit Engine | Profit Engine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نماؤج الفواتر | Invoice Brain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بيئة الاختبار | Testing Infrastructure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البيئة التحتية ـ Valkey + BullMQ | Infrastructure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توسيع MENA والمياه العربية | MENA &amp; Arabic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أنابيخ CI/CD | CI/CD Pipeline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هيكل القاعدة ـ 72+ نمادج | Database Schema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توصيات ـ الطريق لبزنس المليون دولار | Road to Million-Dollar Business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1. SaaS التحديد الكمي | SaaS Monetization Engine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 الاتمات الحكومية | Government Compliance Automation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 AI Marketplace | AI Value Marketplace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 التكاملات الحاقوية | Critical Integrations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Mobile PWA وـ POS | Mobile &amp; POS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الملخص التنفيذي | Executive Summary</w:t>
      </w:r>
      <w:bookmarkEnd w:id="100000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يعد الإصدار v12.1 من GarfiX EOS قفزة كبيرة من منغم فواتر أساسي إلي نظام ERP متعدد المستأجرين درجة الأعمال، مع 50 تغييراً ماهماً منذ الإصدار v1.5.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The v12.1 release of GarfiX EOS represents a leap from a basic invoicing app to an enterprise-grade multi-tenant ERP, with 50 significant changes since v1.5.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التغييرات الكادرة تتضمن: تعاز أمني كامل (7+ إصلاحات audit-level)0، و AI Fabric v2 بنسبى 16 مراحل cascade، و Invoice Brain لاستخراأ النمائط، واستبدال Redis بـ Valkey + BullMQ، وتوسيع MENA لؠ+ دولة، ومجموعة اختبار 1855+ ملف.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Core changes include: full security hardening (7+ audit-level fixes), AI Fabric v2 with 16-phase cascade, Invoice Brain pattern extraction, Redis replaced with Valkey+BullMQ, MENA expansion for 20+ countries, and 1855+ test suite.</w:t>
      </w:r>
    </w:p>
    <w:p>
      <w:pPr>
        <w:pStyle w:val="Heading1"/>
        <w:spacing w:after="120" w:before="360"/>
      </w:pPr>
      <w:bookmarkStart w:id="100001" w:name="_Toc100001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الخلفية والأهداف | Background &amp; Objectives</w:t>
      </w:r>
      <w:bookmarkEnd w:id="100001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بدا GarfiX في الإصدارات v1.3حتي v1.5 كمنظومة فواتر أساسية للسوق العربي، لكن التحدي الأكبر كان النماحية الأمنية والقدرة على التوسع لدول MENA المتعددة.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GarfiX started in v1.3-v1.5 as a basic invoicing system for the Arabic market, but the biggest challenge was security posture and scalability to multiple MENA countries.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أثبت CTO Audit Report والأداة Security Pipeline (CodeQL + TruffleHog + Gitleaks) 16 مشكلة: 5 حرجة (C)، 6 خطيرة (H)، 5 متوسطة (M). كان الأهداف الرئيسية لإصدار v12: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The CTO Audit Report and Security Pipeline (CodeQL + TruffleHog + Gitleaks) identified 16 issues: 5 critical (C), 6 high-risk (H), 5 medium (M). Main objectives for v12: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إصلاح كافة المشاكل الأمنية الحرجة والخطيرة (C1-C5, H1-H6) | Fix all critical and high-risk security issues (C1-C5, H1-H6)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بناء AI Fabric كامل بـ 16 مراحل cascade لتقليل تكاليف AI | Build complete AI Fabric with 16-phase cascade to reduce AI costs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إضافة مستوى اقتصادي للنظام (Budget Engine + Profit Engine) | Add economic layer (Budget Engine + Profit Engine)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توسيع الدعم لؠ+ دول MENA بإعدادات خاصة لكل دولة | Expand support to 20+ MENA countries with per-country configs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استبدال Redis بـ Valkey + BullMQ لمعالة المهام الخلفية | Replace Redis with Valkey + BullMQ for background job processing</w:t>
      </w:r>
    </w:p>
    <w:p>
      <w:pPr>
        <w:spacing w:after="120" w:line="312"/>
        <w:ind w:firstLine="4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بناء مجموعة اختبار CTO-level تضمن جاهزية الإنتاخ | Build CTO-level test suite ensuring production readiness</w:t>
      </w:r>
    </w:p>
    <w:p>
      <w:pPr>
        <w:pStyle w:val="Heading1"/>
        <w:spacing w:after="120" w:before="360"/>
      </w:pPr>
      <w:bookmarkStart w:id="100002" w:name="_Toc100002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التعاز الأمني | Security Hardening</w:t>
      </w:r>
      <w:bookmarkEnd w:id="100002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يتضمن v12.1 إصلاحات أمنية درجة audit لأكثر من 7 مشاكل حرجة وخطيرة، إله منها كانت منعة كل وجود التشفير والمعاملة.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v12.1 includes audit-level security fixes for over 7 critical and high-risk issues, some of which prevented encryption and authentication entirely.</w:t>
      </w:r>
    </w:p>
    <w:p>
      <w:pPr>
        <w:pStyle w:val="Heading2"/>
        <w:spacing w:after="100" w:before="240"/>
      </w:pPr>
      <w:bookmarkStart w:id="100003" w:name="_Toc100003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مشاكل الأمن المصلاحة | Security Issues Fixed</w:t>
      </w:r>
      <w:bookmarkEnd w:id="100003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المشكلة | ID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الدرجة | Severity</w:t>
            </w:r>
          </w:p>
        </w:tc>
        <w:tc>
          <w:tcPr>
            <w:tcW w:type="pct" w:w="7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الوصف | Description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SEC-002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Critical</w:t>
            </w:r>
          </w:p>
        </w:tc>
        <w:tc>
          <w:tcPr>
            <w:tcW w:type="pct" w:w="7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JWT fallback secrets كانت منعة الإتصال الموقوق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SEC-003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Critical</w:t>
            </w:r>
          </w:p>
        </w:tc>
        <w:tc>
          <w:tcPr>
            <w:tcW w:type="pct" w:w="7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PAYMENTS_ENC_KEY كان يستخدم JWT_SECRET كافاًحًريف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P0 (audit)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Critical</w:t>
            </w:r>
          </w:p>
        </w:tc>
        <w:tc>
          <w:tcPr>
            <w:tcW w:type="pct" w:w="7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decryptSecret() كان يعيد ciphertext عند الفشل بدل الإلغام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P0 (MFA)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Critical</w:t>
            </w:r>
          </w:p>
        </w:tc>
        <w:tc>
          <w:tcPr>
            <w:tcW w:type="pct" w:w="7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MFA TOTP: Base32/Base64 mismatch كان MFA معطلاً كاملا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P0 (SSRF)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7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MyFatoorah SSRF: عناوين IP داخلية مسموحة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7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Rate limit key prefix mismatch عند إلغال clear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IDOR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7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54/56 handlers تحتاج tenant scope protection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Gemini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7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AI provider: empty base URL كان كل Gemini calls تفشل</w:t>
            </w:r>
          </w:p>
        </w:tc>
      </w:tr>
    </w:tbl>
    <w:p>
      <w:pPr>
        <w:pStyle w:val="Heading2"/>
        <w:spacing w:after="100" w:before="240"/>
      </w:pPr>
      <w:bookmarkStart w:id="100004" w:name="_Toc100004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مواعين الاستخدام | Usage Safeguards</w:t>
      </w:r>
      <w:bookmarkEnd w:id="100004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تستند النظام الأمني علي عدة مواعين متعددة: JWT dual-token system (Access 30min + Refresh 30d) مع token versioning لإلغال المحاولات كاملا، Valkey-backed token blacklist لـ force logout، AES-256-GCM encryption vault مع scrypt key derivation، و tamper-evident audit chain بطلاق SHA-256 hash chain.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The security system relies on multiple safeguards: JWT dual-token system (Access 30min + Refresh 30d) with token versioning for full logout, Valkey-backed token blacklist for force logout, AES-256-GCM encryption vault with scrypt key derivation, and tamper-evident audit chain using SHA-256 hash chain.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يتضمن ال Rate Limiter 7 حدود (LOGIN 5/15min, REGISTER 3/hr, OTP 5/5min, AI_CHAT 10/min, AI_BULK 3/min) مع رسالات أعطاً عربية وIP spoofing-resistant extraction. ال Password Policy يطالب 10 حروف ومحصن 40/100 مع penalties لـ repeated chars وcommon starts. Session Management يحدد MAX_SESSIONS_PER_USER=5 مع eviction.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Rate Limiter has 7 limits (LOGIN 5/15min, REGISTER 3/hr, OTP 5/5min, AI_CHAT 10/min, AI_BULK 3/min) with Arabic messages and IP spoofing-resistant extraction. Password Policy requires 10 chars and score 40/100 with penalties for repeated chars and common starts. Session Management limits MAX_SESSIONS_PER_USER=5 with eviction.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ال Permissions Model يتضمن 16 مفاتيح منظمة في 4 مجموعات (Unlocked: فواتر/عمال/مخزن، Locked: admin/founder only) مع 4 role presets (viewer/employee/editor/admin).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Permissions Model has 16 keys organized in 4 groups (Unlocked: invoices/customers/inventory, Locked: admin/founder only) with 4 role presets (viewer/employee/editor/admin).</w:t>
      </w:r>
    </w:p>
    <w:p>
      <w:pPr>
        <w:pStyle w:val="Heading1"/>
        <w:spacing w:after="120" w:before="360"/>
      </w:pPr>
      <w:bookmarkStart w:id="100005" w:name="_Toc100005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AI Fabric v2 ـ نسى 16 مراحل Cascade | 16-Phase Cascade</w:t>
      </w:r>
      <w:bookmarkEnd w:id="100005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AI Fabric v2 يعمل كشاشاة cheapest-first: كل طلب AI يعبر عبر مراحل متدرجة، وإذا حل مرحلة المسألة، يتوقف pipeline بدل الاستداعاـ AI.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AI Fabric v2 operates as cheapest-first cascade: every AI request passes through progressive stages, and if a stage resolves the query, the pipeline stops instead of calling AI.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# | Phase #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المرحلة | Phase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الوصف | Description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Cache Lookup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Search CacheEntry by fabricHash. TTL-based expiry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Pattern Match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Invoice Brain fingerprint + cross-company intelligence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Rule Evaluation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Query promoted RuleCandidate matching input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Memory Retrieval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Search AIMemoryEntry for same company+category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Budget Gate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Block AI if hardStop enabled + spend &gt;= budget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Provider Selection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Cheapest provider with capability-based routing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Cost Estimation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Estimate request cost before execution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AI Call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The costly fallback ـ actual LLM call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Response Cache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Store result in CacheEntry for future hits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Learning Save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Save new pattern for reuse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Usage Logging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Log to AIRequestLog with resolvedBy/cost/latency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Budget Update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recordSpend() + threshold notification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Cost Tracking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Per-invoice cost tracking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Provider Scoring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Post-call provider performance evaluation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Cross-Company Intel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Share anonymized patterns between tenants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AI Scoring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Compute 0-100 score from hit rates</w:t>
            </w:r>
          </w:p>
        </w:tc>
      </w:tr>
    </w:tbl>
    <w:p>
      <w:pPr>
        <w:pStyle w:val="Heading2"/>
        <w:spacing w:after="100" w:before="240"/>
      </w:pPr>
      <w:bookmarkStart w:id="100006" w:name="_Toc100006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ال Budget Engine | Budget Engine</w:t>
      </w:r>
      <w:bookmarkEnd w:id="100006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يمكن Budget Engine من تحديد monthly budget لكل شركة، مع hardStop لوقف AI calls عند تجاوز الحد، وforecast ليورين spend الشهري: forecast = currentSpend × (daysInMonth / daysElapsed). يراسل Notification عند threshold crossing مع Valkey-backed dedup.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Budget Engine enables setting monthly budget per company, with hardStop to block AI calls when over budget, and monthly spend forecast: forecast = currentSpend × (daysInMonth / daysElapsed). Sends Notification on threshold crossing with Valkey-backed dedup.</w:t>
      </w:r>
    </w:p>
    <w:p>
      <w:pPr>
        <w:pStyle w:val="Heading2"/>
        <w:spacing w:after="100" w:before="240"/>
      </w:pPr>
      <w:bookmarkStart w:id="100007" w:name="_Toc100007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ال Profit Engine | Profit Engine</w:t>
      </w:r>
      <w:bookmarkEnd w:id="100007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يعمل Profit Engine من المياهيال الفريدة: profit = revenue - aiCost - infra - worker. يستخدم أسعار الخطوط (trial=$0, starter=$29/mo, business=$99/mo, enterprise=$299/mo) وـ AI cost من AIRequestLog.costUsd الفريدي.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Profit Engine works from real financial data: profit = revenue - aiCost - infra - worker. Uses plan prices (trial=$0, starter=$29/mo, business=$99/mo, enterprise=$299/mo) and real AI cost from AIRequestLog.costUsd.</w:t>
      </w:r>
    </w:p>
    <w:p>
      <w:pPr>
        <w:pStyle w:val="Heading1"/>
        <w:spacing w:after="120" w:before="360"/>
      </w:pPr>
      <w:bookmarkStart w:id="100008" w:name="_Toc100008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نماؤج الفواتر | Invoice Brain</w:t>
      </w:r>
      <w:bookmarkEnd w:id="100008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يعمل Invoice Brain بمنسى pattern-first / AI-fallback: الفاترة الأولى من مورد جديد تستدفي LLM مرة وتحفظ النمائظ ك template، والفاترة المتماثلة بالشكل تستخرج regex فقط ـ AI cost = $0.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Invoice Brain works on pattern-first / AI-fallback hybrid: first invoice from a new supplier triggers LLM once and saves the pattern as a template, subsequent identical-shape invoices extract via regex only — AI cost = $0.</w:t>
      </w:r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تضمن 3 إصلاحات مساوية (Normalization Fixes): N-03 (AI fallback: normalize each line BEFORE parsing)، N-04 (Pattern parser: normalize BEFORE regex matching)، N-05 (Schema: arabicIndicSafeNumber preprocesses numeric fields). الهدف يضمن أن الأرقام العربية-المستخدمة (٥٠) تتحول بالشكل السليم لـ ASCII (50).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3 normalization fixes included: N-03 (AI fallback: normalize each line BEFORE parsing), N-04 (Pattern parser: normalize BEFORE regex matching), N-05 (Schema: arabicIndicSafeNumber preprocesses numeric fields). Goal ensures Arabic-Indic digits (٥٠) convert cleanly to ASCII (50).</w:t>
      </w:r>
    </w:p>
    <w:p>
      <w:pPr>
        <w:pStyle w:val="Heading1"/>
        <w:spacing w:after="120" w:before="360"/>
      </w:pPr>
      <w:bookmarkStart w:id="100009" w:name="_Toc100009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بيئة الاختبار | Testing Infrastructure</w:t>
      </w:r>
      <w:bookmarkEnd w:id="100009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يتضمن v12.1 مجموعة اختبار 1855+ ملف تتضمن Founder Validation Suite بـ 11 أقسام + 170+ deep tests + 14 AI Fabric tests + 7 E2E tests.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v12.1 includes 1855+ test files comprising Founder Validation Suite with 11 sections + 170+ deep tests + 14 AI Fabric tests + 7 E2E tests.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القسم | Section</w:t>
            </w:r>
          </w:p>
        </w:tc>
        <w:tc>
          <w:tcPr>
            <w:tcW w:type="pct" w:w="6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التغطية | Coverage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1. Seeder Validation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مولد البيانات (10 حتي 25,000 شركة)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2. Edge Cases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20 اختبار حافة: null, max, Arabic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3. Cost Validation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تكاليف: لكل فاترة/provider/tenant/منوع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4. Metrics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error rate, cache hit, p50/p95/p99 latency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5. Telemetry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تسجيل/تصفية حدواث بـ tenant/model/provider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6. Scale Tests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تحميل متدرج: 100 حتي 10,000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7. Report Validation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اكمال ودقة التقرير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8. Validation Logic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سلامة المعريفات/العلاقات/الحدود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9. Learning Validation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محرك التعلم (pattern + memory)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10. Failure Injection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حقن أعطال: Valkey, Postgres, BullMQ, Network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11. Deep Tests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170+ اختبار: Arabic/cross-tenant/concurrent</w:t>
            </w:r>
          </w:p>
        </w:tc>
      </w:tr>
    </w:tbl>
    <w:p>
      <w:pPr>
        <w:pStyle w:val="Heading1"/>
        <w:spacing w:after="120" w:before="360"/>
      </w:pPr>
      <w:bookmarkStart w:id="100010" w:name="_Toc100010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البيئة التحتية ـ Valkey + BullMQ | Infrastructure</w:t>
      </w:r>
      <w:bookmarkEnd w:id="100010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استبدل Redis بـ Valkey 8.1 مع إدارة استخدام dual-backend: Valkey (إنتاج) / in-memory Map (تطوير/sandbox). ال URL normalization يحول valkey:// لـ redis:// بشكل سليم.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Redis replaced with Valkey 8.1 with dual-backend management: Valkey (production) / in-memory Map (dev/sandbox). URL normalization converts valkey:// to redis:// transparently.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قاعدة المهام | Queue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TTL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Concurrency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الهدف | Purpose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ai-jobs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60s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معالجة AI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email-jobs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30s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إرسال البريد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whatsapp-jobs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30s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رسال WhatsApp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backup-jobs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600s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النسخ الاحتياطي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scheduler-jobs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5s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المؤتكرات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يتضمن BullMQ exponential backoff (3 retries: 1sــ5sــ15s)، rate limiting، priority، delayed jobs، وdistributed locking. الـ in-process fallback يستند لـ Prisma JobQueue مع stale lock recovery وdead-letter recording.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BullMQ includes exponential backoff (3 retries: 1sـ5sـ15s), rate limiting, priority, delayed jobs, and distributed locking. In-process fallback uses Prisma JobQueue with stale lock recovery and dead-letter recording.</w:t>
      </w:r>
    </w:p>
    <w:p>
      <w:pPr>
        <w:pStyle w:val="Heading1"/>
        <w:spacing w:after="120" w:before="360"/>
      </w:pPr>
      <w:bookmarkStart w:id="100011" w:name="_Toc100011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توسيع MENA والمياه العربية | MENA &amp; Arabic</w:t>
      </w:r>
      <w:bookmarkEnd w:id="100011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يدعم v12.1 ؠ+ دول MENA في 4 مستويات متدرجة، مع إعدادات خاصة لكل دولة: ISO code، Arabic/English names، currency، VAT rate، e-invoice authority، weekend days.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v12.1 supports 20+ MENA countries in 4 progressive tiers, with per-country configs: ISO code, Arabic/English names, currency, VAT rate, e-invoice authority, weekend days.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المستوي | Tier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الدول | Countries</w:t>
            </w:r>
          </w:p>
        </w:tc>
        <w:tc>
          <w:tcPr>
            <w:tcW w:type="pct" w:w="6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أمثلة | Examples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L0 (Gulf Core)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 دول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KW, SA, AE, BH, OM, QA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L1 (Levant+N. Africa)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6 دول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JO, MA, DZ, TN, IQ, LB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L2 (Extended MENA)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7 دول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EG, PS, SY, YE, SD, LY + more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L3 (Horn+Sahel)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5 دول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SO, DJ, KM, MR, ER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يتضمن 6 سلطات e-invoice (none, ZATCA, UAE_FTA, Bahrain_NBR, Oman_Tax, ETA_Egypt) وـ RTL كامل وـ landing page بـ 12 feature cards عربية وـ Professional Footer وـ PWA manifest.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Includes 6 e-invoice authorities (none, ZATCA, UAE_FTA, Bahrain_NBR, Oman_Tax, ETA_Egypt) + full RTL + landing page with 12 Arabic feature cards + Professional Footer + PWA manifest.</w:t>
      </w:r>
    </w:p>
    <w:p>
      <w:pPr>
        <w:pStyle w:val="Heading1"/>
        <w:spacing w:after="120" w:before="360"/>
      </w:pPr>
      <w:bookmarkStart w:id="100012" w:name="_Toc100012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أنابيخ CI/CD | CI/CD Pipeline</w:t>
      </w:r>
      <w:bookmarkEnd w:id="100012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يتضمك 5 GitHub Actions workflows: CI (lint+typecheck+build+tests)، CD، Security، PR Checks، Performance. يستهدف Bun 1.3.14 وـ PostgreSQL 16-alpine service containers.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Comprises 5 GitHub Actions workflows: CI (lint+typecheck+build+tests), CD, Security, PR Checks, Performance. Targets Bun 1.3.14 and PostgreSQL 16-alpine service containers.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الوريكلوف | Workflow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المهام | Jobs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CI (ci.yml)</w:t>
            </w:r>
          </w:p>
        </w:tc>
        <w:tc>
          <w:tcPr>
            <w:tcW w:type="pct" w:w="7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lint ـ typecheck ـ build ـ unit tests ـ integration tests ـ summary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CD (cd.yml)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التعيين Docker + standalone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Security (security.yml)</w:t>
            </w:r>
          </w:p>
        </w:tc>
        <w:tc>
          <w:tcPr>
            <w:tcW w:type="pct" w:w="7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CodeQL + TruffleHog + Gitleaks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PR Checks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التحقق من PR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pct" w:w="7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Apache Bench load testing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يتضمك الـ CI Pipeline architecture compliance check (لا module-level side effects في workers) وstandalone build verification (.next/standalone exists, server.js موجود). الـ Deployment أماميه: Vercel، Docker + docker-compose، Caddy.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CI Pipeline includes architecture compliance check (no module-level side effects in workers) and standalone build verification (.next/standalone exists, server.js present). Deployment options: Vercel, Docker + docker-compose, Caddy.</w:t>
      </w:r>
    </w:p>
    <w:p>
      <w:pPr>
        <w:pStyle w:val="Heading1"/>
        <w:spacing w:after="120" w:before="360"/>
      </w:pPr>
      <w:bookmarkStart w:id="100013" w:name="_Toc100013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هيكل القاعدة ـ 72+ نمادج | Database Schema</w:t>
      </w:r>
      <w:bookmarkEnd w:id="100013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يتضمك Prisma schema بـ 1,878 سطر و 72+ نمادج، PostgreSQL فقط (SQLite تم إزاليه في EA-002). 3 migrations مشاركة: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Prisma schema with 1,878 lines and 72+ models, PostgreSQL only (SQLite removed in EA-002). 3 migrations included: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 Migration | Migration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التاريخ | Date</w:t>
            </w:r>
          </w:p>
        </w:tc>
        <w:tc>
          <w:tcPr>
            <w:tcW w:type="pct" w:w="6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التغييرات | Key Changes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init_ai_fabric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2026-07-20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AIRequestLog, CacheEntry, BudgetConfig, ProfitSnapshot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add_economics_layer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2026-07-20</w:t>
            </w:r>
          </w:p>
        </w:tc>
        <w:tc>
          <w:tcPr>
            <w:tcW w:type="pct" w:w="6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RuleCandidate, GlobalPattern, AIScoreSnapshot, CompiledRule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add_security_hardening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2026-07-20</w:t>
            </w:r>
          </w:p>
        </w:tc>
        <w:tc>
          <w:tcPr>
            <w:tcW w:type="pct" w:w="6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000000"/>
                <w:sz w:val="21"/>
                <w:szCs w:val="21"/>
              </w:rPr>
              <w:t xml:space="preserve">MFASecret, SessionRegistry, TamperEvidenceChain, WebhookEndpoint</w:t>
            </w:r>
          </w:p>
        </w:tc>
      </w:tr>
    </w:tbl>
    <w:p>
      <w:pPr>
        <w:pStyle w:val="Heading1"/>
        <w:spacing w:after="120" w:before="360"/>
      </w:pPr>
      <w:bookmarkStart w:id="100014" w:name="_Toc100014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توصيات ـ الطريق لبزنس المليون دولار | Road to Million-Dollar Business</w:t>
      </w:r>
      <w:bookmarkEnd w:id="100014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بناء علي الإنتاج القيم لـ v12.1، أوضح هنا المميزات والتكاملات الي لو استكملناها ممكن يوصل النظام لمستوي المليون دولار.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Based on the solid v12.1 foundation, here are the features and integrations that could take the system to the million-dollar business level.</w:t>
      </w:r>
    </w:p>
    <w:p>
      <w:pPr>
        <w:pStyle w:val="Heading2"/>
        <w:spacing w:after="100" w:before="240"/>
      </w:pPr>
      <w:bookmarkStart w:id="100015" w:name="_Toc100015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1. SaaS التحديد الكمي | SaaS Monetization Engine</w:t>
      </w:r>
      <w:bookmarkEnd w:id="100015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النظام لديه بيان أوصم أسعار الخطوط (trial=$0, starter=$29, business=$99, enterprise=$299) ولكن الـ revenue مازال استواريا. الــدراب الحاقوي: نظام billing فريدي مع Stripe/Paddle لـ subscription management، metered billing لـ AI usage، وـ annual contracts مع volume discounts. بـ 5,000 شركات ـ business plan ($99/mo) = $5M ARR.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The system has price tiers (trial=$0, starter=$29, business=$99, enterprise=$299) but revenue is still theoretical. Critical next step: real billing system with Stripe/Paddle for subscription management, metered billing for AI usage, and annual contracts with volume discounts. At 5,000 companies on business plan ($99/mo) = $5M ARR.</w:t>
      </w:r>
    </w:p>
    <w:p>
      <w:pPr>
        <w:pStyle w:val="Heading2"/>
        <w:spacing w:after="100" w:before="240"/>
      </w:pPr>
      <w:bookmarkStart w:id="100016" w:name="_Toc100016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2. الاتمات الحكومية | Government Compliance Automation</w:t>
      </w:r>
      <w:bookmarkEnd w:id="100016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نضام ZATCA (SA)، UAE_FTA، Bahrain_NBR يعمل ولكن الــدراب القادر: إضافة e-invoice submission pipeline فريدي لـ ZATCA Phase 2 API وـ UAE FTA API، وإضافة VAT return auto-generation وـ tax compliance dashboard. هنا قيمة اقتصادية كابرة: الشركات في MENA ملزمة بـ e-invoicing وولا تود نظام مكمل.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ZATCA (SA), UAE_FTA, Bahrain_NBR framework exists but critical next step: add real e-invoice submission pipeline to ZATCA Phase 2 API and UAE FTA API, add VAT return auto-generation and tax compliance dashboard. Massive economic value: MENA companies are mandated to adopt e-invoicing and will pay for a complete system.</w:t>
      </w:r>
    </w:p>
    <w:p>
      <w:pPr>
        <w:pStyle w:val="Heading2"/>
        <w:spacing w:after="100" w:before="240"/>
      </w:pPr>
      <w:bookmarkStart w:id="100017" w:name="_Toc100017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3. AI Marketplace | AI Value Marketplace</w:t>
      </w:r>
      <w:bookmarkEnd w:id="100017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مع AI Fabric 16-phase cascade و Invoice Brain، الــدراب القادر: إضافة AI Agent marketplace لــاستخدام الأعمال الكابرة (chat، document QA، forecasting)، وـ white-label AI لــشركات الاستشارة التي يريدون إعادة البيع بـ AI-as-a-Service. هنا سبى منافعة إضافية لــكل AI call.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With AI Fabric 16-phase cascade and Invoice Brain, critical next step: add AI Agent marketplace for enterprise use cases (chat, document QA, forecasting), and white-label AI for consulting firms wanting to resell AI-as-a-Service. This creates an additional revenue stream per AI call.</w:t>
      </w:r>
    </w:p>
    <w:p>
      <w:pPr>
        <w:pStyle w:val="Heading2"/>
        <w:spacing w:after="100" w:before="240"/>
      </w:pPr>
      <w:bookmarkStart w:id="100018" w:name="_Toc100018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4. التكاملات الحاقوية | Critical Integrations</w:t>
      </w:r>
      <w:bookmarkEnd w:id="100018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الــدراب الحاقوي: إضافة Stripe/Paddle لـ billing، Xero/QuickBooks لـ accounting sync، Slack/Teams لـ notifications، Zapier لـ workflow automation، Shopify/WooCommerce لـ e-commerce sync. الــدراب القادر الاستراديي: HubSpot لـ CRM sync وـ Oracle NetSuite لـ enterprise ERP sync. هنا تكاملات تنفع كل شركة منمنتة لـــــاستخدام البيانات.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Critical next step: add Stripe/Paddle for billing, Xero/QuickBooks for accounting sync, Slack/Teams for notifications, Zapier for workflow automation, Shopify/WooCommerce for e-commerce sync. Strategic next step: HubSpot for CRM sync and Oracle NetSuite for enterprise ERP sync. These integrations benefit every enterprise client wanting to use their data.</w:t>
      </w:r>
    </w:p>
    <w:p>
      <w:pPr>
        <w:pStyle w:val="Heading2"/>
        <w:spacing w:after="100" w:before="240"/>
      </w:pPr>
      <w:bookmarkStart w:id="100019" w:name="_Toc100019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5. Mobile PWA وـ POS | Mobile &amp; POS</w:t>
      </w:r>
      <w:bookmarkEnd w:id="100019"/>
    </w:p>
    <w:p>
      <w:pPr>
        <w:spacing w:after="120" w:line="312"/>
        <w:ind w:firstLine="420"/>
        <w:jc w:val="both"/>
      </w:pPr>
      <w:r>
        <w:rPr>
          <w:rFonts w:ascii="Arial" w:eastAsia="Microsoft YaHei"/>
          <w:color w:val="000000"/>
          <w:sz w:val="24"/>
          <w:szCs w:val="24"/>
        </w:rPr>
        <w:t xml:space="preserve">الــدرت لديه PWA manifest ولكن الــدراب القادر: إضافة تجرتة mobile فريدية لـــصاحب المتاجر الصغيرة (scan invoice، approve payment، track expenses)، وـ POS integration لـــالمتاجر التي تبيع في الــــمتجر وتود فاترة إليترونية بالشكل السليم.</w:t>
      </w:r>
      <w:r>
        <w:rPr>
          <w:color w:val="506070"/>
          <w:sz w:val="24"/>
          <w:szCs w:val="24"/>
        </w:rPr>
        <w:t xml:space="preserve"> | </w:t>
      </w:r>
      <w:r>
        <w:rPr>
          <w:rFonts w:ascii="Times New Roman"/>
          <w:color w:val="000000"/>
          <w:sz w:val="24"/>
          <w:szCs w:val="24"/>
        </w:rPr>
        <w:t xml:space="preserve">PWA manifest exists but critical next step: add real mobile experience for small merchants (scan invoice, approve payment, track expenses), and POS integration for merchants selling in-store who want electronic invoicing cleanly.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808080"/>
        <w:sz w:val="18"/>
        <w:szCs w:val="18"/>
      </w:rPr>
      <w:t xml:space="preserve">GarfiX EOS v12.1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eastAsia="SimHei"/>
      <w:b/>
      <w:bCs/>
      <w:color w:val="1B6B7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Times New Roman" w:eastAsia="SimHei"/>
      <w:b/>
      <w:bCs/>
      <w:color w:val="1B6B7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Times New Roman" w:eastAsia="SimHei"/>
      <w:b/>
      <w:bCs/>
      <w:color w:val="50607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2026-07-22T18:50:34.206Z</dcterms:created>
  <dcterms:modified xsi:type="dcterms:W3CDTF">2026-07-22T18:50:34.206Z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