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trHeight w:val="2000" w:hRule="exact"/>
        </w:trPr>
        <w:tc>
          <w:tcPr>
            <w:shd w:fill="7C3AED" w:val="clear"/>
          </w:tcPr>
          <w:p>
            <w:r>
              <w:t xml:space="preserve"/>
            </w:r>
          </w:p>
        </w:tc>
      </w:tr>
      <w:tr>
        <w:tc>
          <w:tcPr>
            <w:shd w:fill="7C3AED" w:val="clear"/>
            <w:tcMar>
              <w:top w:type="dxa" w:w="400"/>
              <w:left w:type="dxa" w:w="600"/>
              <w:bottom w:type="dxa" w:w="400"/>
              <w:right w:type="dxa" w:w="600"/>
            </w:tcMar>
          </w:tcPr>
          <w:p>
            <w:pPr>
              <w:spacing w:after="200"/>
              <w:jc w:val="center"/>
            </w:pPr>
            <w:r>
              <w:rPr>
                <w:rFonts w:ascii="Calibri" w:cs="Calibri" w:eastAsia="Calibri" w:hAnsi="Calibri"/>
                <w:b/>
                <w:bCs/>
                <w:color w:val="FFFFFF"/>
                <w:sz w:val="48"/>
                <w:szCs w:val="48"/>
              </w:rPr>
              <w:t xml:space="preserve">GARFIX EOS</w:t>
            </w:r>
          </w:p>
          <w:p>
            <w:pPr>
              <w:spacing w:after="100"/>
              <w:jc w:val="center"/>
            </w:pPr>
            <w:r>
              <w:rPr>
                <w:rFonts w:ascii="Calibri" w:cs="Calibri" w:eastAsia="Calibri" w:hAnsi="Calibri"/>
                <w:color w:val="C4B5FD"/>
                <w:sz w:val="28"/>
                <w:szCs w:val="28"/>
              </w:rPr>
              <w:t xml:space="preserve">Enterprise SaaS ERP System</w:t>
            </w:r>
          </w:p>
          <w:p>
            <w:pPr>
              <w:spacing w:after="400"/>
              <w:jc w:val="center"/>
            </w:pPr>
            <w:r>
              <w:rPr>
                <w:color w:val="A78BFA"/>
                <w:sz w:val="20"/>
                <w:szCs w:val="20"/>
              </w:rPr>
              <w:t xml:space="preserve">━━━━━━━━━━━━━━━━━━━━━</w:t>
            </w:r>
          </w:p>
          <w:p>
            <w:pPr>
              <w:spacing w:after="100"/>
              <w:jc w:val="center"/>
            </w:pPr>
            <w:r>
              <w:rPr>
                <w:rFonts w:ascii="Calibri" w:cs="Calibri" w:eastAsia="Calibri" w:hAnsi="Calibri"/>
                <w:b/>
                <w:bCs/>
                <w:color w:val="FFFFFF"/>
                <w:sz w:val="40"/>
                <w:szCs w:val="40"/>
              </w:rPr>
              <w:t xml:space="preserve">GarfiX AI Enterprise System</w:t>
            </w:r>
          </w:p>
          <w:p>
            <w:pPr>
              <w:spacing w:after="100"/>
              <w:jc w:val="center"/>
            </w:pPr>
            <w:r>
              <w:rPr>
                <w:rFonts w:ascii="Calibri" w:cs="Calibri" w:eastAsia="Calibri" w:hAnsi="Calibri"/>
                <w:color w:val="DDD6FE"/>
                <w:sz w:val="24"/>
                <w:szCs w:val="24"/>
              </w:rPr>
              <w:t xml:space="preserve">Comprehensive Technical Report v2.0</w:t>
            </w:r>
          </w:p>
        </w:tc>
      </w:tr>
      <w:tr>
        <w:trPr>
          <w:trHeight w:val="2400" w:hRule="exact"/>
        </w:trPr>
        <w:tc>
          <w:tcPr>
            <w:shd w:fill="7C3AED" w:val="clear"/>
            <w:tcMar>
              <w:left w:type="dxa" w:w="600"/>
              <w:right w:type="dxa" w:w="600"/>
            </w:tcMar>
            <w:vAlign w:val="bottom"/>
          </w:tcPr>
          <w:p>
            <w:pPr>
              <w:spacing w:after="100"/>
              <w:jc w:val="center"/>
            </w:pPr>
            <w:r>
              <w:rPr>
                <w:color w:val="C4B5FD"/>
                <w:sz w:val="20"/>
                <w:szCs w:val="20"/>
              </w:rPr>
              <w:t xml:space="preserve">Multi-Key Gemini Integration | Queue-Based Workers | Auto-Scaling</w:t>
            </w:r>
          </w:p>
          <w:p>
            <w:pPr>
              <w:jc w:val="center"/>
            </w:pPr>
            <w:r>
              <w:rPr>
                <w:color w:val="A78BFA"/>
                <w:sz w:val="18"/>
                <w:szCs w:val="18"/>
              </w:rPr>
              <w:t xml:space="preserve">Generated: August 1, 2026</w:t>
            </w:r>
          </w:p>
        </w:tc>
      </w:tr>
    </w:tbl>
    <w:p>
      <w:pPr>
        <w:sectPr>
          <w:pgSz w:w="11906" w:h="16838" w:orient="portrait"/>
          <w:pgMar w:top="0" w:right="0" w:bottom="0" w:left="0" w:header="708" w:footer="708" w:gutter="0"/>
          <w:pgNumType/>
          <w:docGrid w:linePitch="360"/>
        </w:sectPr>
      </w:pPr>
    </w:p>
    <w:p>
      <w:pPr>
        <w:pStyle w:val="Heading1"/>
        <w:spacing w:after="200" w:before="400"/>
      </w:pPr>
      <w:r>
        <w:rPr>
          <w:rFonts w:ascii="Calibri" w:eastAsia="Microsoft YaHei"/>
          <w:b/>
          <w:bCs/>
          <w:color w:val="7C3AED"/>
          <w:sz w:val="36"/>
          <w:szCs w:val="36"/>
        </w:rPr>
        <w:t xml:space="preserve">Executive Summary</w:t>
      </w:r>
    </w:p>
    <w:p>
      <w:pPr>
        <w:spacing w:after="200" w:line="360"/>
        <w:ind w:firstLine="480"/>
        <w:jc w:val="both"/>
      </w:pPr>
      <w:r>
        <w:rPr>
          <w:rFonts w:ascii="Calibri" w:eastAsia="Microsoft YaHei"/>
          <w:color w:val="334155"/>
          <w:sz w:val="24"/>
          <w:szCs w:val="24"/>
        </w:rPr>
        <w:t xml:space="preserve">This comprehensive report documents the complete implementation of GarfiX AI Enterprise System, a sophisticated multi-key load balancing and queue-based processing architecture designed for the MENA region's ERP platform. The system leverages Google Gemini Free Tier API keys distributed across five family member accounts to achieve a combined capacity of 75 requests per minute (RPM), enabling enterprise-grade artificial intelligence capabilities without incurring any costs.</w:t>
      </w:r>
    </w:p>
    <w:p>
      <w:pPr>
        <w:spacing w:after="200" w:line="360"/>
        <w:ind w:firstLine="480"/>
        <w:jc w:val="both"/>
      </w:pPr>
      <w:r>
        <w:rPr>
          <w:rFonts w:ascii="Calibri" w:eastAsia="Microsoft YaHei"/>
          <w:color w:val="334155"/>
          <w:sz w:val="24"/>
          <w:szCs w:val="24"/>
        </w:rPr>
        <w:t xml:space="preserve">The implementation addresses critical challenges including rate limiting at the pool level, automatic failover mechanisms, health monitoring for each API key, quota tracking, weighted load balancing strategies, and real-time metrics visualization through an intuitive dashboard interface. The architecture follows enterprise patterns with circuit breakers, back-pressure handling, and pool-aware auto-scaling that respects overall system capacity rather than allowing individual components to over-commit resources.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10B981" w:sz="8"/>
              <w:left w:val="single" w:color="10B981" w:sz="8"/>
              <w:bottom w:val="single" w:color="10B981" w:sz="8"/>
              <w:right w:val="single" w:color="10B981" w:sz="8"/>
            </w:tcBorders>
            <w:shd w:fill="ECFDF5" w:val="clear"/>
            <w:tcMar>
              <w:top w:type="dxa" w:w="200"/>
              <w:left w:type="dxa" w:w="300"/>
              <w:bottom w:type="dxa" w:w="200"/>
              <w:right w:type="dxa" w:w="300"/>
            </w:tcMar>
          </w:tcPr>
          <w:p>
            <w:pPr>
              <w:spacing w:after="100"/>
              <w:jc w:val="center"/>
            </w:pPr>
            <w:r>
              <w:rPr>
                <w:b/>
                <w:bCs/>
                <w:color w:val="059669"/>
                <w:sz w:val="22"/>
                <w:szCs w:val="22"/>
              </w:rPr>
              <w:t xml:space="preserve">Key Achievements</w:t>
            </w:r>
          </w:p>
          <w:p>
            <w:pPr>
              <w:spacing w:after="80"/>
            </w:pPr>
            <w:r>
              <w:rPr>
                <w:color w:val="334155"/>
                <w:sz w:val="20"/>
                <w:szCs w:val="20"/>
              </w:rPr>
              <w:t xml:space="preserve">✅ 5 Gemini API Keys Integrated (75 RPM Total Capacity)</w:t>
            </w:r>
          </w:p>
          <w:p>
            <w:pPr>
              <w:spacing w:after="80"/>
            </w:pPr>
            <w:r>
              <w:rPr>
                <w:color w:val="334155"/>
                <w:sz w:val="20"/>
                <w:szCs w:val="20"/>
              </w:rPr>
              <w:t xml:space="preserve">✅ Zero-Cost Operation (Google Free Tier)</w:t>
            </w:r>
          </w:p>
          <w:p>
            <w:pPr>
              <w:spacing w:after="80"/>
            </w:pPr>
            <w:r>
              <w:rPr>
                <w:color w:val="334155"/>
                <w:sz w:val="20"/>
                <w:szCs w:val="20"/>
              </w:rPr>
              <w:t xml:space="preserve">✅ Queue-Based Processing (No Request Rejection)</w:t>
            </w:r>
          </w:p>
          <w:p>
            <w:pPr>
              <w:spacing w:after="80"/>
            </w:pPr>
            <w:r>
              <w:rPr>
                <w:color w:val="334155"/>
                <w:sz w:val="20"/>
                <w:szCs w:val="20"/>
              </w:rPr>
              <w:t xml:space="preserve">✅ Real-Time Health Monitoring &amp; Alerts</w:t>
            </w:r>
          </w:p>
          <w:p>
            <w:pPr>
              <w:spacing w:after="80"/>
            </w:pPr>
            <w:r>
              <w:rPr>
                <w:color w:val="334155"/>
                <w:sz w:val="20"/>
                <w:szCs w:val="20"/>
              </w:rPr>
              <w:t xml:space="preserve">✅ Automatic Failover with Circuit Breakers</w:t>
            </w:r>
          </w:p>
          <w:p>
            <w:pPr>
              <w:spacing w:after="80"/>
            </w:pPr>
            <w:r>
              <w:rPr>
                <w:color w:val="334155"/>
                <w:sz w:val="20"/>
                <w:szCs w:val="20"/>
              </w:rPr>
              <w:t xml:space="preserve">✅ Pool-Aware Auto-Scaling</w:t>
            </w:r>
          </w:p>
          <w:p>
            <w:pPr>
              <w:spacing w:after="80"/>
            </w:pPr>
            <w:r>
              <w:rPr>
                <w:color w:val="334155"/>
                <w:sz w:val="20"/>
                <w:szCs w:val="20"/>
              </w:rPr>
              <w:t xml:space="preserve">✅ Arabic RTL Dashboard Interface</w:t>
            </w:r>
          </w:p>
          <w:p>
            <w:pPr>
              <w:spacing w:after="80"/>
            </w:pPr>
            <w:r>
              <w:rPr>
                <w:color w:val="334155"/>
                <w:sz w:val="20"/>
                <w:szCs w:val="20"/>
              </w:rPr>
              <w:t xml:space="preserve">✅ Comprehensive Metrics API</w:t>
            </w:r>
          </w:p>
        </w:tc>
      </w:tr>
    </w:tbl>
    <w:p>
      <w:pPr>
        <w:pStyle w:val="Heading1"/>
        <w:spacing w:after="200" w:before="400"/>
      </w:pPr>
      <w:r>
        <w:rPr>
          <w:rFonts w:ascii="Calibri" w:eastAsia="Microsoft YaHei"/>
          <w:b/>
          <w:bCs/>
          <w:color w:val="7C3AED"/>
          <w:sz w:val="36"/>
          <w:szCs w:val="36"/>
        </w:rPr>
        <w:t xml:space="preserve">System Architecture Overview</w:t>
      </w:r>
    </w:p>
    <w:p>
      <w:pPr>
        <w:pStyle w:val="Heading2"/>
        <w:spacing w:after="200" w:before="300"/>
      </w:pPr>
      <w:r>
        <w:rPr>
          <w:rFonts w:ascii="Calibri" w:eastAsia="Microsoft YaHei"/>
          <w:b/>
          <w:bCs/>
          <w:color w:val="7C3AED"/>
          <w:sz w:val="28"/>
          <w:szCs w:val="28"/>
        </w:rPr>
        <w:t xml:space="preserve">High-Level Architecture</w:t>
      </w:r>
    </w:p>
    <w:p>
      <w:pPr>
        <w:spacing w:after="200" w:line="360"/>
        <w:ind w:firstLine="480"/>
        <w:jc w:val="both"/>
      </w:pPr>
      <w:r>
        <w:rPr>
          <w:rFonts w:ascii="Calibri" w:eastAsia="Microsoft YaHei"/>
          <w:color w:val="334155"/>
          <w:sz w:val="24"/>
          <w:szCs w:val="24"/>
        </w:rPr>
        <w:t xml:space="preserve">The GarfiX AI system follows a layered architecture pattern that separates concerns across multiple abstraction levels. At the foundation lies the Google Generative AI SDK which provides direct access to Gemini models. Above this sits the Advanced Load Balancer component that manages key distribution, health monitoring, and circuit breaker logic. The Worker Router layer handles job classification and routing to specialized processing functions. Finally, the Rate Limiter component enforces pool-level constraints to prevent overload conditions.</w:t>
      </w:r>
    </w:p>
    <w:p>
      <w:pPr>
        <w:spacing w:after="200" w:line="360"/>
        <w:ind w:firstLine="480"/>
        <w:jc w:val="both"/>
      </w:pPr>
      <w:r>
        <w:rPr>
          <w:rFonts w:ascii="Calibri" w:eastAsia="Microsoft YaHei"/>
          <w:color w:val="334155"/>
          <w:sz w:val="24"/>
          <w:szCs w:val="24"/>
        </w:rPr>
        <w:t xml:space="preserve">The integration with BullMQ queue system ensures that all AI operations are processed asynchronously, providing resilience against temporary failures and enabling back-pressure handling when demand exceeds capacity. This design choice means that the system will never reject incoming requests due to rate limiting; instead, excess requests are queued for later processing with estimated wait times provided to clients.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334155" w:sz="1"/>
              <w:left w:val="single" w:color="334155" w:sz="1"/>
              <w:bottom w:val="single" w:color="334155" w:sz="1"/>
              <w:right w:val="single" w:color="334155" w:sz="1"/>
            </w:tcBorders>
            <w:shd w:fill="1E293B" w:val="clear"/>
            <w:tcMar>
              <w:top w:type="dxa" w:w="150"/>
              <w:left w:type="dxa" w:w="200"/>
              <w:bottom w:type="dxa" w:w="150"/>
              <w:right w:type="dxa" w:w="200"/>
            </w:tcMar>
          </w:tcPr>
          <w:p>
            <w:pPr>
              <w:spacing w:after="40" w:line="276"/>
            </w:pPr>
            <w:r>
              <w:rPr>
                <w:rFonts w:ascii="Consolas" w:cs="Consolas" w:eastAsia="Consolas" w:hAnsi="Consolas"/>
                <w:color w:val="E2E8F0"/>
                <w:sz w:val="18"/>
                <w:szCs w:val="18"/>
              </w:rPr>
              <w:t xml:space="preserve">┌─────────────────────────────────────────────────────────┐</w:t>
            </w:r>
          </w:p>
          <w:p>
            <w:pPr>
              <w:spacing w:after="40" w:line="276"/>
            </w:pPr>
            <w:r>
              <w:rPr>
                <w:rFonts w:ascii="Consolas" w:cs="Consolas" w:eastAsia="Consolas" w:hAnsi="Consolas"/>
                <w:color w:val="E2E8F0"/>
                <w:sz w:val="18"/>
                <w:szCs w:val="18"/>
              </w:rPr>
              <w:t xml:space="preserve">│                 GarfiX AI Architecture               │</w:t>
            </w:r>
          </w:p>
          <w:p>
            <w:pPr>
              <w:spacing w:after="40" w:line="276"/>
            </w:pPr>
            <w:r>
              <w:rPr>
                <w:rFonts w:ascii="Consolas" w:cs="Consolas" w:eastAsia="Consolas" w:hAnsi="Consolas"/>
                <w:color w:val="E2E8F0"/>
                <w:sz w:val="18"/>
                <w:szCs w:val="18"/>
              </w:rPr>
              <w:t xml:space="preserve">├─────────────────────────────────────────────────────────┤</w:t>
            </w:r>
          </w:p>
          <w:p>
            <w:pPr>
              <w:spacing w:after="40" w:line="276"/>
            </w:pPr>
            <w:r>
              <w:rPr>
                <w:rFonts w:ascii="Consolas" w:cs="Consolas" w:eastAsia="Consolas" w:hAnsi="Consolas"/>
                <w:color w:val="E2E8F0"/>
                <w:sz w:val="18"/>
                <w:szCs w:val="18"/>
              </w:rPr>
              <w:t xml:space="preserve">│                                                         │</w:t>
            </w:r>
          </w:p>
          <w:p>
            <w:pPr>
              <w:spacing w:after="40" w:line="276"/>
            </w:pPr>
            <w:r>
              <w:rPr>
                <w:rFonts w:ascii="Consolas" w:cs="Consolas" w:eastAsia="Consolas" w:hAnsi="Consolas"/>
                <w:color w:val="E2E8F0"/>
                <w:sz w:val="18"/>
                <w:szCs w:val="18"/>
              </w:rPr>
              <w:t xml:space="preserve">│  Client → API → RateLimiter → BullMQ → WorkerRouter   │</w:t>
            </w:r>
          </w:p>
          <w:p>
            <w:pPr>
              <w:spacing w:after="40" w:line="276"/>
            </w:pPr>
            <w:r>
              <w:rPr>
                <w:rFonts w:ascii="Consolas" w:cs="Consolas" w:eastAsia="Consolas" w:hAnsi="Consolas"/>
                <w:color w:val="E2E8F0"/>
                <w:sz w:val="18"/>
                <w:szCs w:val="18"/>
              </w:rPr>
              <w:t xml:space="preserve">│                                        │                │</w:t>
            </w:r>
          </w:p>
          <w:p>
            <w:pPr>
              <w:spacing w:after="40" w:line="276"/>
            </w:pPr>
            <w:r>
              <w:rPr>
                <w:rFonts w:ascii="Consolas" w:cs="Consolas" w:eastAsia="Consolas" w:hAnsi="Consolas"/>
                <w:color w:val="E2E8F0"/>
                <w:sz w:val="18"/>
                <w:szCs w:val="18"/>
              </w:rPr>
              <w:t xml:space="preserve">│                              ┌───────┴───────┐         │</w:t>
            </w:r>
          </w:p>
          <w:p>
            <w:pPr>
              <w:spacing w:after="40" w:line="276"/>
            </w:pPr>
            <w:r>
              <w:rPr>
                <w:rFonts w:ascii="Consolas" w:cs="Consolas" w:eastAsia="Consolas" w:hAnsi="Consolas"/>
                <w:color w:val="E2E8F0"/>
                <w:sz w:val="18"/>
                <w:szCs w:val="18"/>
              </w:rPr>
              <w:t xml:space="preserve">│                              │   Workers     │         │</w:t>
            </w:r>
          </w:p>
          <w:p>
            <w:pPr>
              <w:spacing w:after="40" w:line="276"/>
            </w:pPr>
            <w:r>
              <w:rPr>
                <w:rFonts w:ascii="Consolas" w:cs="Consolas" w:eastAsia="Consolas" w:hAnsi="Consolas"/>
                <w:color w:val="E2E8F0"/>
                <w:sz w:val="18"/>
                <w:szCs w:val="18"/>
              </w:rPr>
              <w:t xml:space="preserve">│                              │ ├─ Chat       │         │</w:t>
            </w:r>
          </w:p>
          <w:p>
            <w:pPr>
              <w:spacing w:after="40" w:line="276"/>
            </w:pPr>
            <w:r>
              <w:rPr>
                <w:rFonts w:ascii="Consolas" w:cs="Consolas" w:eastAsia="Consolas" w:hAnsi="Consolas"/>
                <w:color w:val="E2E8F0"/>
                <w:sz w:val="18"/>
                <w:szCs w:val="18"/>
              </w:rPr>
              <w:t xml:space="preserve">│                              │ ├─ Invoice    │         │</w:t>
            </w:r>
          </w:p>
          <w:p>
            <w:pPr>
              <w:spacing w:after="40" w:line="276"/>
            </w:pPr>
            <w:r>
              <w:rPr>
                <w:rFonts w:ascii="Consolas" w:cs="Consolas" w:eastAsia="Consolas" w:hAnsi="Consolas"/>
                <w:color w:val="E2E8F0"/>
                <w:sz w:val="18"/>
                <w:szCs w:val="18"/>
              </w:rPr>
              <w:t xml:space="preserve">│                              │ ├─ Parse      │         │</w:t>
            </w:r>
          </w:p>
          <w:p>
            <w:pPr>
              <w:spacing w:after="40" w:line="276"/>
            </w:pPr>
            <w:r>
              <w:rPr>
                <w:rFonts w:ascii="Consolas" w:cs="Consolas" w:eastAsia="Consolas" w:hAnsi="Consolas"/>
                <w:color w:val="E2E8F0"/>
                <w:sz w:val="18"/>
                <w:szCs w:val="18"/>
              </w:rPr>
              <w:t xml:space="preserve">│                              │ ├─ Accounting │         │</w:t>
            </w:r>
          </w:p>
          <w:p>
            <w:pPr>
              <w:spacing w:after="40" w:line="276"/>
            </w:pPr>
            <w:r>
              <w:rPr>
                <w:rFonts w:ascii="Consolas" w:cs="Consolas" w:eastAsia="Consolas" w:hAnsi="Consolas"/>
                <w:color w:val="E2E8F0"/>
                <w:sz w:val="18"/>
                <w:szCs w:val="18"/>
              </w:rPr>
              <w:t xml:space="preserve">│                              │ ├─ Sales      │         │</w:t>
            </w:r>
          </w:p>
          <w:p>
            <w:pPr>
              <w:spacing w:after="40" w:line="276"/>
            </w:pPr>
            <w:r>
              <w:rPr>
                <w:rFonts w:ascii="Consolas" w:cs="Consolas" w:eastAsia="Consolas" w:hAnsi="Consolas"/>
                <w:color w:val="E2E8F0"/>
                <w:sz w:val="18"/>
                <w:szCs w:val="18"/>
              </w:rPr>
              <w:t xml:space="preserve">│                              │ └─ Inventory  │         │</w:t>
            </w:r>
          </w:p>
          <w:p>
            <w:pPr>
              <w:spacing w:after="40" w:line="276"/>
            </w:pPr>
            <w:r>
              <w:rPr>
                <w:rFonts w:ascii="Consolas" w:cs="Consolas" w:eastAsia="Consolas" w:hAnsi="Consolas"/>
                <w:color w:val="E2E8F0"/>
                <w:sz w:val="18"/>
                <w:szCs w:val="18"/>
              </w:rPr>
              <w:t xml:space="preserve">│                              └───────┬───────┘         │</w:t>
            </w:r>
          </w:p>
          <w:p>
            <w:pPr>
              <w:spacing w:after="40" w:line="276"/>
            </w:pPr>
            <w:r>
              <w:rPr>
                <w:rFonts w:ascii="Consolas" w:cs="Consolas" w:eastAsia="Consolas" w:hAnsi="Consolas"/>
                <w:color w:val="E2E8F0"/>
                <w:sz w:val="18"/>
                <w:szCs w:val="18"/>
              </w:rPr>
              <w:t xml:space="preserve">│                                      │                 │</w:t>
            </w:r>
          </w:p>
          <w:p>
            <w:pPr>
              <w:spacing w:after="40" w:line="276"/>
            </w:pPr>
            <w:r>
              <w:rPr>
                <w:rFonts w:ascii="Consolas" w:cs="Consolas" w:eastAsia="Consolas" w:hAnsi="Consolas"/>
                <w:color w:val="E2E8F0"/>
                <w:sz w:val="18"/>
                <w:szCs w:val="18"/>
              </w:rPr>
              <w:t xml:space="preserve">│                         ┌────────────▼────────────┐    │</w:t>
            </w:r>
          </w:p>
          <w:p>
            <w:pPr>
              <w:spacing w:after="40" w:line="276"/>
            </w:pPr>
            <w:r>
              <w:rPr>
                <w:rFonts w:ascii="Consolas" w:cs="Consolas" w:eastAsia="Consolas" w:hAnsi="Consolas"/>
                <w:color w:val="E2E8F0"/>
                <w:sz w:val="18"/>
                <w:szCs w:val="18"/>
              </w:rPr>
              <w:t xml:space="preserve">│                         │ Advanced Load Balancer  │    │</w:t>
            </w:r>
          </w:p>
          <w:p>
            <w:pPr>
              <w:spacing w:after="40" w:line="276"/>
            </w:pPr>
            <w:r>
              <w:rPr>
                <w:rFonts w:ascii="Consolas" w:cs="Consolas" w:eastAsia="Consolas" w:hAnsi="Consolas"/>
                <w:color w:val="E2E8F0"/>
                <w:sz w:val="18"/>
                <w:szCs w:val="18"/>
              </w:rPr>
              <w:t xml:space="preserve">│                         │ • Weighted Strategy    │    │</w:t>
            </w:r>
          </w:p>
          <w:p>
            <w:pPr>
              <w:spacing w:after="40" w:line="276"/>
            </w:pPr>
            <w:r>
              <w:rPr>
                <w:rFonts w:ascii="Consolas" w:cs="Consolas" w:eastAsia="Consolas" w:hAnsi="Consolas"/>
                <w:color w:val="E2E8F0"/>
                <w:sz w:val="18"/>
                <w:szCs w:val="18"/>
              </w:rPr>
              <w:t xml:space="preserve">│                         │ • Health Checks        │    │</w:t>
            </w:r>
          </w:p>
          <w:p>
            <w:pPr>
              <w:spacing w:after="40" w:line="276"/>
            </w:pPr>
            <w:r>
              <w:rPr>
                <w:rFonts w:ascii="Consolas" w:cs="Consolas" w:eastAsia="Consolas" w:hAnsi="Consolas"/>
                <w:color w:val="E2E8F0"/>
                <w:sz w:val="18"/>
                <w:szCs w:val="18"/>
              </w:rPr>
              <w:t xml:space="preserve">│                         │ • Circuit Breakers     │    │</w:t>
            </w:r>
          </w:p>
          <w:p>
            <w:pPr>
              <w:spacing w:after="40" w:line="276"/>
            </w:pPr>
            <w:r>
              <w:rPr>
                <w:rFonts w:ascii="Consolas" w:cs="Consolas" w:eastAsia="Consolas" w:hAnsi="Consolas"/>
                <w:color w:val="E2E8F0"/>
                <w:sz w:val="18"/>
                <w:szCs w:val="18"/>
              </w:rPr>
              <w:t xml:space="preserve">│                         └────────────┬────────────┘    │</w:t>
            </w:r>
          </w:p>
          <w:p>
            <w:pPr>
              <w:spacing w:after="40" w:line="276"/>
            </w:pPr>
            <w:r>
              <w:rPr>
                <w:rFonts w:ascii="Consolas" w:cs="Consolas" w:eastAsia="Consolas" w:hAnsi="Consolas"/>
                <w:color w:val="E2E8F0"/>
                <w:sz w:val="18"/>
                <w:szCs w:val="18"/>
              </w:rPr>
              <w:t xml:space="preserve">│                                      │                 │</w:t>
            </w:r>
          </w:p>
          <w:p>
            <w:pPr>
              <w:spacing w:after="40" w:line="276"/>
            </w:pPr>
            <w:r>
              <w:rPr>
                <w:rFonts w:ascii="Consolas" w:cs="Consolas" w:eastAsia="Consolas" w:hAnsi="Consolas"/>
                <w:color w:val="E2E8F0"/>
                <w:sz w:val="18"/>
                <w:szCs w:val="18"/>
              </w:rPr>
              <w:t xml:space="preserve">│                    ┌─────────────────┼─────────────┐  │</w:t>
            </w:r>
          </w:p>
          <w:p>
            <w:pPr>
              <w:spacing w:after="40" w:line="276"/>
            </w:pPr>
            <w:r>
              <w:rPr>
                <w:rFonts w:ascii="Consolas" w:cs="Consolas" w:eastAsia="Consolas" w:hAnsi="Consolas"/>
                <w:color w:val="E2E8F0"/>
                <w:sz w:val="18"/>
                <w:szCs w:val="18"/>
              </w:rPr>
              <w:t xml:space="preserve">│                    ▼                 ▼              ▼  │</w:t>
            </w:r>
          </w:p>
          <w:p>
            <w:pPr>
              <w:spacing w:after="40" w:line="276"/>
            </w:pPr>
            <w:r>
              <w:rPr>
                <w:rFonts w:ascii="Consolas" w:cs="Consolas" w:eastAsia="Consolas" w:hAnsi="Consolas"/>
                <w:color w:val="E2E8F0"/>
                <w:sz w:val="18"/>
                <w:szCs w:val="18"/>
              </w:rPr>
              <w:t xml:space="preserve">│               ┌────────┐    ┌────────┐    ┌────────┐│</w:t>
            </w:r>
          </w:p>
          <w:p>
            <w:pPr>
              <w:spacing w:after="40" w:line="276"/>
            </w:pPr>
            <w:r>
              <w:rPr>
                <w:rFonts w:ascii="Consolas" w:cs="Consolas" w:eastAsia="Consolas" w:hAnsi="Consolas"/>
                <w:color w:val="E2E8F0"/>
                <w:sz w:val="18"/>
                <w:szCs w:val="18"/>
              </w:rPr>
              <w:t xml:space="preserve">│               │ Key 1  │    │ Key 2  │...│ Key 5  ││</w:t>
            </w:r>
          </w:p>
          <w:p>
            <w:pPr>
              <w:spacing w:after="40" w:line="276"/>
            </w:pPr>
            <w:r>
              <w:rPr>
                <w:rFonts w:ascii="Consolas" w:cs="Consolas" w:eastAsia="Consolas" w:hAnsi="Consolas"/>
                <w:color w:val="E2E8F0"/>
                <w:sz w:val="18"/>
                <w:szCs w:val="18"/>
              </w:rPr>
              <w:t xml:space="preserve">│               │ 15 RPM │    │ 15 RPM │   │ 15 RPM ││</w:t>
            </w:r>
          </w:p>
          <w:p>
            <w:pPr>
              <w:spacing w:after="40" w:line="276"/>
            </w:pPr>
            <w:r>
              <w:rPr>
                <w:rFonts w:ascii="Consolas" w:cs="Consolas" w:eastAsia="Consolas" w:hAnsi="Consolas"/>
                <w:color w:val="E2E8F0"/>
                <w:sz w:val="18"/>
                <w:szCs w:val="18"/>
              </w:rPr>
              <w:t xml:space="preserve">│               └────────┘    └────────┘    └────────┘│</w:t>
            </w:r>
          </w:p>
          <w:p>
            <w:pPr>
              <w:spacing w:after="40" w:line="276"/>
            </w:pPr>
            <w:r>
              <w:rPr>
                <w:rFonts w:ascii="Consolas" w:cs="Consolas" w:eastAsia="Consolas" w:hAnsi="Consolas"/>
                <w:color w:val="E2E8F0"/>
                <w:sz w:val="18"/>
                <w:szCs w:val="18"/>
              </w:rPr>
              <w:t xml:space="preserve">│                                                         │</w:t>
            </w:r>
          </w:p>
          <w:p>
            <w:pPr>
              <w:spacing w:after="40" w:line="276"/>
            </w:pPr>
            <w:r>
              <w:rPr>
                <w:rFonts w:ascii="Consolas" w:cs="Consolas" w:eastAsia="Consolas" w:hAnsi="Consolas"/>
                <w:color w:val="E2E8F0"/>
                <w:sz w:val="18"/>
                <w:szCs w:val="18"/>
              </w:rPr>
              <w:t xml:space="preserve">│              Total: 75 RPM | 5M Tokens/Day           │</w:t>
            </w:r>
          </w:p>
          <w:p>
            <w:pPr>
              <w:spacing w:after="40" w:line="276"/>
            </w:pPr>
            <w:r>
              <w:rPr>
                <w:rFonts w:ascii="Consolas" w:cs="Consolas" w:eastAsia="Consolas" w:hAnsi="Consolas"/>
                <w:color w:val="E2E8F0"/>
                <w:sz w:val="18"/>
                <w:szCs w:val="18"/>
              </w:rPr>
              <w:t xml:space="preserve">└─────────────────────────────────────────────────────────┘</w:t>
            </w:r>
          </w:p>
        </w:tc>
      </w:tr>
    </w:tbl>
    <w:p>
      <w:pPr>
        <w:pStyle w:val="Heading2"/>
        <w:spacing w:after="200" w:before="300"/>
      </w:pPr>
      <w:r>
        <w:rPr>
          <w:rFonts w:ascii="Calibri" w:eastAsia="Microsoft YaHei"/>
          <w:b/>
          <w:bCs/>
          <w:color w:val="7C3AED"/>
          <w:sz w:val="28"/>
          <w:szCs w:val="28"/>
        </w:rPr>
        <w:t xml:space="preserve">Core Components Implementation</w:t>
      </w:r>
    </w:p>
    <w:p>
      <w:pPr>
        <w:pStyle w:val="Heading3"/>
        <w:spacing w:after="200" w:before="300"/>
      </w:pPr>
      <w:r>
        <w:rPr>
          <w:rFonts w:ascii="Calibri" w:eastAsia="Microsoft YaHei"/>
          <w:b/>
          <w:bCs/>
          <w:color w:val="7C3AED"/>
          <w:sz w:val="24"/>
          <w:szCs w:val="24"/>
        </w:rPr>
        <w:t xml:space="preserve">1. Advanced Load Balancer (advanced-loadbalancer.ts)</w:t>
      </w:r>
    </w:p>
    <w:p>
      <w:pPr>
        <w:spacing w:after="200" w:line="360"/>
        <w:ind w:firstLine="480"/>
        <w:jc w:val="both"/>
      </w:pPr>
      <w:r>
        <w:rPr>
          <w:rFonts w:ascii="Calibri" w:eastAsia="Microsoft YaHei"/>
          <w:color w:val="334155"/>
          <w:sz w:val="24"/>
          <w:szCs w:val="24"/>
        </w:rPr>
        <w:t xml:space="preserve">The Advanced Load Balancer represents a significant enhancement over basic round-robin distribution. It implements five distinct balancing strategies that can be selected based on operational requirements. The weighted strategy, configured as the default, calculates a composite score for each key based on remaining RPM capacity (70% weight) and available token quota (30% weight), then probabilistically routes requests to favor healthier keys.</w:t>
      </w:r>
    </w:p>
    <w:p>
      <w:pPr>
        <w:spacing w:after="120" w:line="320"/>
        <w:ind w:left="720"/>
      </w:pPr>
      <w:r>
        <w:rPr>
          <w:color w:val="06B6D4"/>
          <w:sz w:val="24"/>
          <w:szCs w:val="24"/>
        </w:rPr>
        <w:t xml:space="preserve">• </w:t>
      </w:r>
      <w:r>
        <w:rPr>
          <w:rFonts w:ascii="Calibri" w:eastAsia="Microsoft YaHei"/>
          <w:color w:val="334155"/>
          <w:sz w:val="24"/>
          <w:szCs w:val="24"/>
        </w:rPr>
        <w:t xml:space="preserve">Health Check System: Every 30 seconds, each key receives a minimal ping request to verify connectivity. The system tracks consecutive failures, last error messages, and response latency using exponential moving averages with a smoothing factor of 0.3.</w:t>
      </w:r>
    </w:p>
    <w:p>
      <w:pPr>
        <w:spacing w:after="120" w:line="320"/>
        <w:ind w:left="720"/>
      </w:pPr>
      <w:r>
        <w:rPr>
          <w:color w:val="06B6D4"/>
          <w:sz w:val="24"/>
          <w:szCs w:val="24"/>
        </w:rPr>
        <w:t xml:space="preserve">• </w:t>
      </w:r>
      <w:r>
        <w:rPr>
          <w:rFonts w:ascii="Calibri" w:eastAsia="Microsoft YaHei"/>
          <w:color w:val="334155"/>
          <w:sz w:val="24"/>
          <w:szCs w:val="24"/>
        </w:rPr>
        <w:t xml:space="preserve">Circuit Breaker Pattern: When a key accumulates 3 consecutive failures, its circuit transitions from CLOSED to OPEN state, blocking all traffic for 60 seconds. After cooldown, it enters HALF-OPEN state allowing limited test traffic before full recovery or re-opening.</w:t>
      </w:r>
    </w:p>
    <w:p>
      <w:pPr>
        <w:spacing w:after="120" w:line="320"/>
        <w:ind w:left="720"/>
      </w:pPr>
      <w:r>
        <w:rPr>
          <w:color w:val="06B6D4"/>
          <w:sz w:val="24"/>
          <w:szCs w:val="24"/>
        </w:rPr>
        <w:t xml:space="preserve">• </w:t>
      </w:r>
      <w:r>
        <w:rPr>
          <w:rFonts w:ascii="Calibri" w:eastAsia="Microsoft YaHei"/>
          <w:color w:val="334155"/>
          <w:sz w:val="24"/>
          <w:szCs w:val="24"/>
        </w:rPr>
        <w:t xml:space="preserve">Quota Tracking: The balancer maintains daily counters for requests and tokens per key, enabling proactive alerting when consumption approaches the 1 million token daily limit imposed by Google's free tier.</w:t>
      </w:r>
    </w:p>
    <w:p>
      <w:pPr>
        <w:pStyle w:val="Heading3"/>
        <w:spacing w:after="200" w:before="300"/>
      </w:pPr>
      <w:r>
        <w:rPr>
          <w:rFonts w:ascii="Calibri" w:eastAsia="Microsoft YaHei"/>
          <w:b/>
          <w:bCs/>
          <w:color w:val="7C3AED"/>
          <w:sz w:val="24"/>
          <w:szCs w:val="24"/>
        </w:rPr>
        <w:t xml:space="preserve">2. AI Queue Workers System (aiWorkers.ts)</w:t>
      </w:r>
    </w:p>
    <w:p>
      <w:pPr>
        <w:spacing w:after="200" w:line="360"/>
        <w:ind w:firstLine="480"/>
        <w:jc w:val="both"/>
      </w:pPr>
      <w:r>
        <w:rPr>
          <w:rFonts w:ascii="Calibri" w:eastAsia="Microsoft YaHei"/>
          <w:color w:val="334155"/>
          <w:sz w:val="24"/>
          <w:szCs w:val="24"/>
        </w:rPr>
        <w:t xml:space="preserve">The Queue Workers system transforms all AI operations from synchronous API calls into asynchronous background jobs processed through BullMQ. This architectural decision provides several critical benefits: resilience against transient failures, natural back-pressure handling, priority-based execution, and horizontal scaling capability across multiple server instances.</w:t>
      </w:r>
    </w:p>
    <w:p>
      <w:pPr>
        <w:spacing w:after="200" w:line="360"/>
        <w:ind w:firstLine="480"/>
        <w:jc w:val="both"/>
      </w:pPr>
      <w:r>
        <w:rPr>
          <w:rFonts w:ascii="Calibri" w:eastAsia="Microsoft YaHei"/>
          <w:color w:val="334155"/>
          <w:sz w:val="24"/>
          <w:szCs w:val="24"/>
        </w:rPr>
        <w:t xml:space="preserve">Six specialized workers handle different aspects of AI processing. The Chat Agent manages conversational interactions with memory persistence and context awareness. The Invoice Brain performs intelligent extraction with pattern learning that reduces API calls over time as it recognizes recurring invoice formats. The Smart Parse worker handles multi-format document analysis including PDF optical character recognition and WhatsApp message parsing. Three specialist agents provide domain-specific expertise for accounting, sales, and inventory operations.</w:t>
      </w:r>
    </w:p>
    <w:p>
      <w:pPr>
        <w:pStyle w:val="Heading3"/>
        <w:spacing w:after="200" w:before="300"/>
      </w:pPr>
      <w:r>
        <w:rPr>
          <w:rFonts w:ascii="Calibri" w:eastAsia="Microsoft YaHei"/>
          <w:b/>
          <w:bCs/>
          <w:color w:val="7C3AED"/>
          <w:sz w:val="24"/>
          <w:szCs w:val="24"/>
        </w:rPr>
        <w:t xml:space="preserve">3. Pool-Level Rate Limiter</w:t>
      </w:r>
    </w:p>
    <w:p>
      <w:pPr>
        <w:spacing w:after="200" w:line="360"/>
        <w:ind w:firstLine="480"/>
        <w:jc w:val="both"/>
      </w:pPr>
      <w:r>
        <w:rPr>
          <w:rFonts w:ascii="Calibri" w:eastAsia="Microsoft YaHei"/>
          <w:color w:val="334155"/>
          <w:sz w:val="24"/>
          <w:szCs w:val="24"/>
        </w:rPr>
        <w:t xml:space="preserve">Unlike traditional per-client rate limiting, the Pool-Level Rate Limiter enforces constraints on aggregate system capacity rather than individual user quotas. This prevents the scenario where multiple healthy agents collectively overwhelm the shared key pool. The limiter maintains a sliding window of request timestamps spanning 60 seconds, providing accurate real-time RPM calculations.</w:t>
      </w:r>
    </w:p>
    <w:p>
      <w:pPr>
        <w:spacing w:after="200" w:line="360"/>
        <w:ind w:firstLine="480"/>
        <w:jc w:val="both"/>
      </w:pPr>
      <w:r>
        <w:rPr>
          <w:rFonts w:ascii="Calibri" w:eastAsia="Microsoft YaHei"/>
          <w:color w:val="334155"/>
          <w:sz w:val="24"/>
          <w:szCs w:val="24"/>
        </w:rPr>
        <w:t xml:space="preserve">When the pool approaches its 75 RPM capacity limit, the limiter automatically transitions from immediate processing to queue-based deferral. Requests are never rejected due to rate limiting; instead, they enter the BullMQ queue with estimated wait times calculated based on current depth and historical processing rates. Only when the queue exceeds 1000 pending jobs does the system return a polite retry recommendation to prevent unbounded memory growth.</w:t>
      </w:r>
    </w:p>
    <w:p>
      <w:pPr>
        <w:pStyle w:val="Heading3"/>
        <w:spacing w:after="200" w:before="300"/>
      </w:pPr>
      <w:r>
        <w:rPr>
          <w:rFonts w:ascii="Calibri" w:eastAsia="Microsoft YaHei"/>
          <w:b/>
          <w:bCs/>
          <w:color w:val="7C3AED"/>
          <w:sz w:val="24"/>
          <w:szCs w:val="24"/>
        </w:rPr>
        <w:t xml:space="preserve">4. Enhanced Auto-Scaler (enhanced-worker-scaler.ts)</w:t>
      </w:r>
    </w:p>
    <w:p>
      <w:pPr>
        <w:spacing w:after="200" w:line="360"/>
        <w:ind w:firstLine="480"/>
        <w:jc w:val="both"/>
      </w:pPr>
      <w:r>
        <w:rPr>
          <w:rFonts w:ascii="Calibri" w:eastAsia="Microsoft YaHei"/>
          <w:color w:val="334155"/>
          <w:sz w:val="24"/>
          <w:szCs w:val="24"/>
        </w:rPr>
        <w:t xml:space="preserve">The Enhanced Auto-Scaler introduces pool-awareness to the worker scaling decisions. Traditional scalers might increase worker count based solely on queue depth, potentially exacerbating overload situations. This enhanced version calculates a health factor combining pool utilization percentage (60% weight) and key health ratio (40% weight), then applies multiplicative scaling factors: 1.0x for healthy pools, 0.5x for degraded pools, and 0.25x for critical pools.</w:t>
      </w:r>
    </w:p>
    <w:p>
      <w:pPr>
        <w:spacing w:after="200" w:line="360"/>
        <w:ind w:firstLine="480"/>
        <w:jc w:val="both"/>
      </w:pPr>
      <w:r>
        <w:rPr>
          <w:rFonts w:ascii="Calibri" w:eastAsia="Microsoft YaHei"/>
          <w:color w:val="334155"/>
          <w:sz w:val="24"/>
          <w:szCs w:val="24"/>
        </w:rPr>
        <w:t xml:space="preserve">The scaler implements graduated response thresholds. Queue depths below 50 trigger no action (normal operation). Depths between 150-300 initiate monitoring with scale-up consideration after two consecutive checks. Depths exceeding 300 trigger immediate emergency scaling with doubled step sizes. Conversely, three consecutive checks showing empty queues initiate gradual scale-down to conserve resources during low-demand periods.</w:t>
      </w:r>
    </w:p>
    <w:p>
      <w:pPr>
        <w:pStyle w:val="Heading2"/>
        <w:spacing w:after="200" w:before="300"/>
      </w:pPr>
      <w:r>
        <w:rPr>
          <w:rFonts w:ascii="Calibri" w:eastAsia="Microsoft YaHei"/>
          <w:b/>
          <w:bCs/>
          <w:color w:val="7C3AED"/>
          <w:sz w:val="28"/>
          <w:szCs w:val="28"/>
        </w:rPr>
        <w:t xml:space="preserve">Capacity &amp; Performance Analysis</w:t>
      </w:r>
    </w:p>
    <w:p>
      <w:pPr>
        <w:pStyle w:val="Heading3"/>
        <w:spacing w:after="200" w:before="300"/>
      </w:pPr>
      <w:r>
        <w:rPr>
          <w:rFonts w:ascii="Calibri" w:eastAsia="Microsoft YaHei"/>
          <w:b/>
          <w:bCs/>
          <w:color w:val="7C3AED"/>
          <w:sz w:val="24"/>
          <w:szCs w:val="24"/>
        </w:rPr>
        <w:t xml:space="preserve">Theoretical Maximum Capacity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500"/>
      </w:tblGrid>
      <w:tr>
        <w:trPr>
          <w:tblHeader/>
        </w:trPr>
        <w:tc>
          <w:tcPr>
            <w:shd w:fill="7C3AED" w:val="clear"/>
          </w:tcPr>
          <w:p>
            <w:pPr>
              <w:jc w:val="center"/>
            </w:pPr>
            <w:r>
              <w:rPr>
                <w:b/>
                <w:bCs/>
                <w:color w:val="FFFFFF"/>
                <w:sz w:val="22"/>
                <w:szCs w:val="22"/>
              </w:rPr>
              <w:t xml:space="preserve">Metric</w:t>
            </w:r>
          </w:p>
        </w:tc>
        <w:tc>
          <w:tcPr>
            <w:shd w:fill="7C3AED" w:val="clear"/>
          </w:tcPr>
          <w:p>
            <w:pPr>
              <w:jc w:val="center"/>
            </w:pPr>
            <w:r>
              <w:rPr>
                <w:b/>
                <w:bCs/>
                <w:color w:val="FFFFFF"/>
                <w:sz w:val="22"/>
                <w:szCs w:val="22"/>
              </w:rPr>
              <w:t xml:space="preserve">Value</w:t>
            </w:r>
          </w:p>
        </w:tc>
        <w:tc>
          <w:tcPr>
            <w:shd w:fill="7C3AED" w:val="clear"/>
          </w:tcPr>
          <w:p>
            <w:pPr>
              <w:jc w:val="center"/>
            </w:pPr>
            <w:r>
              <w:rPr>
                <w:b/>
                <w:bCs/>
                <w:color w:val="FFFFFF"/>
                <w:sz w:val="22"/>
                <w:szCs w:val="22"/>
              </w:rPr>
              <w:t xml:space="preserve">Notes</w:t>
            </w:r>
          </w:p>
        </w:tc>
      </w:tr>
      <w:tr>
        <w:tc>
          <w:p>
            <w:r>
              <w:rPr>
                <w:sz w:val="20"/>
                <w:szCs w:val="20"/>
              </w:rPr>
              <w:t xml:space="preserve">Total RPM Capacity</w:t>
            </w:r>
          </w:p>
        </w:tc>
        <w:tc>
          <w:p>
            <w:pPr>
              <w:jc w:val="center"/>
            </w:pPr>
            <w:r>
              <w:rPr>
                <w:b/>
                <w:bCs/>
                <w:color w:val="10B981"/>
                <w:sz w:val="22"/>
                <w:szCs w:val="22"/>
              </w:rPr>
              <w:t xml:space="preserve">75 RPM</w:t>
            </w:r>
          </w:p>
        </w:tc>
        <w:tc>
          <w:p>
            <w:r>
              <w:rPr>
                <w:color w:val="64748B"/>
                <w:sz w:val="18"/>
                <w:szCs w:val="18"/>
              </w:rPr>
              <w:t xml:space="preserve">5 keys × 15 RPM each</w:t>
            </w:r>
          </w:p>
        </w:tc>
      </w:tr>
      <w:tr>
        <w:tc>
          <w:p>
            <w:r>
              <w:rPr>
                <w:sz w:val="20"/>
                <w:szCs w:val="20"/>
              </w:rPr>
              <w:t xml:space="preserve">Hourly Capacity</w:t>
            </w:r>
          </w:p>
        </w:tc>
        <w:tc>
          <w:p>
            <w:pPr>
              <w:jc w:val="center"/>
            </w:pPr>
            <w:r>
              <w:rPr>
                <w:b/>
                <w:bCs/>
                <w:color w:val="10B981"/>
                <w:sz w:val="22"/>
                <w:szCs w:val="22"/>
              </w:rPr>
              <w:t xml:space="preserve">4,500 requests</w:t>
            </w:r>
          </w:p>
        </w:tc>
        <w:tc>
          <w:p>
            <w:r>
              <w:rPr>
                <w:color w:val="64748B"/>
                <w:sz w:val="18"/>
                <w:szCs w:val="18"/>
              </w:rPr>
              <w:t xml:space="preserve">Sustained throughput</w:t>
            </w:r>
          </w:p>
        </w:tc>
      </w:tr>
      <w:tr>
        <w:tc>
          <w:p>
            <w:r>
              <w:rPr>
                <w:sz w:val="20"/>
                <w:szCs w:val="20"/>
              </w:rPr>
              <w:t xml:space="preserve">Daily Capacity</w:t>
            </w:r>
          </w:p>
        </w:tc>
        <w:tc>
          <w:p>
            <w:pPr>
              <w:jc w:val="center"/>
            </w:pPr>
            <w:r>
              <w:rPr>
                <w:b/>
                <w:bCs/>
                <w:color w:val="10B981"/>
                <w:sz w:val="22"/>
                <w:szCs w:val="22"/>
              </w:rPr>
              <w:t xml:space="preserve">108,000 requests</w:t>
            </w:r>
          </w:p>
        </w:tc>
        <w:tc>
          <w:p>
            <w:r>
              <w:rPr>
                <w:color w:val="64748B"/>
                <w:sz w:val="18"/>
                <w:szCs w:val="18"/>
              </w:rPr>
              <w:t xml:space="preserve">24-hour continuous</w:t>
            </w:r>
          </w:p>
        </w:tc>
      </w:tr>
      <w:tr>
        <w:tc>
          <w:p>
            <w:r>
              <w:rPr>
                <w:sz w:val="20"/>
                <w:szCs w:val="20"/>
              </w:rPr>
              <w:t xml:space="preserve">Token Quota (Total)</w:t>
            </w:r>
          </w:p>
        </w:tc>
        <w:tc>
          <w:p>
            <w:pPr>
              <w:jc w:val="center"/>
            </w:pPr>
            <w:r>
              <w:rPr>
                <w:b/>
                <w:bCs/>
                <w:color w:val="10B981"/>
                <w:sz w:val="22"/>
                <w:szCs w:val="22"/>
              </w:rPr>
              <w:t xml:space="preserve">5 Million/day</w:t>
            </w:r>
          </w:p>
        </w:tc>
        <w:tc>
          <w:p>
            <w:r>
              <w:rPr>
                <w:color w:val="64748B"/>
                <w:sz w:val="18"/>
                <w:szCs w:val="18"/>
              </w:rPr>
              <w:t xml:space="preserve">1M per key free tier</w:t>
            </w:r>
          </w:p>
        </w:tc>
      </w:tr>
      <w:tr>
        <w:tc>
          <w:p>
            <w:r>
              <w:rPr>
                <w:sz w:val="20"/>
                <w:szCs w:val="20"/>
              </w:rPr>
              <w:t xml:space="preserve">Invoice Processing</w:t>
            </w:r>
          </w:p>
        </w:tc>
        <w:tc>
          <w:p>
            <w:pPr>
              <w:jc w:val="center"/>
            </w:pPr>
            <w:r>
              <w:rPr>
                <w:b/>
                <w:bCs/>
                <w:color w:val="10B981"/>
                <w:sz w:val="22"/>
                <w:szCs w:val="22"/>
              </w:rPr>
              <w:t xml:space="preserve">36,000-108,000/day</w:t>
            </w:r>
          </w:p>
        </w:tc>
        <w:tc>
          <w:p>
            <w:r>
              <w:rPr>
                <w:color w:val="64748B"/>
                <w:sz w:val="18"/>
                <w:szCs w:val="18"/>
              </w:rPr>
              <w:t xml:space="preserve">Depends on complexity</w:t>
            </w:r>
          </w:p>
        </w:tc>
      </w:tr>
    </w:tbl>
    <w:p>
      <w:pPr>
        <w:spacing w:after="200" w:before="300"/>
      </w:pPr>
    </w:p>
    <w:p>
      <w:pPr>
        <w:pStyle w:val="Heading3"/>
        <w:spacing w:after="200" w:before="300"/>
      </w:pPr>
      <w:r>
        <w:rPr>
          <w:rFonts w:ascii="Calibri" w:eastAsia="Microsoft YaHei"/>
          <w:b/>
          <w:bCs/>
          <w:color w:val="7C3AED"/>
          <w:sz w:val="24"/>
          <w:szCs w:val="24"/>
        </w:rPr>
        <w:t xml:space="preserve">Real-World Scenarios</w:t>
      </w:r>
    </w:p>
    <w:p>
      <w:pPr>
        <w:spacing w:after="200" w:line="360"/>
        <w:ind w:firstLine="480"/>
        <w:jc w:val="both"/>
      </w:pPr>
      <w:r>
        <w:rPr>
          <w:rFonts w:ascii="Calibri" w:eastAsia="Microsoft YaHei"/>
          <w:color w:val="334155"/>
          <w:sz w:val="24"/>
          <w:szCs w:val="24"/>
        </w:rPr>
        <w:t xml:space="preserve">For a medium-sized Egyptian company with 50 employees processing approximately 50 invoices daily, the system operates at less than 1% of its total capacity. Even large enterprises with 500+ employees generating 500+ invoices daily would utilize only 5-15% of available capacity. This substantial headroom ensures consistent performance even during peak periods such as month-end closing or promotional campaigns.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3B82F6" w:sz="8"/>
              <w:left w:val="single" w:color="3B82F6" w:sz="8"/>
              <w:bottom w:val="single" w:color="3B82F6" w:sz="8"/>
              <w:right w:val="single" w:color="3B82F6" w:sz="8"/>
            </w:tcBorders>
            <w:shd w:fill="EFF6FF" w:val="clear"/>
            <w:tcMar>
              <w:top w:type="dxa" w:w="200"/>
              <w:left w:type="dxa" w:w="300"/>
              <w:bottom w:type="dxa" w:w="200"/>
              <w:right w:type="dxa" w:w="300"/>
            </w:tcMar>
          </w:tcPr>
          <w:p>
            <w:pPr>
              <w:spacing w:after="100"/>
              <w:jc w:val="center"/>
            </w:pPr>
            <w:r>
              <w:rPr>
                <w:b/>
                <w:bCs/>
                <w:color w:val="1D4ED8"/>
                <w:sz w:val="22"/>
                <w:szCs w:val="22"/>
              </w:rPr>
              <w:t xml:space="preserve">Capacity Example: Medium Company (50 Employees)</w:t>
            </w:r>
          </w:p>
          <w:p>
            <w:pPr>
              <w:spacing w:after="80"/>
            </w:pPr>
            <w:r>
              <w:rPr>
                <w:color w:val="334155"/>
                <w:sz w:val="20"/>
                <w:szCs w:val="20"/>
              </w:rPr>
              <w:t xml:space="preserve">• Daily Invoices: 50-100</w:t>
            </w:r>
          </w:p>
          <w:p>
            <w:pPr>
              <w:spacing w:after="80"/>
            </w:pPr>
            <w:r>
              <w:rPr>
                <w:color w:val="334155"/>
                <w:sz w:val="20"/>
                <w:szCs w:val="20"/>
              </w:rPr>
              <w:t xml:space="preserve">• Monthly Volume: 1,000-2,500</w:t>
            </w:r>
          </w:p>
          <w:p>
            <w:pPr>
              <w:spacing w:after="80"/>
            </w:pPr>
            <w:r>
              <w:rPr>
                <w:color w:val="334155"/>
                <w:sz w:val="20"/>
                <w:szCs w:val="20"/>
              </w:rPr>
              <w:t xml:space="preserve">• Annual Estimate: 12,000-30,000</w:t>
            </w:r>
          </w:p>
          <w:p>
            <w:pPr>
              <w:spacing w:after="80"/>
            </w:pPr>
            <w:r>
              <w:rPr>
                <w:color w:val="334155"/>
                <w:sz w:val="20"/>
                <w:szCs w:val="20"/>
              </w:rPr>
              <w:t xml:space="preserve">• System Utilization: &lt; 1%</w:t>
            </w:r>
          </w:p>
          <w:p>
            <w:pPr>
              <w:spacing w:after="80"/>
            </w:pPr>
            <w:r>
              <w:rPr>
                <w:color w:val="334155"/>
                <w:sz w:val="20"/>
                <w:szCs w:val="20"/>
              </w:rPr>
              <w:t xml:space="preserve">• Headroom Available: 99%+</w:t>
            </w:r>
          </w:p>
          <w:p>
            <w:pPr>
              <w:spacing w:after="80"/>
            </w:pPr>
            <w:r>
              <w:rPr>
                <w:color w:val="334155"/>
                <w:sz w:val="20"/>
                <w:szCs w:val="20"/>
              </w:rPr>
              <w:t xml:space="preserve"/>
            </w:r>
          </w:p>
          <w:p>
            <w:pPr>
              <w:spacing w:after="80"/>
            </w:pPr>
            <w:r>
              <w:rPr>
                <w:color w:val="334155"/>
                <w:sz w:val="20"/>
                <w:szCs w:val="20"/>
              </w:rPr>
              <w:t xml:space="preserve">Conclusion: More than sufficient for normal operations with ample room for growth.</w:t>
            </w:r>
          </w:p>
        </w:tc>
      </w:tr>
    </w:tbl>
    <w:p>
      <w:pPr>
        <w:pStyle w:val="Heading2"/>
        <w:spacing w:after="200" w:before="300"/>
      </w:pPr>
      <w:r>
        <w:rPr>
          <w:rFonts w:ascii="Calibri" w:eastAsia="Microsoft YaHei"/>
          <w:b/>
          <w:bCs/>
          <w:color w:val="7C3AED"/>
          <w:sz w:val="28"/>
          <w:szCs w:val="28"/>
        </w:rPr>
        <w:t xml:space="preserve">Risk Assessment &amp; Mitigation Strategies</w:t>
      </w:r>
    </w:p>
    <w:p>
      <w:pPr>
        <w:pStyle w:val="Heading3"/>
        <w:spacing w:after="200" w:before="300"/>
      </w:pPr>
      <w:r>
        <w:rPr>
          <w:rFonts w:ascii="Calibri" w:eastAsia="Microsoft YaHei"/>
          <w:b/>
          <w:bCs/>
          <w:color w:val="7C3AED"/>
          <w:sz w:val="24"/>
          <w:szCs w:val="24"/>
        </w:rPr>
        <w:t xml:space="preserve">Identified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500"/>
      </w:tblGrid>
      <w:tr>
        <w:trPr>
          <w:tblHeader/>
        </w:trPr>
        <w:tc>
          <w:tcPr>
            <w:shd w:fill="1E293B" w:val="clear"/>
          </w:tcPr>
          <w:p>
            <w:pPr>
              <w:jc w:val="center"/>
            </w:pPr>
            <w:r>
              <w:rPr>
                <w:b/>
                <w:bCs/>
                <w:color w:val="FFFFFF"/>
                <w:sz w:val="20"/>
                <w:szCs w:val="20"/>
              </w:rPr>
              <w:t xml:space="preserve">Risk</w:t>
            </w:r>
          </w:p>
        </w:tc>
        <w:tc>
          <w:tcPr>
            <w:shd w:fill="1E293B" w:val="clear"/>
          </w:tcPr>
          <w:p>
            <w:pPr>
              <w:jc w:val="center"/>
            </w:pPr>
            <w:r>
              <w:rPr>
                <w:b/>
                <w:bCs/>
                <w:color w:val="FFFFFF"/>
                <w:sz w:val="20"/>
                <w:szCs w:val="20"/>
              </w:rPr>
              <w:t xml:space="preserve">Severity</w:t>
            </w:r>
          </w:p>
        </w:tc>
        <w:tc>
          <w:tcPr>
            <w:shd w:fill="1E293B" w:val="clear"/>
          </w:tcPr>
          <w:p>
            <w:pPr>
              <w:jc w:val="center"/>
            </w:pPr>
            <w:r>
              <w:rPr>
                <w:b/>
                <w:bCs/>
                <w:color w:val="FFFFFF"/>
                <w:sz w:val="20"/>
                <w:szCs w:val="20"/>
              </w:rPr>
              <w:t xml:space="preserve">Mitigation Strategy</w:t>
            </w:r>
          </w:p>
        </w:tc>
      </w:tr>
      <w:tr>
        <w:tc>
          <w:p>
            <w:r>
              <w:rPr>
                <w:sz w:val="18"/>
                <w:szCs w:val="18"/>
              </w:rPr>
              <w:t xml:space="preserve">Key Account Suspension</w:t>
            </w:r>
          </w:p>
        </w:tc>
        <w:tc>
          <w:p>
            <w:pPr>
              <w:jc w:val="center"/>
            </w:pPr>
            <w:r>
              <w:rPr>
                <w:b/>
                <w:bCs/>
                <w:color w:val="EF4444"/>
                <w:sz w:val="18"/>
                <w:szCs w:val="18"/>
              </w:rPr>
              <w:t xml:space="preserve">HIGH</w:t>
            </w:r>
          </w:p>
        </w:tc>
        <w:tc>
          <w:p>
            <w:r>
              <w:rPr>
                <w:sz w:val="18"/>
                <w:szCs w:val="18"/>
              </w:rPr>
              <w:t xml:space="preserve">Circuit breaker isolates failed keys; automatic failover to remaining keys reduces capacity gracefully (75→60→45→30→15 RPM)</w:t>
            </w:r>
          </w:p>
        </w:tc>
      </w:tr>
      <w:tr>
        <w:tc>
          <w:p>
            <w:r>
              <w:rPr>
                <w:sz w:val="18"/>
                <w:szCs w:val="18"/>
              </w:rPr>
              <w:t xml:space="preserve">Pool Overload (&gt;75 RPM)</w:t>
            </w:r>
          </w:p>
        </w:tc>
        <w:tc>
          <w:p>
            <w:pPr>
              <w:jc w:val="center"/>
            </w:pPr>
            <w:r>
              <w:rPr>
                <w:b/>
                <w:bCs/>
                <w:color w:val="F59E0B"/>
                <w:sz w:val="18"/>
                <w:szCs w:val="18"/>
              </w:rPr>
              <w:t xml:space="preserve">MEDIUM</w:t>
            </w:r>
          </w:p>
        </w:tc>
        <w:tc>
          <w:p>
            <w:r>
              <w:rPr>
                <w:sz w:val="18"/>
                <w:szCs w:val="18"/>
              </w:rPr>
              <w:t xml:space="preserve">Hard cap enforcement; excess requests queue instead of failing; back-pressure with wait time estimates</w:t>
            </w:r>
          </w:p>
        </w:tc>
      </w:tr>
      <w:tr>
        <w:tc>
          <w:p>
            <w:r>
              <w:rPr>
                <w:sz w:val="18"/>
                <w:szCs w:val="18"/>
              </w:rPr>
              <w:t xml:space="preserve">Regional Service Disruption</w:t>
            </w:r>
          </w:p>
        </w:tc>
        <w:tc>
          <w:p>
            <w:pPr>
              <w:jc w:val="center"/>
            </w:pPr>
            <w:r>
              <w:rPr>
                <w:b/>
                <w:bCs/>
                <w:color w:val="F59E0B"/>
                <w:sz w:val="18"/>
                <w:szCs w:val="18"/>
              </w:rPr>
              <w:t xml:space="preserve">MEDIUM</w:t>
            </w:r>
          </w:p>
        </w:tc>
        <w:tc>
          <w:p>
            <w:r>
              <w:rPr>
                <w:sz w:val="18"/>
                <w:szCs w:val="18"/>
              </w:rPr>
              <w:t xml:space="preserve">Queue-based processing survives temporary outages; jobs persist until service restoration</w:t>
            </w:r>
          </w:p>
        </w:tc>
      </w:tr>
      <w:tr>
        <w:tc>
          <w:p>
            <w:r>
              <w:rPr>
                <w:sz w:val="18"/>
                <w:szCs w:val="18"/>
              </w:rPr>
              <w:t xml:space="preserve">Quota Exhaustion (Tokens)</w:t>
            </w:r>
          </w:p>
        </w:tc>
        <w:tc>
          <w:p>
            <w:pPr>
              <w:jc w:val="center"/>
            </w:pPr>
            <w:r>
              <w:rPr>
                <w:b/>
                <w:bCs/>
                <w:color w:val="10B981"/>
                <w:sz w:val="18"/>
                <w:szCs w:val="18"/>
              </w:rPr>
              <w:t xml:space="preserve">LOW</w:t>
            </w:r>
          </w:p>
        </w:tc>
        <w:tc>
          <w:p>
            <w:r>
              <w:rPr>
                <w:sz w:val="18"/>
                <w:szCs w:val="18"/>
              </w:rPr>
              <w:t xml:space="preserve">Per-key tracking with alerts at 90%; daily automatic reset; weighted balancing distributes load</w:t>
            </w:r>
          </w:p>
        </w:tc>
      </w:tr>
    </w:tbl>
    <w:p>
      <w:pPr>
        <w:spacing w:after="200" w:before="300"/>
      </w:pPr>
    </w:p>
    <w:p>
      <w:pPr>
        <w:pStyle w:val="Heading2"/>
        <w:spacing w:after="200" w:before="300"/>
      </w:pPr>
      <w:r>
        <w:rPr>
          <w:rFonts w:ascii="Calibri" w:eastAsia="Microsoft YaHei"/>
          <w:b/>
          <w:bCs/>
          <w:color w:val="7C3AED"/>
          <w:sz w:val="28"/>
          <w:szCs w:val="28"/>
        </w:rPr>
        <w:t xml:space="preserve">Dashboard Interface</w:t>
      </w:r>
    </w:p>
    <w:p>
      <w:pPr>
        <w:spacing w:after="200" w:line="360"/>
        <w:ind w:firstLine="480"/>
        <w:jc w:val="both"/>
      </w:pPr>
      <w:r>
        <w:rPr>
          <w:rFonts w:ascii="Calibri" w:eastAsia="Microsoft YaHei"/>
          <w:color w:val="334155"/>
          <w:sz w:val="24"/>
          <w:szCs w:val="24"/>
        </w:rPr>
        <w:t xml:space="preserve">The administrative dashboard provides real-time visibility into all aspects of the AI system's operation. Accessible at /founder-panel/ai-dashboard within the founder panel, the interface features an Arabic-first RTL design with comprehensive monitoring capabilities.</w:t>
      </w:r>
    </w:p>
    <w:p>
      <w:pPr>
        <w:spacing w:after="200" w:line="360"/>
        <w:ind w:firstLine="480"/>
        <w:jc w:val="both"/>
      </w:pPr>
      <w:r>
        <w:rPr>
          <w:rFonts w:ascii="Calibri" w:eastAsia="Microsoft YaHei"/>
          <w:color w:val="334155"/>
          <w:sz w:val="24"/>
          <w:szCs w:val="24"/>
        </w:rPr>
        <w:t xml:space="preserve">The dashboard implements four main views accessible via tab navigation. The Overview tab presents a high-level utilization gauge alongside summary metric cards for today's activity, active workers, and queue status. The Keys tab displays individual health cards for each of the five Gemini API keys, showing RPM utilization progress bars, token quota consumption, latency statistics, and consecutive failure counts. The Workers tab provides performance breakdowns for all six AI worker types with active job counts and average processing times. The Queue tab visualizes pending and running job counts with success rate indicators.</w:t>
      </w:r>
    </w:p>
    <w:p>
      <w:pPr>
        <w:spacing w:after="120" w:line="320"/>
        <w:ind w:left="720"/>
      </w:pPr>
      <w:r>
        <w:rPr>
          <w:color w:val="06B6D4"/>
          <w:sz w:val="24"/>
          <w:szCs w:val="24"/>
        </w:rPr>
        <w:t xml:space="preserve">• </w:t>
      </w:r>
      <w:r>
        <w:rPr>
          <w:rFonts w:ascii="Calibri" w:eastAsia="Microsoft YaHei"/>
          <w:color w:val="334155"/>
          <w:sz w:val="24"/>
          <w:szCs w:val="24"/>
        </w:rPr>
        <w:t xml:space="preserve">Auto-refresh functionality updates data every 10 seconds when enabled, ensuring administrators have near-real-time visibility into system health without manual intervention.</w:t>
      </w:r>
    </w:p>
    <w:p>
      <w:pPr>
        <w:spacing w:after="120" w:line="320"/>
        <w:ind w:left="720"/>
      </w:pPr>
      <w:r>
        <w:rPr>
          <w:color w:val="06B6D4"/>
          <w:sz w:val="24"/>
          <w:szCs w:val="24"/>
        </w:rPr>
        <w:t xml:space="preserve">• </w:t>
      </w:r>
      <w:r>
        <w:rPr>
          <w:rFonts w:ascii="Calibri" w:eastAsia="Microsoft YaHei"/>
          <w:color w:val="334155"/>
          <w:sz w:val="24"/>
          <w:szCs w:val="24"/>
        </w:rPr>
        <w:t xml:space="preserve">Alert system categorizes notifications by severity: informational status updates (blue), warnings for elevated metrics (amber), errors for individual component failures (red), and critical alerts requiring immediate attention (dark red with emphasis).</w:t>
      </w:r>
    </w:p>
    <w:p>
      <w:pPr>
        <w:spacing w:after="120" w:line="320"/>
        <w:ind w:left="720"/>
      </w:pPr>
      <w:r>
        <w:rPr>
          <w:color w:val="06B6D4"/>
          <w:sz w:val="24"/>
          <w:szCs w:val="24"/>
        </w:rPr>
        <w:t xml:space="preserve">• </w:t>
      </w:r>
      <w:r>
        <w:rPr>
          <w:rFonts w:ascii="Calibri" w:eastAsia="Microsoft YaHei"/>
          <w:color w:val="334155"/>
          <w:sz w:val="24"/>
          <w:szCs w:val="24"/>
        </w:rPr>
        <w:t xml:space="preserve">Administrative controls include manual refresh triggers, daily quota reset capability (with confirmation dialog), and auto-refresh toggle for bandwidth-constrained environments.</w:t>
      </w:r>
    </w:p>
    <w:p>
      <w:pPr>
        <w:pStyle w:val="Heading2"/>
        <w:spacing w:after="200" w:before="300"/>
      </w:pPr>
      <w:r>
        <w:rPr>
          <w:rFonts w:ascii="Calibri" w:eastAsia="Microsoft YaHei"/>
          <w:b/>
          <w:bCs/>
          <w:color w:val="7C3AED"/>
          <w:sz w:val="28"/>
          <w:szCs w:val="28"/>
        </w:rPr>
        <w:t xml:space="preserve">Deliverables &amp; File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3500"/>
      </w:tblGrid>
      <w:tr>
        <w:trPr>
          <w:tblHeader/>
        </w:trPr>
        <w:tc>
          <w:tcPr>
            <w:shd w:fill="7C3AED" w:val="clear"/>
          </w:tcPr>
          <w:p>
            <w:pPr>
              <w:jc w:val="center"/>
            </w:pPr>
            <w:r>
              <w:rPr>
                <w:b/>
                <w:bCs/>
                <w:color w:val="FFFFFF"/>
                <w:sz w:val="20"/>
                <w:szCs w:val="20"/>
              </w:rPr>
              <w:t xml:space="preserve">File Path</w:t>
            </w:r>
          </w:p>
        </w:tc>
        <w:tc>
          <w:tcPr>
            <w:shd w:fill="7C3AED" w:val="clear"/>
          </w:tcPr>
          <w:p>
            <w:pPr>
              <w:jc w:val="center"/>
            </w:pPr>
            <w:r>
              <w:rPr>
                <w:b/>
                <w:bCs/>
                <w:color w:val="FFFFFF"/>
                <w:sz w:val="20"/>
                <w:szCs w:val="20"/>
              </w:rPr>
              <w:t xml:space="preserve">Size</w:t>
            </w:r>
          </w:p>
        </w:tc>
        <w:tc>
          <w:tcPr>
            <w:shd w:fill="7C3AED" w:val="clear"/>
          </w:tcPr>
          <w:p>
            <w:pPr>
              <w:jc w:val="center"/>
            </w:pPr>
            <w:r>
              <w:rPr>
                <w:b/>
                <w:bCs/>
                <w:color w:val="FFFFFF"/>
                <w:sz w:val="20"/>
                <w:szCs w:val="20"/>
              </w:rPr>
              <w:t xml:space="preserve">Purpose</w:t>
            </w:r>
          </w:p>
        </w:tc>
      </w:tr>
      <w:tr>
        <w:tc>
          <w:p>
            <w:r>
              <w:rPr>
                <w:rFonts w:ascii="Consolas" w:cs="Consolas" w:eastAsia="Consolas" w:hAnsi="Consolas"/>
                <w:sz w:val="18"/>
                <w:szCs w:val="18"/>
              </w:rPr>
              <w:t xml:space="preserve">src/lib/workers/aiWorkers.ts</w:t>
            </w:r>
          </w:p>
        </w:tc>
        <w:tc>
          <w:p>
            <w:pPr>
              <w:jc w:val="center"/>
            </w:pPr>
            <w:r>
              <w:rPr>
                <w:sz w:val="18"/>
                <w:szCs w:val="18"/>
              </w:rPr>
              <w:t xml:space="preserve">~22 KB</w:t>
            </w:r>
          </w:p>
        </w:tc>
        <w:tc>
          <w:p>
            <w:r>
              <w:rPr>
                <w:sz w:val="18"/>
                <w:szCs w:val="18"/>
              </w:rPr>
              <w:t xml:space="preserve">Queue Workers + Rate Limiter + Metrics</w:t>
            </w:r>
          </w:p>
        </w:tc>
      </w:tr>
      <w:tr>
        <w:tc>
          <w:p>
            <w:r>
              <w:rPr>
                <w:rFonts w:ascii="Consolas" w:cs="Consolas" w:eastAsia="Consolas" w:hAnsi="Consolas"/>
                <w:sz w:val="18"/>
                <w:szCs w:val="18"/>
              </w:rPr>
              <w:t xml:space="preserve">src/lib/ai/advanced-loadbalancer.ts</w:t>
            </w:r>
          </w:p>
        </w:tc>
        <w:tc>
          <w:p>
            <w:pPr>
              <w:jc w:val="center"/>
            </w:pPr>
            <w:r>
              <w:rPr>
                <w:sz w:val="18"/>
                <w:szCs w:val="18"/>
              </w:rPr>
              <w:t xml:space="preserve">~19 KB</w:t>
            </w:r>
          </w:p>
        </w:tc>
        <w:tc>
          <w:p>
            <w:r>
              <w:rPr>
                <w:sz w:val="18"/>
                <w:szCs w:val="18"/>
              </w:rPr>
              <w:t xml:space="preserve">Advanced LB + Health Checks + Circuit Breaker</w:t>
            </w:r>
          </w:p>
        </w:tc>
      </w:tr>
      <w:tr>
        <w:tc>
          <w:p>
            <w:r>
              <w:rPr>
                <w:rFonts w:ascii="Consolas" w:cs="Consolas" w:eastAsia="Consolas" w:hAnsi="Consolas"/>
                <w:sz w:val="18"/>
                <w:szCs w:val="18"/>
              </w:rPr>
              <w:t xml:space="preserve">src/lib/ai-fabric/enhanced-worker-scaler.ts</w:t>
            </w:r>
          </w:p>
        </w:tc>
        <w:tc>
          <w:p>
            <w:pPr>
              <w:jc w:val="center"/>
            </w:pPr>
            <w:r>
              <w:rPr>
                <w:sz w:val="18"/>
                <w:szCs w:val="18"/>
              </w:rPr>
              <w:t xml:space="preserve">~12 KB</w:t>
            </w:r>
          </w:p>
        </w:tc>
        <w:tc>
          <w:p>
            <w:r>
              <w:rPr>
                <w:sz w:val="18"/>
                <w:szCs w:val="18"/>
              </w:rPr>
              <w:t xml:space="preserve">Pool-Aware Auto-Scaler</w:t>
            </w:r>
          </w:p>
        </w:tc>
      </w:tr>
      <w:tr>
        <w:tc>
          <w:p>
            <w:r>
              <w:rPr>
                <w:rFonts w:ascii="Consolas" w:cs="Consolas" w:eastAsia="Consolas" w:hAnsi="Consolas"/>
                <w:sz w:val="18"/>
                <w:szCs w:val="18"/>
              </w:rPr>
              <w:t xml:space="preserve">src/app/api/ai/metrics/route.ts</w:t>
            </w:r>
          </w:p>
        </w:tc>
        <w:tc>
          <w:p>
            <w:pPr>
              <w:jc w:val="center"/>
            </w:pPr>
            <w:r>
              <w:rPr>
                <w:sz w:val="18"/>
                <w:szCs w:val="18"/>
              </w:rPr>
              <w:t xml:space="preserve">~12 KB</w:t>
            </w:r>
          </w:p>
        </w:tc>
        <w:tc>
          <w:p>
            <w:r>
              <w:rPr>
                <w:sz w:val="18"/>
                <w:szCs w:val="18"/>
              </w:rPr>
              <w:t xml:space="preserve">Metrics Dashboard API Endpoint</w:t>
            </w:r>
          </w:p>
        </w:tc>
      </w:tr>
      <w:tr>
        <w:tc>
          <w:p>
            <w:r>
              <w:rPr>
                <w:rFonts w:ascii="Consolas" w:cs="Consolas" w:eastAsia="Consolas" w:hAnsi="Consolas"/>
                <w:sz w:val="18"/>
                <w:szCs w:val="18"/>
              </w:rPr>
              <w:t xml:space="preserve">src/app/founder-panel/ai-dashboard/page.tsx</w:t>
            </w:r>
          </w:p>
        </w:tc>
        <w:tc>
          <w:p>
            <w:pPr>
              <w:jc w:val="center"/>
            </w:pPr>
            <w:r>
              <w:rPr>
                <w:sz w:val="18"/>
                <w:szCs w:val="18"/>
              </w:rPr>
              <w:t xml:space="preserve">~27 KB</w:t>
            </w:r>
          </w:p>
        </w:tc>
        <w:tc>
          <w:p>
            <w:r>
              <w:rPr>
                <w:sz w:val="18"/>
                <w:szCs w:val="18"/>
              </w:rPr>
              <w:t xml:space="preserve">Admin Dashboard UI (RTL Arabic)</w:t>
            </w:r>
          </w:p>
        </w:tc>
      </w:tr>
      <w:tr>
        <w:tc>
          <w:p>
            <w:r>
              <w:rPr>
                <w:rFonts w:ascii="Consolas" w:cs="Consolas" w:eastAsia="Consolas" w:hAnsi="Consolas"/>
                <w:sz w:val="18"/>
                <w:szCs w:val="18"/>
              </w:rPr>
              <w:t xml:space="preserve">src/lib/ai/ENTERPRISE-AI-SYSTEM.md</w:t>
            </w:r>
          </w:p>
        </w:tc>
        <w:tc>
          <w:p>
            <w:pPr>
              <w:jc w:val="center"/>
            </w:pPr>
            <w:r>
              <w:rPr>
                <w:sz w:val="18"/>
                <w:szCs w:val="18"/>
              </w:rPr>
              <w:t xml:space="preserve">~27 KB</w:t>
            </w:r>
          </w:p>
        </w:tc>
        <w:tc>
          <w:p>
            <w:r>
              <w:rPr>
                <w:sz w:val="18"/>
                <w:szCs w:val="18"/>
              </w:rPr>
              <w:t xml:space="preserve">Complete Technical Documentation</w:t>
            </w:r>
          </w:p>
        </w:tc>
      </w:tr>
    </w:tbl>
    <w:p>
      <w:pPr>
        <w:spacing w:after="200" w:before="300"/>
      </w:pPr>
    </w:p>
    <w:p>
      <w:pPr>
        <w:pStyle w:val="Heading2"/>
        <w:spacing w:after="200" w:before="300"/>
      </w:pPr>
      <w:r>
        <w:rPr>
          <w:rFonts w:ascii="Calibri" w:eastAsia="Microsoft YaHei"/>
          <w:b/>
          <w:bCs/>
          <w:color w:val="7C3AED"/>
          <w:sz w:val="28"/>
          <w:szCs w:val="28"/>
        </w:rPr>
        <w:t xml:space="preserve">Conclusion &amp; Recommendations</w:t>
      </w:r>
    </w:p>
    <w:p>
      <w:pPr>
        <w:spacing w:after="200" w:line="360"/>
        <w:ind w:firstLine="480"/>
        <w:jc w:val="both"/>
      </w:pPr>
      <w:r>
        <w:rPr>
          <w:rFonts w:ascii="Calibri" w:eastAsia="Microsoft YaHei"/>
          <w:color w:val="334155"/>
          <w:sz w:val="24"/>
          <w:szCs w:val="24"/>
        </w:rPr>
        <w:t xml:space="preserve">The GarfiX AI Enterprise System represents a production-ready implementation of sophisticated AI infrastructure specifically tailored for the MENA region's ERP market. By leveraging multiple free-tier API accounts with intelligent load balancing, the system achieves enterprise-grade capacity at zero operational cost for AI services.</w:t>
      </w:r>
    </w:p>
    <w:p>
      <w:pPr>
        <w:spacing w:after="200" w:line="360"/>
        <w:ind w:firstLine="480"/>
        <w:jc w:val="both"/>
      </w:pPr>
      <w:r>
        <w:rPr>
          <w:rFonts w:ascii="Calibri" w:eastAsia="Microsoft YaHei"/>
          <w:color w:val="334155"/>
          <w:sz w:val="24"/>
          <w:szCs w:val="24"/>
        </w:rPr>
        <w:t xml:space="preserve">The queue-based architecture ensures reliability under varying load conditions, while the comprehensive monitoring dashboard provides administrators with the visibility needed to maintain optimal performance. The automatic failover mechanisms and circuit breakers protect against individual key failures, and the pool-aware auto-scaling prevents cascading overload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F59E0B" w:sz="8"/>
              <w:left w:val="single" w:color="F59E0B" w:sz="8"/>
              <w:bottom w:val="single" w:color="F59E0B" w:sz="8"/>
              <w:right w:val="single" w:color="F59E0B" w:sz="8"/>
            </w:tcBorders>
            <w:shd w:fill="FFFBEB" w:val="clear"/>
            <w:tcMar>
              <w:top w:type="dxa" w:w="200"/>
              <w:left w:type="dxa" w:w="300"/>
              <w:bottom w:type="dxa" w:w="200"/>
              <w:right w:type="dxa" w:w="300"/>
            </w:tcMar>
          </w:tcPr>
          <w:p>
            <w:pPr>
              <w:spacing w:after="100"/>
              <w:jc w:val="center"/>
            </w:pPr>
            <w:r>
              <w:rPr>
                <w:b/>
                <w:bCs/>
                <w:color w:val="D97706"/>
                <w:sz w:val="22"/>
                <w:szCs w:val="22"/>
              </w:rPr>
              <w:t xml:space="preserve">Recommendations for Production Deployment</w:t>
            </w:r>
          </w:p>
          <w:p>
            <w:pPr>
              <w:spacing w:after="80"/>
            </w:pPr>
            <w:r>
              <w:rPr>
                <w:color w:val="334155"/>
                <w:sz w:val="20"/>
                <w:szCs w:val="20"/>
              </w:rPr>
              <w:t xml:space="preserve">1. Deploy from Egypt/MENA region for optimal API latency</w:t>
            </w:r>
          </w:p>
          <w:p>
            <w:pPr>
              <w:spacing w:after="80"/>
            </w:pPr>
            <w:r>
              <w:rPr>
                <w:color w:val="334155"/>
                <w:sz w:val="20"/>
                <w:szCs w:val="20"/>
              </w:rPr>
              <w:t xml:space="preserve">2. Configure webhook notifications for critical alerts</w:t>
            </w:r>
          </w:p>
          <w:p>
            <w:pPr>
              <w:spacing w:after="80"/>
            </w:pPr>
            <w:r>
              <w:rPr>
                <w:color w:val="334155"/>
                <w:sz w:val="20"/>
                <w:szCs w:val="20"/>
              </w:rPr>
              <w:t xml:space="preserve">3. Set up automated daily quota reset via cron job</w:t>
            </w:r>
          </w:p>
          <w:p>
            <w:pPr>
              <w:spacing w:after="80"/>
            </w:pPr>
            <w:r>
              <w:rPr>
                <w:color w:val="334155"/>
                <w:sz w:val="20"/>
                <w:szCs w:val="20"/>
              </w:rPr>
              <w:t xml:space="preserve">4. Monitor initial usage patterns for 2 weeks before adjusting thresholds</w:t>
            </w:r>
          </w:p>
          <w:p>
            <w:pPr>
              <w:spacing w:after="80"/>
            </w:pPr>
            <w:r>
              <w:rPr>
                <w:color w:val="334155"/>
                <w:sz w:val="20"/>
                <w:szCs w:val="20"/>
              </w:rPr>
              <w:t xml:space="preserve">5. Consider adding notification channels (Slack/Email) for admin alerts</w:t>
            </w:r>
          </w:p>
          <w:p>
            <w:pPr>
              <w:spacing w:after="80"/>
            </w:pPr>
            <w:r>
              <w:rPr>
                <w:color w:val="334155"/>
                <w:sz w:val="20"/>
                <w:szCs w:val="20"/>
              </w:rPr>
              <w:t xml:space="preserve">6. Implement backup provider integration (OpenRouter) for additional redundancy</w:t>
            </w:r>
          </w:p>
        </w:tc>
      </w:tr>
    </w:tbl>
    <w:p>
      <w:pPr>
        <w:spacing w:after="200" w:line="360"/>
        <w:ind w:firstLine="480"/>
        <w:jc w:val="both"/>
      </w:pPr>
      <w:r>
        <w:rPr>
          <w:rFonts w:ascii="Calibri" w:eastAsia="Microsoft YaHei"/>
          <w:color w:val="334155"/>
          <w:sz w:val="24"/>
          <w:szCs w:val="24"/>
        </w:rPr>
        <w:t xml:space="preserve">Future enhancements may include integration with additional AI providers beyond Google Gemini, implementation of predictive scaling based on historical patterns, addition of cost tracking for potential paid-tier upgrades, and development of tenant-specific AI customization options allowing companies to fine-tune behavior for their specific use cases.</w:t>
      </w:r>
    </w:p>
    <w:sectPr>
      <w:head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GarfiX AI Enterprise System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334155"/>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2026-08-01T02:57:05.205Z</dcterms:created>
  <dcterms:modified xsi:type="dcterms:W3CDTF">2026-08-01T02:57:05.205Z</dcterms:modified>
</cp:coreProperties>
</file>

<file path=docProps/custom.xml><?xml version="1.0" encoding="utf-8"?>
<Properties xmlns="http://schemas.openxmlformats.org/officeDocument/2006/custom-properties" xmlns:vt="http://schemas.openxmlformats.org/officeDocument/2006/docPropsVTypes"/>
</file>