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SALES PERFORMANCE ANALYSIS</w:t>
      </w:r>
    </w:p>
    <w:p>
      <w:pPr>
        <w:spacing w:after="180"/>
      </w:pPr>
      <w:r>
        <w:rPr>
          <w:rFonts w:ascii="Calibri" w:cs="Calibri" w:eastAsia="Calibri" w:hAnsi="Calibri"/>
          <w:b/>
          <w:bCs/>
          <w:color w:val="2E74B5"/>
          <w:sz w:val="24"/>
          <w:szCs w:val="24"/>
        </w:rPr>
        <w:t xml:space="preserve">Client Understanding Report — Financial Year 2025</w:t>
      </w:r>
    </w:p>
    <w:p>
      <w:pPr>
        <w:spacing w:after="260"/>
      </w:pPr>
      <w:r>
        <w:rPr>
          <w:rFonts w:ascii="Calibri" w:cs="Calibri" w:eastAsia="Calibri" w:hAnsi="Calibri"/>
          <w:i/>
          <w:iCs/>
          <w:color w:val="595959"/>
          <w:sz w:val="19"/>
          <w:szCs w:val="19"/>
        </w:rPr>
        <w:t xml:space="preserve">Prepared from a full-year analysis of 1,000 sales transactions across 10 cities, 4 regions, 5 product categories and 10 sales team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1"/>
        <w:gridCol w:w="241"/>
        <w:gridCol w:w="241"/>
        <w:gridCol w:w="241"/>
      </w:tblGrid>
      <w:tr>
        <w:tc>
          <w:tcPr>
            <w:tcW w:type="pct" w:w="25%"/>
            <w:tcBorders>
              <w:top w:val="single" w:color="D0D8E8" w:sz="4"/>
              <w:left w:val="single" w:color="D0D8E8" w:sz="4"/>
              <w:bottom w:val="single" w:color="D0D8E8" w:sz="4"/>
              <w:right w:val="single" w:color="D0D8E8" w:sz="4"/>
            </w:tcBorders>
            <w:shd w:fill="EDF2FA" w:val="clear"/>
            <w:tcMar>
              <w:top w:type="dxa" w:w="90"/>
              <w:left w:type="dxa" w:w="80"/>
              <w:bottom w:type="dxa" w:w="90"/>
              <w:right w:type="dxa" w:w="80"/>
            </w:tcMar>
          </w:tcPr>
          <w:p>
            <w:pPr>
              <w:spacing w:after="20"/>
              <w:jc w:val="center"/>
            </w:pPr>
            <w:r>
              <w:rPr>
                <w:rFonts w:ascii="Calibri" w:cs="Calibri" w:eastAsia="Calibri" w:hAnsi="Calibri"/>
                <w:b/>
                <w:bCs/>
                <w:color w:val="1F3864"/>
                <w:sz w:val="22"/>
                <w:szCs w:val="22"/>
              </w:rPr>
              <w:t xml:space="preserve">₹13.58 Cr</w:t>
            </w:r>
          </w:p>
          <w:p>
            <w:pPr>
              <w:jc w:val="center"/>
            </w:pPr>
            <w:r>
              <w:rPr>
                <w:rFonts w:ascii="Calibri" w:cs="Calibri" w:eastAsia="Calibri" w:hAnsi="Calibri"/>
                <w:color w:val="595959"/>
                <w:sz w:val="14"/>
                <w:szCs w:val="14"/>
              </w:rPr>
              <w:t xml:space="preserve">Total Sales Revenue</w:t>
            </w:r>
          </w:p>
        </w:tc>
        <w:tc>
          <w:tcPr>
            <w:tcW w:type="pct" w:w="25%"/>
            <w:tcBorders>
              <w:top w:val="single" w:color="D0D8E8" w:sz="4"/>
              <w:left w:val="single" w:color="D0D8E8" w:sz="4"/>
              <w:bottom w:val="single" w:color="D0D8E8" w:sz="4"/>
              <w:right w:val="single" w:color="D0D8E8" w:sz="4"/>
            </w:tcBorders>
            <w:shd w:fill="EDF2FA" w:val="clear"/>
            <w:tcMar>
              <w:top w:type="dxa" w:w="90"/>
              <w:left w:type="dxa" w:w="80"/>
              <w:bottom w:type="dxa" w:w="90"/>
              <w:right w:type="dxa" w:w="80"/>
            </w:tcMar>
          </w:tcPr>
          <w:p>
            <w:pPr>
              <w:spacing w:after="20"/>
              <w:jc w:val="center"/>
            </w:pPr>
            <w:r>
              <w:rPr>
                <w:rFonts w:ascii="Calibri" w:cs="Calibri" w:eastAsia="Calibri" w:hAnsi="Calibri"/>
                <w:b/>
                <w:bCs/>
                <w:color w:val="1F3864"/>
                <w:sz w:val="22"/>
                <w:szCs w:val="22"/>
              </w:rPr>
              <w:t xml:space="preserve">₹3.80 Cr</w:t>
            </w:r>
          </w:p>
          <w:p>
            <w:pPr>
              <w:jc w:val="center"/>
            </w:pPr>
            <w:r>
              <w:rPr>
                <w:rFonts w:ascii="Calibri" w:cs="Calibri" w:eastAsia="Calibri" w:hAnsi="Calibri"/>
                <w:color w:val="595959"/>
                <w:sz w:val="14"/>
                <w:szCs w:val="14"/>
              </w:rPr>
              <w:t xml:space="preserve">Total Profit (28.0% Margin)</w:t>
            </w:r>
          </w:p>
        </w:tc>
        <w:tc>
          <w:tcPr>
            <w:tcW w:type="pct" w:w="25%"/>
            <w:tcBorders>
              <w:top w:val="single" w:color="D0D8E8" w:sz="4"/>
              <w:left w:val="single" w:color="D0D8E8" w:sz="4"/>
              <w:bottom w:val="single" w:color="D0D8E8" w:sz="4"/>
              <w:right w:val="single" w:color="D0D8E8" w:sz="4"/>
            </w:tcBorders>
            <w:shd w:fill="EDF2FA" w:val="clear"/>
            <w:tcMar>
              <w:top w:type="dxa" w:w="90"/>
              <w:left w:type="dxa" w:w="80"/>
              <w:bottom w:type="dxa" w:w="90"/>
              <w:right w:type="dxa" w:w="80"/>
            </w:tcMar>
          </w:tcPr>
          <w:p>
            <w:pPr>
              <w:spacing w:after="20"/>
              <w:jc w:val="center"/>
            </w:pPr>
            <w:r>
              <w:rPr>
                <w:rFonts w:ascii="Calibri" w:cs="Calibri" w:eastAsia="Calibri" w:hAnsi="Calibri"/>
                <w:b/>
                <w:bCs/>
                <w:color w:val="1F3864"/>
                <w:sz w:val="22"/>
                <w:szCs w:val="22"/>
              </w:rPr>
              <w:t xml:space="preserve">1,000</w:t>
            </w:r>
          </w:p>
          <w:p>
            <w:pPr>
              <w:jc w:val="center"/>
            </w:pPr>
            <w:r>
              <w:rPr>
                <w:rFonts w:ascii="Calibri" w:cs="Calibri" w:eastAsia="Calibri" w:hAnsi="Calibri"/>
                <w:color w:val="595959"/>
                <w:sz w:val="14"/>
                <w:szCs w:val="14"/>
              </w:rPr>
              <w:t xml:space="preserve">Orders Processed (FY 2025)</w:t>
            </w:r>
          </w:p>
        </w:tc>
        <w:tc>
          <w:tcPr>
            <w:tcW w:type="pct" w:w="25%"/>
            <w:tcBorders>
              <w:top w:val="single" w:color="D0D8E8" w:sz="4"/>
              <w:left w:val="single" w:color="D0D8E8" w:sz="4"/>
              <w:bottom w:val="single" w:color="D0D8E8" w:sz="4"/>
              <w:right w:val="single" w:color="D0D8E8" w:sz="4"/>
            </w:tcBorders>
            <w:shd w:fill="EDF2FA" w:val="clear"/>
            <w:tcMar>
              <w:top w:type="dxa" w:w="90"/>
              <w:left w:type="dxa" w:w="80"/>
              <w:bottom w:type="dxa" w:w="90"/>
              <w:right w:type="dxa" w:w="80"/>
            </w:tcMar>
          </w:tcPr>
          <w:p>
            <w:pPr>
              <w:spacing w:after="20"/>
              <w:jc w:val="center"/>
            </w:pPr>
            <w:r>
              <w:rPr>
                <w:rFonts w:ascii="Calibri" w:cs="Calibri" w:eastAsia="Calibri" w:hAnsi="Calibri"/>
                <w:b/>
                <w:bCs/>
                <w:color w:val="1F3864"/>
                <w:sz w:val="22"/>
                <w:szCs w:val="22"/>
              </w:rPr>
              <w:t xml:space="preserve">59.5%</w:t>
            </w:r>
          </w:p>
          <w:p>
            <w:pPr>
              <w:jc w:val="center"/>
            </w:pPr>
            <w:r>
              <w:rPr>
                <w:rFonts w:ascii="Calibri" w:cs="Calibri" w:eastAsia="Calibri" w:hAnsi="Calibri"/>
                <w:color w:val="595959"/>
                <w:sz w:val="14"/>
                <w:szCs w:val="14"/>
              </w:rPr>
              <w:t xml:space="preserve">Orders Successfully Delivered</w:t>
            </w:r>
          </w:p>
        </w:tc>
      </w:tr>
    </w:tbl>
    <w:p>
      <w:pPr>
        <w:spacing w:after="60"/>
      </w:pPr>
    </w:p>
    <w:p>
      <w:pPr>
        <w:pStyle w:val="Heading1"/>
        <w:pBdr>
          <w:bottom w:val="single" w:color="2E74B5" w:sz="6" w:space="3"/>
        </w:pBdr>
        <w:spacing w:after="80" w:before="200"/>
      </w:pPr>
      <w:r>
        <w:rPr>
          <w:rFonts w:ascii="Calibri" w:cs="Calibri" w:eastAsia="Calibri" w:hAnsi="Calibri"/>
          <w:b/>
          <w:bCs/>
          <w:color w:val="1F3864"/>
          <w:sz w:val="23"/>
          <w:szCs w:val="23"/>
        </w:rPr>
        <w:t xml:space="preserve">1. Client Business Overview</w:t>
      </w:r>
    </w:p>
    <w:p>
      <w:pPr>
        <w:spacing w:after="90" w:line="248"/>
      </w:pPr>
      <w:r>
        <w:rPr>
          <w:rFonts w:ascii="Calibri" w:cs="Calibri" w:eastAsia="Calibri" w:hAnsi="Calibri"/>
          <w:color w:val="222222"/>
          <w:sz w:val="18"/>
          <w:szCs w:val="18"/>
        </w:rPr>
        <w:t xml:space="preserve">Based on the sales records provided, the business operates a multi-category retail and distribution model across India, selling products through a team of 10 salespeople to a base of 50 active customers. Over the course of 2025, the company processed 1,000 orders spanning 10 major cities (including Pune, Kolkata, Delhi, Mumbai and Bengaluru) grouped into four sales regions — North, South, East and West.</w:t>
      </w:r>
    </w:p>
    <w:p>
      <w:pPr>
        <w:spacing w:after="90" w:line="248"/>
      </w:pPr>
      <w:r>
        <w:rPr>
          <w:rFonts w:ascii="Calibri" w:cs="Calibri" w:eastAsia="Calibri" w:hAnsi="Calibri"/>
          <w:color w:val="222222"/>
          <w:sz w:val="18"/>
          <w:szCs w:val="18"/>
        </w:rPr>
        <w:t xml:space="preserve">The product range covers five categories — Home Appliances, Furniture, Office Supplies, Electronics and Accessories — made up of 25 individual products such as Monitors, Office Chairs, Backpacks and Pen Packs. Customers pay through a healthy mix of UPI, Cash, Credit Card and Debit Card, reflecting a business that serves both digitally-oriented and traditional buyers. With an average order value of roughly ₹1.36 lakh, this appears to be a bulk or business-to-business style sales operation rather than small-ticket individual retail.</w:t>
      </w:r>
    </w:p>
    <w:p>
      <w:pPr>
        <w:pStyle w:val="Heading1"/>
        <w:pBdr>
          <w:bottom w:val="single" w:color="2E74B5" w:sz="6" w:space="3"/>
        </w:pBdr>
        <w:spacing w:after="80" w:before="200"/>
      </w:pPr>
      <w:r>
        <w:rPr>
          <w:rFonts w:ascii="Calibri" w:cs="Calibri" w:eastAsia="Calibri" w:hAnsi="Calibri"/>
          <w:b/>
          <w:bCs/>
          <w:color w:val="1F3864"/>
          <w:sz w:val="23"/>
          <w:szCs w:val="23"/>
        </w:rPr>
        <w:t xml:space="preserve">2. Project Objective</w:t>
      </w:r>
    </w:p>
    <w:p>
      <w:pPr>
        <w:spacing w:after="90" w:line="248"/>
      </w:pPr>
      <w:r>
        <w:rPr>
          <w:rFonts w:ascii="Calibri" w:cs="Calibri" w:eastAsia="Calibri" w:hAnsi="Calibri"/>
          <w:color w:val="222222"/>
          <w:sz w:val="18"/>
          <w:szCs w:val="18"/>
        </w:rPr>
        <w:t xml:space="preserve">The objective of this engagement was to analyse one full year of the client's sales data to build a clear, non-technical understanding of how the business is performing — and to translate that data into practical guidance the client can act on. Specifically, this report aims to:</w:t>
      </w:r>
    </w:p>
    <w:p>
      <w:pPr>
        <w:pStyle w:val="ListParagraph"/>
        <w:numPr>
          <w:ilvl w:val="0"/>
          <w:numId w:val="1"/>
        </w:numPr>
        <w:spacing w:after="50" w:line="240"/>
      </w:pPr>
      <w:r>
        <w:rPr>
          <w:rFonts w:ascii="Calibri" w:cs="Calibri" w:eastAsia="Calibri" w:hAnsi="Calibri"/>
          <w:color w:val="222222"/>
          <w:sz w:val="18"/>
          <w:szCs w:val="18"/>
        </w:rPr>
        <w:t xml:space="preserve">Identify which regions, product categories, and sales staff are driving the most revenue and profit.</w:t>
      </w:r>
    </w:p>
    <w:p>
      <w:pPr>
        <w:pStyle w:val="ListParagraph"/>
        <w:numPr>
          <w:ilvl w:val="0"/>
          <w:numId w:val="1"/>
        </w:numPr>
        <w:spacing w:after="50" w:line="240"/>
      </w:pPr>
      <w:r>
        <w:rPr>
          <w:rFonts w:ascii="Calibri" w:cs="Calibri" w:eastAsia="Calibri" w:hAnsi="Calibri"/>
          <w:color w:val="222222"/>
          <w:sz w:val="18"/>
          <w:szCs w:val="18"/>
        </w:rPr>
        <w:t xml:space="preserve">Highlight patterns and trends in customer buying behaviour across the year.</w:t>
      </w:r>
    </w:p>
    <w:p>
      <w:pPr>
        <w:pStyle w:val="ListParagraph"/>
        <w:numPr>
          <w:ilvl w:val="0"/>
          <w:numId w:val="1"/>
        </w:numPr>
        <w:spacing w:after="50" w:line="240"/>
      </w:pPr>
      <w:r>
        <w:rPr>
          <w:rFonts w:ascii="Calibri" w:cs="Calibri" w:eastAsia="Calibri" w:hAnsi="Calibri"/>
          <w:color w:val="222222"/>
          <w:sz w:val="18"/>
          <w:szCs w:val="18"/>
        </w:rPr>
        <w:t xml:space="preserve">Flag operational weak points — such as order cancellations or returns — that are quietly costing the business money.</w:t>
      </w:r>
    </w:p>
    <w:p>
      <w:pPr>
        <w:pStyle w:val="ListParagraph"/>
        <w:numPr>
          <w:ilvl w:val="0"/>
          <w:numId w:val="1"/>
        </w:numPr>
        <w:spacing w:after="50" w:line="240"/>
      </w:pPr>
      <w:r>
        <w:rPr>
          <w:rFonts w:ascii="Calibri" w:cs="Calibri" w:eastAsia="Calibri" w:hAnsi="Calibri"/>
          <w:color w:val="222222"/>
          <w:sz w:val="18"/>
          <w:szCs w:val="18"/>
        </w:rPr>
        <w:t xml:space="preserve">Recommend clear, practical next steps to grow sales, protect profit margins, and improve the customer experience.</w:t>
      </w:r>
    </w:p>
    <w:p>
      <w:pPr>
        <w:pStyle w:val="Heading1"/>
        <w:pBdr>
          <w:bottom w:val="single" w:color="2E74B5" w:sz="6" w:space="3"/>
        </w:pBdr>
        <w:spacing w:after="80" w:before="200"/>
      </w:pPr>
      <w:r>
        <w:rPr>
          <w:rFonts w:ascii="Calibri" w:cs="Calibri" w:eastAsia="Calibri" w:hAnsi="Calibri"/>
          <w:b/>
          <w:bCs/>
          <w:color w:val="1F3864"/>
          <w:sz w:val="23"/>
          <w:szCs w:val="23"/>
        </w:rPr>
        <w:t xml:space="preserve">3. Key Sales &amp; Business Insights</w:t>
      </w:r>
    </w:p>
    <w:p>
      <w:pPr>
        <w:pStyle w:val="Heading2"/>
        <w:spacing w:after="80" w:before="200"/>
      </w:pPr>
      <w:r>
        <w:rPr>
          <w:rFonts w:ascii="Calibri" w:cs="Calibri" w:eastAsia="Calibri" w:hAnsi="Calibri"/>
          <w:b/>
          <w:bCs/>
          <w:color w:val="2E74B5"/>
          <w:sz w:val="19"/>
          <w:szCs w:val="19"/>
        </w:rPr>
        <w:t xml:space="preserve">Where the Business Is Strong</w:t>
      </w:r>
    </w:p>
    <w:p>
      <w:pPr>
        <w:pStyle w:val="ListParagraph"/>
        <w:numPr>
          <w:ilvl w:val="0"/>
          <w:numId w:val="1"/>
        </w:numPr>
        <w:spacing w:after="50" w:line="240"/>
      </w:pPr>
      <w:r>
        <w:rPr>
          <w:rFonts w:ascii="Calibri" w:cs="Calibri" w:eastAsia="Calibri" w:hAnsi="Calibri"/>
          <w:b/>
          <w:bCs/>
          <w:color w:val="1F3864"/>
          <w:sz w:val="18"/>
          <w:szCs w:val="18"/>
        </w:rPr>
        <w:t xml:space="preserve">Strong overall profitability. </w:t>
      </w:r>
      <w:r>
        <w:rPr>
          <w:rFonts w:ascii="Calibri" w:cs="Calibri" w:eastAsia="Calibri" w:hAnsi="Calibri"/>
          <w:color w:val="222222"/>
          <w:sz w:val="18"/>
          <w:szCs w:val="18"/>
        </w:rPr>
        <w:t xml:space="preserve"> The company generated ₹13.58 crore in total sales with a healthy 28.0% overall profit margin — a solid, above-average margin for a distribution-style business.</w:t>
      </w:r>
    </w:p>
    <w:p>
      <w:pPr>
        <w:pStyle w:val="ListParagraph"/>
        <w:numPr>
          <w:ilvl w:val="0"/>
          <w:numId w:val="1"/>
        </w:numPr>
        <w:spacing w:after="50" w:line="240"/>
      </w:pPr>
      <w:r>
        <w:rPr>
          <w:rFonts w:ascii="Calibri" w:cs="Calibri" w:eastAsia="Calibri" w:hAnsi="Calibri"/>
          <w:b/>
          <w:bCs/>
          <w:color w:val="1F3864"/>
          <w:sz w:val="18"/>
          <w:szCs w:val="18"/>
        </w:rPr>
        <w:t xml:space="preserve">West and South regions are the growth engines. </w:t>
      </w:r>
      <w:r>
        <w:rPr>
          <w:rFonts w:ascii="Calibri" w:cs="Calibri" w:eastAsia="Calibri" w:hAnsi="Calibri"/>
          <w:color w:val="222222"/>
          <w:sz w:val="18"/>
          <w:szCs w:val="18"/>
        </w:rPr>
        <w:t xml:space="preserve"> The West region leads with ₹4.05 crore in sales (30% of total revenue), followed closely by South at ₹3.70 crore. Together these two regions account for nearly 57% of all business.</w:t>
      </w:r>
    </w:p>
    <w:p>
      <w:pPr>
        <w:pStyle w:val="ListParagraph"/>
        <w:numPr>
          <w:ilvl w:val="0"/>
          <w:numId w:val="1"/>
        </w:numPr>
        <w:spacing w:after="50" w:line="240"/>
      </w:pPr>
      <w:r>
        <w:rPr>
          <w:rFonts w:ascii="Calibri" w:cs="Calibri" w:eastAsia="Calibri" w:hAnsi="Calibri"/>
          <w:b/>
          <w:bCs/>
          <w:color w:val="1F3864"/>
          <w:sz w:val="18"/>
          <w:szCs w:val="18"/>
        </w:rPr>
        <w:t xml:space="preserve">Home Appliances and Furniture are the star categories. </w:t>
      </w:r>
      <w:r>
        <w:rPr>
          <w:rFonts w:ascii="Calibri" w:cs="Calibri" w:eastAsia="Calibri" w:hAnsi="Calibri"/>
          <w:color w:val="222222"/>
          <w:sz w:val="18"/>
          <w:szCs w:val="18"/>
        </w:rPr>
        <w:t xml:space="preserve"> Home Appliances (₹3.01 crore) and Furniture (₹2.87 crore) are the top-performing categories, both by revenue and by profit margin (around 29%), suggesting these product lines are well-priced and well-received.</w:t>
      </w:r>
    </w:p>
    <w:p>
      <w:pPr>
        <w:pStyle w:val="ListParagraph"/>
        <w:numPr>
          <w:ilvl w:val="0"/>
          <w:numId w:val="1"/>
        </w:numPr>
        <w:spacing w:after="50" w:line="240"/>
      </w:pPr>
      <w:r>
        <w:rPr>
          <w:rFonts w:ascii="Calibri" w:cs="Calibri" w:eastAsia="Calibri" w:hAnsi="Calibri"/>
          <w:b/>
          <w:bCs/>
          <w:color w:val="1F3864"/>
          <w:sz w:val="18"/>
          <w:szCs w:val="18"/>
        </w:rPr>
        <w:t xml:space="preserve">Top sales performers set a clear benchmark. </w:t>
      </w:r>
      <w:r>
        <w:rPr>
          <w:rFonts w:ascii="Calibri" w:cs="Calibri" w:eastAsia="Calibri" w:hAnsi="Calibri"/>
          <w:color w:val="222222"/>
          <w:sz w:val="18"/>
          <w:szCs w:val="18"/>
        </w:rPr>
        <w:t xml:space="preserve"> Vikram (₹1.76 crore) and Kiran (₹1.68 crore) are the top two salespeople, each generating over 60% more revenue than the lowest performer — proof that strong selling technique meaningfully moves the needle.</w:t>
      </w:r>
    </w:p>
    <w:p>
      <w:pPr>
        <w:pStyle w:val="ListParagraph"/>
        <w:numPr>
          <w:ilvl w:val="0"/>
          <w:numId w:val="1"/>
        </w:numPr>
        <w:spacing w:after="50" w:line="240"/>
      </w:pPr>
      <w:r>
        <w:rPr>
          <w:rFonts w:ascii="Calibri" w:cs="Calibri" w:eastAsia="Calibri" w:hAnsi="Calibri"/>
          <w:b/>
          <w:bCs/>
          <w:color w:val="1F3864"/>
          <w:sz w:val="18"/>
          <w:szCs w:val="18"/>
        </w:rPr>
        <w:t xml:space="preserve">Digital payments are gaining ground. </w:t>
      </w:r>
      <w:r>
        <w:rPr>
          <w:rFonts w:ascii="Calibri" w:cs="Calibri" w:eastAsia="Calibri" w:hAnsi="Calibri"/>
          <w:color w:val="222222"/>
          <w:sz w:val="18"/>
          <w:szCs w:val="18"/>
        </w:rPr>
        <w:t xml:space="preserve"> UPI is the single most-used payment method (26.7% of orders), narrowly ahead of Cash, Credit Card and Debit Card — indicating customers are comfortable paying digitally, which is good for cash-flow speed and reconciliation.</w:t>
      </w:r>
    </w:p>
    <w:p>
      <w:pPr>
        <w:pStyle w:val="Heading2"/>
        <w:spacing w:after="80" w:before="200"/>
      </w:pPr>
      <w:r>
        <w:rPr>
          <w:rFonts w:ascii="Calibri" w:cs="Calibri" w:eastAsia="Calibri" w:hAnsi="Calibri"/>
          <w:b/>
          <w:bCs/>
          <w:color w:val="2E74B5"/>
          <w:sz w:val="19"/>
          <w:szCs w:val="19"/>
        </w:rPr>
        <w:t xml:space="preserve">Where the Business Is Losing Ground</w:t>
      </w:r>
    </w:p>
    <w:p>
      <w:pPr>
        <w:pStyle w:val="ListParagraph"/>
        <w:numPr>
          <w:ilvl w:val="0"/>
          <w:numId w:val="1"/>
        </w:numPr>
        <w:spacing w:after="50" w:line="240"/>
      </w:pPr>
      <w:r>
        <w:rPr>
          <w:rFonts w:ascii="Calibri" w:cs="Calibri" w:eastAsia="Calibri" w:hAnsi="Calibri"/>
          <w:b/>
          <w:bCs/>
          <w:color w:val="1F3864"/>
          <w:sz w:val="18"/>
          <w:szCs w:val="18"/>
        </w:rPr>
        <w:t xml:space="preserve">Nearly 41% of order value never reaches the customer — the single biggest issue in the data. </w:t>
      </w:r>
      <w:r>
        <w:rPr>
          <w:rFonts w:ascii="Calibri" w:cs="Calibri" w:eastAsia="Calibri" w:hAnsi="Calibri"/>
          <w:color w:val="222222"/>
          <w:sz w:val="18"/>
          <w:szCs w:val="18"/>
        </w:rPr>
        <w:t xml:space="preserve"> Of the 1,000 orders placed in 2025, only 595 (59.5%) were actually delivered. 204 orders (20.4%) were cancelled and 201 (20.1%) were returned — meaning 4 in every 10 orders did not result in a completed sale. This represents roughly ₹5.59 crore (41% of total order value) in business that was booked but never converted into revenue.</w:t>
      </w:r>
    </w:p>
    <w:p>
      <w:pPr>
        <w:pStyle w:val="ListParagraph"/>
        <w:numPr>
          <w:ilvl w:val="0"/>
          <w:numId w:val="1"/>
        </w:numPr>
        <w:spacing w:after="50" w:line="240"/>
      </w:pPr>
      <w:r>
        <w:rPr>
          <w:rFonts w:ascii="Calibri" w:cs="Calibri" w:eastAsia="Calibri" w:hAnsi="Calibri"/>
          <w:b/>
          <w:bCs/>
          <w:color w:val="1F3864"/>
          <w:sz w:val="18"/>
          <w:szCs w:val="18"/>
        </w:rPr>
        <w:t xml:space="preserve">Electronics is dragging down overall profitability. </w:t>
      </w:r>
      <w:r>
        <w:rPr>
          <w:rFonts w:ascii="Calibri" w:cs="Calibri" w:eastAsia="Calibri" w:hAnsi="Calibri"/>
          <w:color w:val="222222"/>
          <w:sz w:val="18"/>
          <w:szCs w:val="18"/>
        </w:rPr>
        <w:t xml:space="preserve"> With a 25.3% profit margin, Electronics is the weakest-performing category — noticeably below the 28–29% margin achieved by every other category. Within Electronics, products like Monitors, Mice and Keyboards show the thinnest margins (23–25%).</w:t>
      </w:r>
    </w:p>
    <w:p>
      <w:pPr>
        <w:pStyle w:val="ListParagraph"/>
        <w:numPr>
          <w:ilvl w:val="0"/>
          <w:numId w:val="1"/>
        </w:numPr>
        <w:spacing w:after="50" w:line="240"/>
      </w:pPr>
      <w:r>
        <w:rPr>
          <w:rFonts w:ascii="Calibri" w:cs="Calibri" w:eastAsia="Calibri" w:hAnsi="Calibri"/>
          <w:b/>
          <w:bCs/>
          <w:color w:val="1F3864"/>
          <w:sz w:val="18"/>
          <w:szCs w:val="18"/>
        </w:rPr>
        <w:t xml:space="preserve">A wide performance gap exists within the sales team. </w:t>
      </w:r>
      <w:r>
        <w:rPr>
          <w:rFonts w:ascii="Calibri" w:cs="Calibri" w:eastAsia="Calibri" w:hAnsi="Calibri"/>
          <w:color w:val="222222"/>
          <w:sz w:val="18"/>
          <w:szCs w:val="18"/>
        </w:rPr>
        <w:t xml:space="preserve"> Sneha, the lowest-performing team member, generated ₹1.07 crore — about 39% less than top performer Vikram. Rahul and Neha also trail the team average by a wide margin.</w:t>
      </w:r>
    </w:p>
    <w:p>
      <w:pPr>
        <w:pStyle w:val="ListParagraph"/>
        <w:numPr>
          <w:ilvl w:val="0"/>
          <w:numId w:val="1"/>
        </w:numPr>
        <w:spacing w:after="50" w:line="240"/>
      </w:pPr>
      <w:r>
        <w:rPr>
          <w:rFonts w:ascii="Calibri" w:cs="Calibri" w:eastAsia="Calibri" w:hAnsi="Calibri"/>
          <w:b/>
          <w:bCs/>
          <w:color w:val="1F3864"/>
          <w:sz w:val="18"/>
          <w:szCs w:val="18"/>
        </w:rPr>
        <w:t xml:space="preserve">North region is under-leveraged. </w:t>
      </w:r>
      <w:r>
        <w:rPr>
          <w:rFonts w:ascii="Calibri" w:cs="Calibri" w:eastAsia="Calibri" w:hAnsi="Calibri"/>
          <w:color w:val="222222"/>
          <w:sz w:val="18"/>
          <w:szCs w:val="18"/>
        </w:rPr>
        <w:t xml:space="preserve"> The North region, while the smallest by order volume (193 orders), quietly posts the highest profit margin (28.8%) — it is under-served relative to its profitability potential.</w:t>
      </w:r>
    </w:p>
    <w:p>
      <w:pPr>
        <w:pStyle w:val="ListParagraph"/>
        <w:numPr>
          <w:ilvl w:val="0"/>
          <w:numId w:val="1"/>
        </w:numPr>
        <w:spacing w:after="50" w:line="240"/>
      </w:pPr>
      <w:r>
        <w:rPr>
          <w:rFonts w:ascii="Calibri" w:cs="Calibri" w:eastAsia="Calibri" w:hAnsi="Calibri"/>
          <w:b/>
          <w:bCs/>
          <w:color w:val="1F3864"/>
          <w:sz w:val="18"/>
          <w:szCs w:val="18"/>
        </w:rPr>
        <w:t xml:space="preserve">Sales dip noticeably in May and October. </w:t>
      </w:r>
      <w:r>
        <w:rPr>
          <w:rFonts w:ascii="Calibri" w:cs="Calibri" w:eastAsia="Calibri" w:hAnsi="Calibri"/>
          <w:color w:val="222222"/>
          <w:sz w:val="18"/>
          <w:szCs w:val="18"/>
        </w:rPr>
        <w:t xml:space="preserve"> May (₹0.97 crore) and October (₹0.99 crore) are the weakest sales months of the year, while July (₹1.39 crore) and March (₹1.37 crore) are the strongest — showing a seasonal dip that isn't currently being managed with promotions.</w:t>
      </w:r>
    </w:p>
    <w:p>
      <w:pPr>
        <w:pStyle w:val="Heading1"/>
        <w:pBdr>
          <w:bottom w:val="single" w:color="2E74B5" w:sz="6" w:space="3"/>
        </w:pBdr>
        <w:spacing w:after="80" w:before="200"/>
      </w:pPr>
      <w:r>
        <w:rPr>
          <w:rFonts w:ascii="Calibri" w:cs="Calibri" w:eastAsia="Calibri" w:hAnsi="Calibri"/>
          <w:b/>
          <w:bCs/>
          <w:color w:val="1F3864"/>
          <w:sz w:val="23"/>
          <w:szCs w:val="23"/>
        </w:rPr>
        <w:t xml:space="preserve">4. Business Performance Summary</w:t>
      </w:r>
    </w:p>
    <w:p>
      <w:pPr>
        <w:spacing w:after="90" w:line="248"/>
      </w:pPr>
      <w:r>
        <w:rPr>
          <w:rFonts w:ascii="Calibri" w:cs="Calibri" w:eastAsia="Calibri" w:hAnsi="Calibri"/>
          <w:color w:val="222222"/>
          <w:sz w:val="18"/>
          <w:szCs w:val="18"/>
        </w:rPr>
        <w:t xml:space="preserve">The tables below summarise performance across the key dimensions of the business — region, product category, and sales team — giving a quick, at-a-glance view of where revenue and profit are concentrated.</w:t>
      </w:r>
    </w:p>
    <w:p>
      <w:pPr>
        <w:pStyle w:val="Heading2"/>
        <w:spacing w:after="80" w:before="200"/>
      </w:pPr>
      <w:r>
        <w:rPr>
          <w:rFonts w:ascii="Calibri" w:cs="Calibri" w:eastAsia="Calibri" w:hAnsi="Calibri"/>
          <w:b/>
          <w:bCs/>
          <w:color w:val="2E74B5"/>
          <w:sz w:val="19"/>
          <w:szCs w:val="19"/>
        </w:rPr>
        <w:t xml:space="preserve">Performance by Region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92"/>
        <w:gridCol w:w="2314"/>
        <w:gridCol w:w="2217"/>
        <w:gridCol w:w="2217"/>
      </w:tblGrid>
      <w:tr>
        <w:trPr>
          <w:tblHeader/>
        </w:trPr>
        <w:tc>
          <w:tcPr>
            <w:tcW w:type="pct" w:w="30%"/>
            <w:shd w:fill="1F3864" w:val="clear"/>
            <w:tcMar>
              <w:top w:type="dxa" w:w="40"/>
              <w:left w:type="dxa" w:w="100"/>
              <w:bottom w:type="dxa" w:w="40"/>
              <w:right w:type="dxa" w:w="100"/>
            </w:tcMar>
            <w:vAlign w:val="center"/>
          </w:tcPr>
          <w:p>
            <w:pPr>
              <w:jc w:val="left"/>
            </w:pPr>
            <w:r>
              <w:rPr>
                <w:rFonts w:ascii="Calibri" w:cs="Calibri" w:eastAsia="Calibri" w:hAnsi="Calibri"/>
                <w:b/>
                <w:bCs/>
                <w:color w:val="FFFFFF"/>
                <w:sz w:val="17"/>
                <w:szCs w:val="17"/>
              </w:rPr>
              <w:t xml:space="preserve">Region</w:t>
            </w:r>
          </w:p>
        </w:tc>
        <w:tc>
          <w:tcPr>
            <w:tcW w:type="pct" w:w="24%"/>
            <w:shd w:fill="1F3864" w:val="clear"/>
            <w:tcMar>
              <w:top w:type="dxa" w:w="40"/>
              <w:left w:type="dxa" w:w="100"/>
              <w:bottom w:type="dxa" w:w="40"/>
              <w:right w:type="dxa" w:w="100"/>
            </w:tcMar>
            <w:vAlign w:val="center"/>
          </w:tcPr>
          <w:p>
            <w:pPr>
              <w:jc w:val="center"/>
            </w:pPr>
            <w:r>
              <w:rPr>
                <w:rFonts w:ascii="Calibri" w:cs="Calibri" w:eastAsia="Calibri" w:hAnsi="Calibri"/>
                <w:b/>
                <w:bCs/>
                <w:color w:val="FFFFFF"/>
                <w:sz w:val="17"/>
                <w:szCs w:val="17"/>
              </w:rPr>
              <w:t xml:space="preserve">Sales Revenue</w:t>
            </w:r>
          </w:p>
        </w:tc>
        <w:tc>
          <w:tcPr>
            <w:tcW w:type="pct" w:w="23%"/>
            <w:shd w:fill="1F3864" w:val="clear"/>
            <w:tcMar>
              <w:top w:type="dxa" w:w="40"/>
              <w:left w:type="dxa" w:w="100"/>
              <w:bottom w:type="dxa" w:w="40"/>
              <w:right w:type="dxa" w:w="100"/>
            </w:tcMar>
            <w:vAlign w:val="center"/>
          </w:tcPr>
          <w:p>
            <w:pPr>
              <w:jc w:val="center"/>
            </w:pPr>
            <w:r>
              <w:rPr>
                <w:rFonts w:ascii="Calibri" w:cs="Calibri" w:eastAsia="Calibri" w:hAnsi="Calibri"/>
                <w:b/>
                <w:bCs/>
                <w:color w:val="FFFFFF"/>
                <w:sz w:val="17"/>
                <w:szCs w:val="17"/>
              </w:rPr>
              <w:t xml:space="preserve">Profit Margin</w:t>
            </w:r>
          </w:p>
        </w:tc>
        <w:tc>
          <w:tcPr>
            <w:tcW w:type="pct" w:w="23%"/>
            <w:shd w:fill="1F3864" w:val="clear"/>
            <w:tcMar>
              <w:top w:type="dxa" w:w="40"/>
              <w:left w:type="dxa" w:w="100"/>
              <w:bottom w:type="dxa" w:w="40"/>
              <w:right w:type="dxa" w:w="100"/>
            </w:tcMar>
            <w:vAlign w:val="center"/>
          </w:tcPr>
          <w:p>
            <w:pPr>
              <w:jc w:val="center"/>
            </w:pPr>
            <w:r>
              <w:rPr>
                <w:rFonts w:ascii="Calibri" w:cs="Calibri" w:eastAsia="Calibri" w:hAnsi="Calibri"/>
                <w:b/>
                <w:bCs/>
                <w:color w:val="FFFFFF"/>
                <w:sz w:val="17"/>
                <w:szCs w:val="17"/>
              </w:rPr>
              <w:t xml:space="preserve">Orders</w:t>
            </w:r>
          </w:p>
        </w:tc>
      </w:tr>
      <w:tr>
        <w:tc>
          <w:tcPr>
            <w:tcW w:type="pct" w:w="30%"/>
            <w:shd w:fill="FFFFFF"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West</w:t>
            </w:r>
          </w:p>
        </w:tc>
        <w:tc>
          <w:tcPr>
            <w:tcW w:type="pct" w:w="24%"/>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₹4.05 Cr</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28.3%</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308</w:t>
            </w:r>
          </w:p>
        </w:tc>
      </w:tr>
      <w:tr>
        <w:tc>
          <w:tcPr>
            <w:tcW w:type="pct" w:w="30%"/>
            <w:shd w:fill="EDF2FA"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South</w:t>
            </w:r>
          </w:p>
        </w:tc>
        <w:tc>
          <w:tcPr>
            <w:tcW w:type="pct" w:w="24%"/>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₹3.70 Cr</w:t>
            </w:r>
          </w:p>
        </w:tc>
        <w:tc>
          <w:tcPr>
            <w:tcW w:type="pct" w:w="2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27.4%</w:t>
            </w:r>
          </w:p>
        </w:tc>
        <w:tc>
          <w:tcPr>
            <w:tcW w:type="pct" w:w="2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282</w:t>
            </w:r>
          </w:p>
        </w:tc>
      </w:tr>
      <w:tr>
        <w:tc>
          <w:tcPr>
            <w:tcW w:type="pct" w:w="30%"/>
            <w:shd w:fill="FFFFFF"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East</w:t>
            </w:r>
          </w:p>
        </w:tc>
        <w:tc>
          <w:tcPr>
            <w:tcW w:type="pct" w:w="24%"/>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₹2.99 Cr</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27.6%</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217</w:t>
            </w:r>
          </w:p>
        </w:tc>
      </w:tr>
      <w:tr>
        <w:tc>
          <w:tcPr>
            <w:tcW w:type="pct" w:w="30%"/>
            <w:shd w:fill="EDF2FA"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North</w:t>
            </w:r>
          </w:p>
        </w:tc>
        <w:tc>
          <w:tcPr>
            <w:tcW w:type="pct" w:w="24%"/>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₹2.84 Cr</w:t>
            </w:r>
          </w:p>
        </w:tc>
        <w:tc>
          <w:tcPr>
            <w:tcW w:type="pct" w:w="2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28.8%</w:t>
            </w:r>
          </w:p>
        </w:tc>
        <w:tc>
          <w:tcPr>
            <w:tcW w:type="pct" w:w="2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193</w:t>
            </w:r>
          </w:p>
        </w:tc>
      </w:tr>
    </w:tbl>
    <w:p>
      <w:pPr>
        <w:spacing w:after="60"/>
      </w:pPr>
    </w:p>
    <w:p>
      <w:pPr>
        <w:pStyle w:val="Heading2"/>
        <w:spacing w:after="80" w:before="200"/>
      </w:pPr>
      <w:r>
        <w:rPr>
          <w:rFonts w:ascii="Calibri" w:cs="Calibri" w:eastAsia="Calibri" w:hAnsi="Calibri"/>
          <w:b/>
          <w:bCs/>
          <w:color w:val="2E74B5"/>
          <w:sz w:val="19"/>
          <w:szCs w:val="19"/>
        </w:rPr>
        <w:t xml:space="preserve">Performance by Product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92"/>
        <w:gridCol w:w="2314"/>
        <w:gridCol w:w="2217"/>
        <w:gridCol w:w="2217"/>
      </w:tblGrid>
      <w:tr>
        <w:trPr>
          <w:tblHeader/>
        </w:trPr>
        <w:tc>
          <w:tcPr>
            <w:tcW w:type="pct" w:w="30%"/>
            <w:shd w:fill="1F3864" w:val="clear"/>
            <w:tcMar>
              <w:top w:type="dxa" w:w="40"/>
              <w:left w:type="dxa" w:w="100"/>
              <w:bottom w:type="dxa" w:w="40"/>
              <w:right w:type="dxa" w:w="100"/>
            </w:tcMar>
            <w:vAlign w:val="center"/>
          </w:tcPr>
          <w:p>
            <w:pPr>
              <w:jc w:val="left"/>
            </w:pPr>
            <w:r>
              <w:rPr>
                <w:rFonts w:ascii="Calibri" w:cs="Calibri" w:eastAsia="Calibri" w:hAnsi="Calibri"/>
                <w:b/>
                <w:bCs/>
                <w:color w:val="FFFFFF"/>
                <w:sz w:val="17"/>
                <w:szCs w:val="17"/>
              </w:rPr>
              <w:t xml:space="preserve">Category</w:t>
            </w:r>
          </w:p>
        </w:tc>
        <w:tc>
          <w:tcPr>
            <w:tcW w:type="pct" w:w="24%"/>
            <w:shd w:fill="1F3864" w:val="clear"/>
            <w:tcMar>
              <w:top w:type="dxa" w:w="40"/>
              <w:left w:type="dxa" w:w="100"/>
              <w:bottom w:type="dxa" w:w="40"/>
              <w:right w:type="dxa" w:w="100"/>
            </w:tcMar>
            <w:vAlign w:val="center"/>
          </w:tcPr>
          <w:p>
            <w:pPr>
              <w:jc w:val="center"/>
            </w:pPr>
            <w:r>
              <w:rPr>
                <w:rFonts w:ascii="Calibri" w:cs="Calibri" w:eastAsia="Calibri" w:hAnsi="Calibri"/>
                <w:b/>
                <w:bCs/>
                <w:color w:val="FFFFFF"/>
                <w:sz w:val="17"/>
                <w:szCs w:val="17"/>
              </w:rPr>
              <w:t xml:space="preserve">Sales Revenue</w:t>
            </w:r>
          </w:p>
        </w:tc>
        <w:tc>
          <w:tcPr>
            <w:tcW w:type="pct" w:w="23%"/>
            <w:shd w:fill="1F3864" w:val="clear"/>
            <w:tcMar>
              <w:top w:type="dxa" w:w="40"/>
              <w:left w:type="dxa" w:w="100"/>
              <w:bottom w:type="dxa" w:w="40"/>
              <w:right w:type="dxa" w:w="100"/>
            </w:tcMar>
            <w:vAlign w:val="center"/>
          </w:tcPr>
          <w:p>
            <w:pPr>
              <w:jc w:val="center"/>
            </w:pPr>
            <w:r>
              <w:rPr>
                <w:rFonts w:ascii="Calibri" w:cs="Calibri" w:eastAsia="Calibri" w:hAnsi="Calibri"/>
                <w:b/>
                <w:bCs/>
                <w:color w:val="FFFFFF"/>
                <w:sz w:val="17"/>
                <w:szCs w:val="17"/>
              </w:rPr>
              <w:t xml:space="preserve">Profit Margin</w:t>
            </w:r>
          </w:p>
        </w:tc>
        <w:tc>
          <w:tcPr>
            <w:tcW w:type="pct" w:w="23%"/>
            <w:shd w:fill="1F3864" w:val="clear"/>
            <w:tcMar>
              <w:top w:type="dxa" w:w="40"/>
              <w:left w:type="dxa" w:w="100"/>
              <w:bottom w:type="dxa" w:w="40"/>
              <w:right w:type="dxa" w:w="100"/>
            </w:tcMar>
            <w:vAlign w:val="center"/>
          </w:tcPr>
          <w:p>
            <w:pPr>
              <w:jc w:val="center"/>
            </w:pPr>
            <w:r>
              <w:rPr>
                <w:rFonts w:ascii="Calibri" w:cs="Calibri" w:eastAsia="Calibri" w:hAnsi="Calibri"/>
                <w:b/>
                <w:bCs/>
                <w:color w:val="FFFFFF"/>
                <w:sz w:val="17"/>
                <w:szCs w:val="17"/>
              </w:rPr>
              <w:t xml:space="preserve">Orders</w:t>
            </w:r>
          </w:p>
        </w:tc>
      </w:tr>
      <w:tr>
        <w:tc>
          <w:tcPr>
            <w:tcW w:type="pct" w:w="30%"/>
            <w:shd w:fill="FFFFFF"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Home Appliances</w:t>
            </w:r>
          </w:p>
        </w:tc>
        <w:tc>
          <w:tcPr>
            <w:tcW w:type="pct" w:w="24%"/>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₹3.01 Cr</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29.0%</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207</w:t>
            </w:r>
          </w:p>
        </w:tc>
      </w:tr>
      <w:tr>
        <w:tc>
          <w:tcPr>
            <w:tcW w:type="pct" w:w="30%"/>
            <w:shd w:fill="EDF2FA"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Furniture</w:t>
            </w:r>
          </w:p>
        </w:tc>
        <w:tc>
          <w:tcPr>
            <w:tcW w:type="pct" w:w="24%"/>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₹2.87 Cr</w:t>
            </w:r>
          </w:p>
        </w:tc>
        <w:tc>
          <w:tcPr>
            <w:tcW w:type="pct" w:w="2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28.8%</w:t>
            </w:r>
          </w:p>
        </w:tc>
        <w:tc>
          <w:tcPr>
            <w:tcW w:type="pct" w:w="2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204</w:t>
            </w:r>
          </w:p>
        </w:tc>
      </w:tr>
      <w:tr>
        <w:tc>
          <w:tcPr>
            <w:tcW w:type="pct" w:w="30%"/>
            <w:shd w:fill="FFFFFF"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Office Supplies</w:t>
            </w:r>
          </w:p>
        </w:tc>
        <w:tc>
          <w:tcPr>
            <w:tcW w:type="pct" w:w="24%"/>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₹2.68 Cr</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28.7%</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210</w:t>
            </w:r>
          </w:p>
        </w:tc>
      </w:tr>
      <w:tr>
        <w:tc>
          <w:tcPr>
            <w:tcW w:type="pct" w:w="30%"/>
            <w:shd w:fill="EDF2FA"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Electronics</w:t>
            </w:r>
          </w:p>
        </w:tc>
        <w:tc>
          <w:tcPr>
            <w:tcW w:type="pct" w:w="24%"/>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₹2.63 Cr</w:t>
            </w:r>
          </w:p>
        </w:tc>
        <w:tc>
          <w:tcPr>
            <w:tcW w:type="pct" w:w="2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25.3%</w:t>
            </w:r>
          </w:p>
        </w:tc>
        <w:tc>
          <w:tcPr>
            <w:tcW w:type="pct" w:w="2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201</w:t>
            </w:r>
          </w:p>
        </w:tc>
      </w:tr>
      <w:tr>
        <w:tc>
          <w:tcPr>
            <w:tcW w:type="pct" w:w="30%"/>
            <w:shd w:fill="FFFFFF"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Accessories</w:t>
            </w:r>
          </w:p>
        </w:tc>
        <w:tc>
          <w:tcPr>
            <w:tcW w:type="pct" w:w="24%"/>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₹2.39 Cr</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28.0%</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178</w:t>
            </w:r>
          </w:p>
        </w:tc>
      </w:tr>
    </w:tbl>
    <w:p>
      <w:pPr>
        <w:spacing w:after="60"/>
      </w:pPr>
    </w:p>
    <w:p>
      <w:pPr>
        <w:pStyle w:val="Heading2"/>
        <w:spacing w:after="80" w:before="200"/>
      </w:pPr>
      <w:r>
        <w:rPr>
          <w:rFonts w:ascii="Calibri" w:cs="Calibri" w:eastAsia="Calibri" w:hAnsi="Calibri"/>
          <w:b/>
          <w:bCs/>
          <w:color w:val="2E74B5"/>
          <w:sz w:val="19"/>
          <w:szCs w:val="19"/>
        </w:rPr>
        <w:t xml:space="preserve">Order Fulfilment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92"/>
        <w:gridCol w:w="2314"/>
        <w:gridCol w:w="2217"/>
        <w:gridCol w:w="2217"/>
      </w:tblGrid>
      <w:tr>
        <w:trPr>
          <w:tblHeader/>
        </w:trPr>
        <w:tc>
          <w:tcPr>
            <w:tcW w:type="pct" w:w="30%"/>
            <w:shd w:fill="1F3864" w:val="clear"/>
            <w:tcMar>
              <w:top w:type="dxa" w:w="40"/>
              <w:left w:type="dxa" w:w="100"/>
              <w:bottom w:type="dxa" w:w="40"/>
              <w:right w:type="dxa" w:w="100"/>
            </w:tcMar>
            <w:vAlign w:val="center"/>
          </w:tcPr>
          <w:p>
            <w:pPr>
              <w:jc w:val="left"/>
            </w:pPr>
            <w:r>
              <w:rPr>
                <w:rFonts w:ascii="Calibri" w:cs="Calibri" w:eastAsia="Calibri" w:hAnsi="Calibri"/>
                <w:b/>
                <w:bCs/>
                <w:color w:val="FFFFFF"/>
                <w:sz w:val="17"/>
                <w:szCs w:val="17"/>
              </w:rPr>
              <w:t xml:space="preserve">Order Status</w:t>
            </w:r>
          </w:p>
        </w:tc>
        <w:tc>
          <w:tcPr>
            <w:tcW w:type="pct" w:w="24%"/>
            <w:shd w:fill="1F3864" w:val="clear"/>
            <w:tcMar>
              <w:top w:type="dxa" w:w="40"/>
              <w:left w:type="dxa" w:w="100"/>
              <w:bottom w:type="dxa" w:w="40"/>
              <w:right w:type="dxa" w:w="100"/>
            </w:tcMar>
            <w:vAlign w:val="center"/>
          </w:tcPr>
          <w:p>
            <w:pPr>
              <w:jc w:val="center"/>
            </w:pPr>
            <w:r>
              <w:rPr>
                <w:rFonts w:ascii="Calibri" w:cs="Calibri" w:eastAsia="Calibri" w:hAnsi="Calibri"/>
                <w:b/>
                <w:bCs/>
                <w:color w:val="FFFFFF"/>
                <w:sz w:val="17"/>
                <w:szCs w:val="17"/>
              </w:rPr>
              <w:t xml:space="preserve">Number of Orders</w:t>
            </w:r>
          </w:p>
        </w:tc>
        <w:tc>
          <w:tcPr>
            <w:tcW w:type="pct" w:w="23%"/>
            <w:shd w:fill="1F3864" w:val="clear"/>
            <w:tcMar>
              <w:top w:type="dxa" w:w="40"/>
              <w:left w:type="dxa" w:w="100"/>
              <w:bottom w:type="dxa" w:w="40"/>
              <w:right w:type="dxa" w:w="100"/>
            </w:tcMar>
            <w:vAlign w:val="center"/>
          </w:tcPr>
          <w:p>
            <w:pPr>
              <w:jc w:val="center"/>
            </w:pPr>
            <w:r>
              <w:rPr>
                <w:rFonts w:ascii="Calibri" w:cs="Calibri" w:eastAsia="Calibri" w:hAnsi="Calibri"/>
                <w:b/>
                <w:bCs/>
                <w:color w:val="FFFFFF"/>
                <w:sz w:val="17"/>
                <w:szCs w:val="17"/>
              </w:rPr>
              <w:t xml:space="preserve">% of Total</w:t>
            </w:r>
          </w:p>
        </w:tc>
        <w:tc>
          <w:tcPr>
            <w:tcW w:type="pct" w:w="23%"/>
            <w:shd w:fill="1F3864" w:val="clear"/>
            <w:tcMar>
              <w:top w:type="dxa" w:w="40"/>
              <w:left w:type="dxa" w:w="100"/>
              <w:bottom w:type="dxa" w:w="40"/>
              <w:right w:type="dxa" w:w="100"/>
            </w:tcMar>
            <w:vAlign w:val="center"/>
          </w:tcPr>
          <w:p>
            <w:pPr>
              <w:jc w:val="center"/>
            </w:pPr>
            <w:r>
              <w:rPr>
                <w:rFonts w:ascii="Calibri" w:cs="Calibri" w:eastAsia="Calibri" w:hAnsi="Calibri"/>
                <w:b/>
                <w:bCs/>
                <w:color w:val="FFFFFF"/>
                <w:sz w:val="17"/>
                <w:szCs w:val="17"/>
              </w:rPr>
              <w:t xml:space="preserve">Sales Value</w:t>
            </w:r>
          </w:p>
        </w:tc>
      </w:tr>
      <w:tr>
        <w:tc>
          <w:tcPr>
            <w:tcW w:type="pct" w:w="30%"/>
            <w:shd w:fill="FFFFFF"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Delivered</w:t>
            </w:r>
          </w:p>
        </w:tc>
        <w:tc>
          <w:tcPr>
            <w:tcW w:type="pct" w:w="24%"/>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595</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59.5%</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₹7.99 Cr</w:t>
            </w:r>
          </w:p>
        </w:tc>
      </w:tr>
      <w:tr>
        <w:tc>
          <w:tcPr>
            <w:tcW w:type="pct" w:w="30%"/>
            <w:shd w:fill="EDF2FA"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Cancelled</w:t>
            </w:r>
          </w:p>
        </w:tc>
        <w:tc>
          <w:tcPr>
            <w:tcW w:type="pct" w:w="24%"/>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204</w:t>
            </w:r>
          </w:p>
        </w:tc>
        <w:tc>
          <w:tcPr>
            <w:tcW w:type="pct" w:w="2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20.4%</w:t>
            </w:r>
          </w:p>
        </w:tc>
        <w:tc>
          <w:tcPr>
            <w:tcW w:type="pct" w:w="2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₹2.78 Cr</w:t>
            </w:r>
          </w:p>
        </w:tc>
      </w:tr>
      <w:tr>
        <w:tc>
          <w:tcPr>
            <w:tcW w:type="pct" w:w="30%"/>
            <w:shd w:fill="FFFFFF"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Returned</w:t>
            </w:r>
          </w:p>
        </w:tc>
        <w:tc>
          <w:tcPr>
            <w:tcW w:type="pct" w:w="24%"/>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201</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20.1%</w:t>
            </w:r>
          </w:p>
        </w:tc>
        <w:tc>
          <w:tcPr>
            <w:tcW w:type="pct" w:w="2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₹2.81 Cr</w:t>
            </w:r>
          </w:p>
        </w:tc>
      </w:tr>
    </w:tbl>
    <w:p>
      <w:pPr>
        <w:spacing w:after="90" w:line="248"/>
      </w:pPr>
      <w:r>
        <w:rPr>
          <w:rFonts w:ascii="Calibri" w:cs="Calibri" w:eastAsia="Calibri" w:hAnsi="Calibri"/>
          <w:i/>
          <w:iCs/>
          <w:color w:val="595959"/>
          <w:sz w:val="19"/>
          <w:szCs w:val="19"/>
        </w:rPr>
        <w:t xml:space="preserve"> Every non-delivered order represents time, stock, and sales effort spent without a completed sale — this is the clearest opportunity area in the entire dataset.</w:t>
      </w:r>
    </w:p>
    <w:p>
      <w:pPr>
        <w:pStyle w:val="Heading2"/>
        <w:spacing w:after="80" w:before="200"/>
      </w:pPr>
      <w:r>
        <w:rPr>
          <w:rFonts w:ascii="Calibri" w:cs="Calibri" w:eastAsia="Calibri" w:hAnsi="Calibri"/>
          <w:b/>
          <w:bCs/>
          <w:color w:val="2E74B5"/>
          <w:sz w:val="19"/>
          <w:szCs w:val="19"/>
        </w:rPr>
        <w:t xml:space="preserve">Top and Bottom Sales Performers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78"/>
        <w:gridCol w:w="3181"/>
        <w:gridCol w:w="3181"/>
      </w:tblGrid>
      <w:tr>
        <w:trPr>
          <w:tblHeader/>
        </w:trPr>
        <w:tc>
          <w:tcPr>
            <w:tcW w:type="pct" w:w="34%"/>
            <w:shd w:fill="1F3864" w:val="clear"/>
            <w:tcMar>
              <w:top w:type="dxa" w:w="40"/>
              <w:left w:type="dxa" w:w="100"/>
              <w:bottom w:type="dxa" w:w="40"/>
              <w:right w:type="dxa" w:w="100"/>
            </w:tcMar>
            <w:vAlign w:val="center"/>
          </w:tcPr>
          <w:p>
            <w:pPr>
              <w:jc w:val="left"/>
            </w:pPr>
            <w:r>
              <w:rPr>
                <w:rFonts w:ascii="Calibri" w:cs="Calibri" w:eastAsia="Calibri" w:hAnsi="Calibri"/>
                <w:b/>
                <w:bCs/>
                <w:color w:val="FFFFFF"/>
                <w:sz w:val="17"/>
                <w:szCs w:val="17"/>
              </w:rPr>
              <w:t xml:space="preserve">Salesperson</w:t>
            </w:r>
          </w:p>
        </w:tc>
        <w:tc>
          <w:tcPr>
            <w:tcW w:type="pct" w:w="33%"/>
            <w:shd w:fill="1F3864" w:val="clear"/>
            <w:tcMar>
              <w:top w:type="dxa" w:w="40"/>
              <w:left w:type="dxa" w:w="100"/>
              <w:bottom w:type="dxa" w:w="40"/>
              <w:right w:type="dxa" w:w="100"/>
            </w:tcMar>
            <w:vAlign w:val="center"/>
          </w:tcPr>
          <w:p>
            <w:pPr>
              <w:jc w:val="center"/>
            </w:pPr>
            <w:r>
              <w:rPr>
                <w:rFonts w:ascii="Calibri" w:cs="Calibri" w:eastAsia="Calibri" w:hAnsi="Calibri"/>
                <w:b/>
                <w:bCs/>
                <w:color w:val="FFFFFF"/>
                <w:sz w:val="17"/>
                <w:szCs w:val="17"/>
              </w:rPr>
              <w:t xml:space="preserve">Sales Revenue</w:t>
            </w:r>
          </w:p>
        </w:tc>
        <w:tc>
          <w:tcPr>
            <w:tcW w:type="pct" w:w="33%"/>
            <w:shd w:fill="1F3864" w:val="clear"/>
            <w:tcMar>
              <w:top w:type="dxa" w:w="40"/>
              <w:left w:type="dxa" w:w="100"/>
              <w:bottom w:type="dxa" w:w="40"/>
              <w:right w:type="dxa" w:w="100"/>
            </w:tcMar>
            <w:vAlign w:val="center"/>
          </w:tcPr>
          <w:p>
            <w:pPr>
              <w:jc w:val="center"/>
            </w:pPr>
            <w:r>
              <w:rPr>
                <w:rFonts w:ascii="Calibri" w:cs="Calibri" w:eastAsia="Calibri" w:hAnsi="Calibri"/>
                <w:b/>
                <w:bCs/>
                <w:color w:val="FFFFFF"/>
                <w:sz w:val="17"/>
                <w:szCs w:val="17"/>
              </w:rPr>
              <w:t xml:space="preserve">Profit Margin</w:t>
            </w:r>
          </w:p>
        </w:tc>
      </w:tr>
      <w:tr>
        <w:tc>
          <w:tcPr>
            <w:tcW w:type="pct" w:w="34%"/>
            <w:shd w:fill="FFFFFF"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Vikram (Top)</w:t>
            </w:r>
          </w:p>
        </w:tc>
        <w:tc>
          <w:tcPr>
            <w:tcW w:type="pct" w:w="3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₹1.76 Cr</w:t>
            </w:r>
          </w:p>
        </w:tc>
        <w:tc>
          <w:tcPr>
            <w:tcW w:type="pct" w:w="3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27.9%</w:t>
            </w:r>
          </w:p>
        </w:tc>
      </w:tr>
      <w:tr>
        <w:tc>
          <w:tcPr>
            <w:tcW w:type="pct" w:w="34%"/>
            <w:shd w:fill="EDF2FA"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Kiran</w:t>
            </w:r>
          </w:p>
        </w:tc>
        <w:tc>
          <w:tcPr>
            <w:tcW w:type="pct" w:w="3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₹1.68 Cr</w:t>
            </w:r>
          </w:p>
        </w:tc>
        <w:tc>
          <w:tcPr>
            <w:tcW w:type="pct" w:w="3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28.0%</w:t>
            </w:r>
          </w:p>
        </w:tc>
      </w:tr>
      <w:tr>
        <w:tc>
          <w:tcPr>
            <w:tcW w:type="pct" w:w="34%"/>
            <w:shd w:fill="FFFFFF"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Rohan</w:t>
            </w:r>
          </w:p>
        </w:tc>
        <w:tc>
          <w:tcPr>
            <w:tcW w:type="pct" w:w="3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₹1.59 Cr</w:t>
            </w:r>
          </w:p>
        </w:tc>
        <w:tc>
          <w:tcPr>
            <w:tcW w:type="pct" w:w="3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28.6%</w:t>
            </w:r>
          </w:p>
        </w:tc>
      </w:tr>
      <w:tr>
        <w:tc>
          <w:tcPr>
            <w:tcW w:type="pct" w:w="34%"/>
            <w:shd w:fill="EDF2FA"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Neha</w:t>
            </w:r>
          </w:p>
        </w:tc>
        <w:tc>
          <w:tcPr>
            <w:tcW w:type="pct" w:w="3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₹1.16 Cr</w:t>
            </w:r>
          </w:p>
        </w:tc>
        <w:tc>
          <w:tcPr>
            <w:tcW w:type="pct" w:w="3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27.7%</w:t>
            </w:r>
          </w:p>
        </w:tc>
      </w:tr>
      <w:tr>
        <w:tc>
          <w:tcPr>
            <w:tcW w:type="pct" w:w="34%"/>
            <w:shd w:fill="FFFFFF"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Rahul</w:t>
            </w:r>
          </w:p>
        </w:tc>
        <w:tc>
          <w:tcPr>
            <w:tcW w:type="pct" w:w="3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₹1.12 Cr</w:t>
            </w:r>
          </w:p>
        </w:tc>
        <w:tc>
          <w:tcPr>
            <w:tcW w:type="pct" w:w="33%"/>
            <w:shd w:fill="FFFFFF"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27.7%</w:t>
            </w:r>
          </w:p>
        </w:tc>
      </w:tr>
      <w:tr>
        <w:tc>
          <w:tcPr>
            <w:tcW w:type="pct" w:w="34%"/>
            <w:shd w:fill="EDF2FA" w:val="clear"/>
            <w:tcMar>
              <w:top w:type="dxa" w:w="40"/>
              <w:left w:type="dxa" w:w="100"/>
              <w:bottom w:type="dxa" w:w="40"/>
              <w:right w:type="dxa" w:w="100"/>
            </w:tcMar>
            <w:vAlign w:val="center"/>
          </w:tcPr>
          <w:p>
            <w:pPr>
              <w:jc w:val="left"/>
            </w:pPr>
            <w:r>
              <w:rPr>
                <w:rFonts w:ascii="Calibri" w:cs="Calibri" w:eastAsia="Calibri" w:hAnsi="Calibri"/>
                <w:b w:val="false"/>
                <w:bCs w:val="false"/>
                <w:color w:val="222222"/>
                <w:sz w:val="17"/>
                <w:szCs w:val="17"/>
              </w:rPr>
              <w:t xml:space="preserve">Sneha (Lowest)</w:t>
            </w:r>
          </w:p>
        </w:tc>
        <w:tc>
          <w:tcPr>
            <w:tcW w:type="pct" w:w="3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₹1.07 Cr</w:t>
            </w:r>
          </w:p>
        </w:tc>
        <w:tc>
          <w:tcPr>
            <w:tcW w:type="pct" w:w="33%"/>
            <w:shd w:fill="EDF2FA" w:val="clear"/>
            <w:tcMar>
              <w:top w:type="dxa" w:w="40"/>
              <w:left w:type="dxa" w:w="100"/>
              <w:bottom w:type="dxa" w:w="40"/>
              <w:right w:type="dxa" w:w="100"/>
            </w:tcMar>
            <w:vAlign w:val="center"/>
          </w:tcPr>
          <w:p>
            <w:pPr>
              <w:jc w:val="center"/>
            </w:pPr>
            <w:r>
              <w:rPr>
                <w:rFonts w:ascii="Calibri" w:cs="Calibri" w:eastAsia="Calibri" w:hAnsi="Calibri"/>
                <w:b w:val="false"/>
                <w:bCs w:val="false"/>
                <w:color w:val="222222"/>
                <w:sz w:val="17"/>
                <w:szCs w:val="17"/>
              </w:rPr>
              <w:t xml:space="preserve">27.7%</w:t>
            </w:r>
          </w:p>
        </w:tc>
      </w:tr>
    </w:tbl>
    <w:p>
      <w:pPr>
        <w:pStyle w:val="Heading1"/>
        <w:pBdr>
          <w:bottom w:val="single" w:color="2E74B5" w:sz="6" w:space="3"/>
        </w:pBdr>
        <w:spacing w:after="80" w:before="200"/>
      </w:pPr>
      <w:r>
        <w:rPr>
          <w:rFonts w:ascii="Calibri" w:cs="Calibri" w:eastAsia="Calibri" w:hAnsi="Calibri"/>
          <w:b/>
          <w:bCs/>
          <w:color w:val="1F3864"/>
          <w:sz w:val="23"/>
          <w:szCs w:val="23"/>
        </w:rPr>
        <w:t xml:space="preserve">5. Actionable Recommendations</w:t>
      </w:r>
    </w:p>
    <w:p>
      <w:pPr>
        <w:spacing w:after="90" w:line="248"/>
      </w:pPr>
      <w:r>
        <w:rPr>
          <w:rFonts w:ascii="Calibri" w:cs="Calibri" w:eastAsia="Calibri" w:hAnsi="Calibri"/>
          <w:color w:val="222222"/>
          <w:sz w:val="18"/>
          <w:szCs w:val="18"/>
        </w:rPr>
        <w:t xml:space="preserve">The following recommendations are grouped by business impact, starting with the change most likely to improve overall profitability.</w:t>
      </w:r>
    </w:p>
    <w:p>
      <w:pPr>
        <w:pStyle w:val="Heading2"/>
        <w:spacing w:after="80" w:before="200"/>
      </w:pPr>
      <w:r>
        <w:rPr>
          <w:rFonts w:ascii="Calibri" w:cs="Calibri" w:eastAsia="Calibri" w:hAnsi="Calibri"/>
          <w:b/>
          <w:bCs/>
          <w:color w:val="2E74B5"/>
          <w:sz w:val="19"/>
          <w:szCs w:val="19"/>
        </w:rPr>
        <w:t xml:space="preserve">1. Tackle Cancellations and Returns First</w:t>
      </w:r>
    </w:p>
    <w:p>
      <w:pPr>
        <w:pStyle w:val="ListParagraph"/>
        <w:numPr>
          <w:ilvl w:val="0"/>
          <w:numId w:val="1"/>
        </w:numPr>
        <w:spacing w:after="50" w:line="240"/>
      </w:pPr>
      <w:r>
        <w:rPr>
          <w:rFonts w:ascii="Calibri" w:cs="Calibri" w:eastAsia="Calibri" w:hAnsi="Calibri"/>
          <w:color w:val="222222"/>
          <w:sz w:val="18"/>
          <w:szCs w:val="18"/>
        </w:rPr>
        <w:t xml:space="preserve"> Investigate the root causes behind the 40.5% of orders that are cancelled or returned — common causes include stock-outs at order time, delivery delays, product mismatches, or payment failures. Even cutting this rate by half could recover an estimated ₹2.5–2.8 crore in completed sales per year.</w:t>
      </w:r>
    </w:p>
    <w:p>
      <w:pPr>
        <w:pStyle w:val="ListParagraph"/>
        <w:numPr>
          <w:ilvl w:val="0"/>
          <w:numId w:val="1"/>
        </w:numPr>
        <w:spacing w:after="50" w:line="240"/>
      </w:pPr>
      <w:r>
        <w:rPr>
          <w:rFonts w:ascii="Calibri" w:cs="Calibri" w:eastAsia="Calibri" w:hAnsi="Calibri"/>
          <w:color w:val="222222"/>
          <w:sz w:val="18"/>
          <w:szCs w:val="18"/>
        </w:rPr>
        <w:t xml:space="preserve"> Introduce a simple order-confirmation and stock-check step before an order is accepted, and follow up personally on high-value orders to reduce last-minute cancellations.</w:t>
      </w:r>
    </w:p>
    <w:p>
      <w:pPr>
        <w:pStyle w:val="ListParagraph"/>
        <w:numPr>
          <w:ilvl w:val="0"/>
          <w:numId w:val="1"/>
        </w:numPr>
        <w:spacing w:after="50" w:line="240"/>
      </w:pPr>
      <w:r>
        <w:rPr>
          <w:rFonts w:ascii="Calibri" w:cs="Calibri" w:eastAsia="Calibri" w:hAnsi="Calibri"/>
          <w:color w:val="222222"/>
          <w:sz w:val="18"/>
          <w:szCs w:val="18"/>
        </w:rPr>
        <w:t xml:space="preserve"> Track cancellation and return reasons going forward — right now the data tells us how much is being lost, but not why, which should be the client's next data-collection priority.</w:t>
      </w:r>
    </w:p>
    <w:p>
      <w:pPr>
        <w:pStyle w:val="Heading2"/>
        <w:spacing w:after="80" w:before="200"/>
      </w:pPr>
      <w:r>
        <w:rPr>
          <w:rFonts w:ascii="Calibri" w:cs="Calibri" w:eastAsia="Calibri" w:hAnsi="Calibri"/>
          <w:b/>
          <w:bCs/>
          <w:color w:val="2E74B5"/>
          <w:sz w:val="19"/>
          <w:szCs w:val="19"/>
        </w:rPr>
        <w:t xml:space="preserve">2. Protect and Improve Profit Margins</w:t>
      </w:r>
    </w:p>
    <w:p>
      <w:pPr>
        <w:pStyle w:val="ListParagraph"/>
        <w:numPr>
          <w:ilvl w:val="0"/>
          <w:numId w:val="1"/>
        </w:numPr>
        <w:spacing w:after="50" w:line="240"/>
      </w:pPr>
      <w:r>
        <w:rPr>
          <w:rFonts w:ascii="Calibri" w:cs="Calibri" w:eastAsia="Calibri" w:hAnsi="Calibri"/>
          <w:color w:val="222222"/>
          <w:sz w:val="18"/>
          <w:szCs w:val="18"/>
        </w:rPr>
        <w:t xml:space="preserve"> Review supplier and procurement costs for Electronics — particularly Monitors, Mice and Keyboards — where margins run 4–6 points below the company average.</w:t>
      </w:r>
    </w:p>
    <w:p>
      <w:pPr>
        <w:pStyle w:val="ListParagraph"/>
        <w:numPr>
          <w:ilvl w:val="0"/>
          <w:numId w:val="1"/>
        </w:numPr>
        <w:spacing w:after="50" w:line="240"/>
      </w:pPr>
      <w:r>
        <w:rPr>
          <w:rFonts w:ascii="Calibri" w:cs="Calibri" w:eastAsia="Calibri" w:hAnsi="Calibri"/>
          <w:color w:val="222222"/>
          <w:sz w:val="18"/>
          <w:szCs w:val="18"/>
        </w:rPr>
        <w:t xml:space="preserve"> Consider modest price adjustments or value-added bundling (e.g., pairing low-margin electronics with accessories) to lift blended margin without hurting sales volume.</w:t>
      </w:r>
    </w:p>
    <w:p>
      <w:pPr>
        <w:pStyle w:val="ListParagraph"/>
        <w:numPr>
          <w:ilvl w:val="0"/>
          <w:numId w:val="1"/>
        </w:numPr>
        <w:spacing w:after="50" w:line="240"/>
      </w:pPr>
      <w:r>
        <w:rPr>
          <w:rFonts w:ascii="Calibri" w:cs="Calibri" w:eastAsia="Calibri" w:hAnsi="Calibri"/>
          <w:color w:val="222222"/>
          <w:sz w:val="18"/>
          <w:szCs w:val="18"/>
        </w:rPr>
        <w:t xml:space="preserve"> Continue prioritising Home Appliances and Furniture in marketing and stock planning, since they combine strong sales volume with the best margins in the business.</w:t>
      </w:r>
    </w:p>
    <w:p>
      <w:pPr>
        <w:pStyle w:val="Heading2"/>
        <w:spacing w:after="80" w:before="200"/>
      </w:pPr>
      <w:r>
        <w:rPr>
          <w:rFonts w:ascii="Calibri" w:cs="Calibri" w:eastAsia="Calibri" w:hAnsi="Calibri"/>
          <w:b/>
          <w:bCs/>
          <w:color w:val="2E74B5"/>
          <w:sz w:val="19"/>
          <w:szCs w:val="19"/>
        </w:rPr>
        <w:t xml:space="preserve">3. Bring the Sales Team to a Common Standard</w:t>
      </w:r>
    </w:p>
    <w:p>
      <w:pPr>
        <w:pStyle w:val="ListParagraph"/>
        <w:numPr>
          <w:ilvl w:val="0"/>
          <w:numId w:val="1"/>
        </w:numPr>
        <w:spacing w:after="50" w:line="240"/>
      </w:pPr>
      <w:r>
        <w:rPr>
          <w:rFonts w:ascii="Calibri" w:cs="Calibri" w:eastAsia="Calibri" w:hAnsi="Calibri"/>
          <w:color w:val="222222"/>
          <w:sz w:val="18"/>
          <w:szCs w:val="18"/>
        </w:rPr>
        <w:t xml:space="preserve"> Study what Vikram and Kiran are doing differently and turn it into a short, practical playbook — customer approach, follow-up habits, product knowledge — for the rest of the team.</w:t>
      </w:r>
    </w:p>
    <w:p>
      <w:pPr>
        <w:pStyle w:val="ListParagraph"/>
        <w:numPr>
          <w:ilvl w:val="0"/>
          <w:numId w:val="1"/>
        </w:numPr>
        <w:spacing w:after="50" w:line="240"/>
      </w:pPr>
      <w:r>
        <w:rPr>
          <w:rFonts w:ascii="Calibri" w:cs="Calibri" w:eastAsia="Calibri" w:hAnsi="Calibri"/>
          <w:color w:val="222222"/>
          <w:sz w:val="18"/>
          <w:szCs w:val="18"/>
        </w:rPr>
        <w:t xml:space="preserve"> Provide targeted coaching and clear monthly targets for the lower-performing team members (Sneha, Rahul, Neha) to close the current 30–40% revenue gap.</w:t>
      </w:r>
    </w:p>
    <w:p>
      <w:pPr>
        <w:pStyle w:val="Heading2"/>
        <w:spacing w:after="80" w:before="200"/>
      </w:pPr>
      <w:r>
        <w:rPr>
          <w:rFonts w:ascii="Calibri" w:cs="Calibri" w:eastAsia="Calibri" w:hAnsi="Calibri"/>
          <w:b/>
          <w:bCs/>
          <w:color w:val="2E74B5"/>
          <w:sz w:val="19"/>
          <w:szCs w:val="19"/>
        </w:rPr>
        <w:t xml:space="preserve">4. Grow Under-Leveraged Regions and Smooth Out Seasonality</w:t>
      </w:r>
    </w:p>
    <w:p>
      <w:pPr>
        <w:pStyle w:val="ListParagraph"/>
        <w:numPr>
          <w:ilvl w:val="0"/>
          <w:numId w:val="1"/>
        </w:numPr>
        <w:spacing w:after="50" w:line="240"/>
      </w:pPr>
      <w:r>
        <w:rPr>
          <w:rFonts w:ascii="Calibri" w:cs="Calibri" w:eastAsia="Calibri" w:hAnsi="Calibri"/>
          <w:color w:val="222222"/>
          <w:sz w:val="18"/>
          <w:szCs w:val="18"/>
        </w:rPr>
        <w:t xml:space="preserve"> Invest modestly in expanding the North region's customer base and marketing presence — it already produces the best profit margin in the company, so more volume here is high-value growth.</w:t>
      </w:r>
    </w:p>
    <w:p>
      <w:pPr>
        <w:pStyle w:val="ListParagraph"/>
        <w:numPr>
          <w:ilvl w:val="0"/>
          <w:numId w:val="1"/>
        </w:numPr>
        <w:spacing w:after="50" w:line="240"/>
      </w:pPr>
      <w:r>
        <w:rPr>
          <w:rFonts w:ascii="Calibri" w:cs="Calibri" w:eastAsia="Calibri" w:hAnsi="Calibri"/>
          <w:color w:val="222222"/>
          <w:sz w:val="18"/>
          <w:szCs w:val="18"/>
        </w:rPr>
        <w:t xml:space="preserve"> Run targeted promotions or bundled offers in May and October to smooth out the seasonal dip and keep monthly revenue more consistent across the year.</w:t>
      </w:r>
    </w:p>
    <w:p>
      <w:pPr>
        <w:pStyle w:val="Heading2"/>
        <w:spacing w:after="80" w:before="200"/>
      </w:pPr>
      <w:r>
        <w:rPr>
          <w:rFonts w:ascii="Calibri" w:cs="Calibri" w:eastAsia="Calibri" w:hAnsi="Calibri"/>
          <w:b/>
          <w:bCs/>
          <w:color w:val="2E74B5"/>
          <w:sz w:val="19"/>
          <w:szCs w:val="19"/>
        </w:rPr>
        <w:t xml:space="preserve">5. Deepen Customer Relationships</w:t>
      </w:r>
    </w:p>
    <w:p>
      <w:pPr>
        <w:pStyle w:val="ListParagraph"/>
        <w:numPr>
          <w:ilvl w:val="0"/>
          <w:numId w:val="1"/>
        </w:numPr>
        <w:spacing w:after="50" w:line="240"/>
      </w:pPr>
      <w:r>
        <w:rPr>
          <w:rFonts w:ascii="Calibri" w:cs="Calibri" w:eastAsia="Calibri" w:hAnsi="Calibri"/>
          <w:color w:val="222222"/>
          <w:sz w:val="18"/>
          <w:szCs w:val="18"/>
        </w:rPr>
        <w:t xml:space="preserve"> With only 50 active customers driving the full ₹13.58 crore in revenue, the business is fairly concentrated. Introduce a simple loyalty or repeat-purchase incentive for top customers, and a re-engagement outreach for customers who have ordered less frequently.</w:t>
      </w:r>
    </w:p>
    <w:p>
      <w:pPr>
        <w:pStyle w:val="ListParagraph"/>
        <w:numPr>
          <w:ilvl w:val="0"/>
          <w:numId w:val="1"/>
        </w:numPr>
        <w:spacing w:after="50" w:line="240"/>
      </w:pPr>
      <w:r>
        <w:rPr>
          <w:rFonts w:ascii="Calibri" w:cs="Calibri" w:eastAsia="Calibri" w:hAnsi="Calibri"/>
          <w:color w:val="222222"/>
          <w:sz w:val="18"/>
          <w:szCs w:val="18"/>
        </w:rPr>
        <w:t xml:space="preserve"> Continue encouraging UPI and card payments over cash, as digital payments are easier to reconcile and reduce collection risk.</w:t>
      </w:r>
    </w:p>
    <w:p>
      <w:pPr>
        <w:pStyle w:val="Heading1"/>
        <w:pBdr>
          <w:bottom w:val="single" w:color="2E74B5" w:sz="6" w:space="3"/>
        </w:pBdr>
        <w:spacing w:after="80" w:before="200"/>
      </w:pPr>
      <w:r>
        <w:rPr>
          <w:rFonts w:ascii="Calibri" w:cs="Calibri" w:eastAsia="Calibri" w:hAnsi="Calibri"/>
          <w:b/>
          <w:bCs/>
          <w:color w:val="1F3864"/>
          <w:sz w:val="23"/>
          <w:szCs w:val="23"/>
        </w:rPr>
        <w:t xml:space="preserve">6. Conclusion</w:t>
      </w:r>
    </w:p>
    <w:p>
      <w:pPr>
        <w:spacing w:after="90" w:line="248"/>
      </w:pPr>
      <w:r>
        <w:rPr>
          <w:rFonts w:ascii="Calibri" w:cs="Calibri" w:eastAsia="Calibri" w:hAnsi="Calibri"/>
          <w:color w:val="222222"/>
          <w:sz w:val="18"/>
          <w:szCs w:val="18"/>
        </w:rPr>
        <w:t xml:space="preserve">Overall, the business is in a fundamentally healthy position: a 28% profit margin, ₹13.58 crore in annual revenue, and clear pockets of strength in the West and South regions and in the Home Appliances and Furniture categories are all strong foundations to build on. The client's top sales performers show that the business model itself works very well when executed consistently.</w:t>
      </w:r>
    </w:p>
    <w:p>
      <w:pPr>
        <w:spacing w:after="90" w:line="248"/>
      </w:pPr>
      <w:r>
        <w:rPr>
          <w:rFonts w:ascii="Calibri" w:cs="Calibri" w:eastAsia="Calibri" w:hAnsi="Calibri"/>
          <w:color w:val="222222"/>
          <w:sz w:val="18"/>
          <w:szCs w:val="18"/>
        </w:rPr>
        <w:t xml:space="preserve">The single biggest opportunity is not new customer acquisition, but fixing the roughly 41% of order value that is currently lost to cancellations and returns — this alone represents more upside than any new sales initiative would deliver in the short term. Alongside this, tightening margins in Electronics, standardising sales team performance, and smoothing out seasonal dips will further strengthen an already solid business. Acting on the recommendations in this report should meaningfully improve both profitability and customer experience over the coming year.</w:t>
      </w:r>
    </w:p>
    <w:sectPr>
      <w:headerReference w:type="default" r:id="rId7"/>
      <w:footerReference w:type="default" r:id="rId8"/>
      <w:pgSz w:w="12240" w:h="15840" w:orient="portrait"/>
      <w:pgMar w:top="560" w:right="760" w:bottom="56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4" w:space="4"/>
      </w:pBdr>
      <w:spacing w:before="60"/>
      <w:jc w:val="center"/>
    </w:pPr>
    <w:r>
      <w:rPr>
        <w:rFonts w:ascii="Calibri" w:cs="Calibri" w:eastAsia="Calibri" w:hAnsi="Calibri"/>
        <w:color w:val="595959"/>
        <w:sz w:val="15"/>
        <w:szCs w:val="15"/>
      </w:rPr>
      <w:t xml:space="preserve">Confidential | Prepared for Client Review — </w:t>
    </w: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8" w:sz="4" w:space="4"/>
      </w:pBdr>
      <w:spacing w:after="60"/>
      <w:jc w:val="right"/>
    </w:pPr>
    <w:r>
      <w:rPr>
        <w:rFonts w:ascii="Calibri" w:cs="Calibri" w:eastAsia="Calibri" w:hAnsi="Calibri"/>
        <w:i/>
        <w:iCs/>
        <w:color w:val="595959"/>
        <w:sz w:val="15"/>
        <w:szCs w:val="15"/>
      </w:rPr>
      <w:t xml:space="preserve">Sales Performance — Client Understanding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2026-07-26T14:50:43.967Z</dcterms:created>
  <dcterms:modified xsi:type="dcterms:W3CDTF">2026-07-26T14:50:43.967Z</dcterms:modified>
</cp:coreProperties>
</file>

<file path=docProps/custom.xml><?xml version="1.0" encoding="utf-8"?>
<Properties xmlns="http://schemas.openxmlformats.org/officeDocument/2006/custom-properties" xmlns:vt="http://schemas.openxmlformats.org/officeDocument/2006/docPropsVTypes"/>
</file>