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</w:t>
      </w:r>
      <w:proofErr w:type="spellStart"/>
      <w:r w:rsidR="002923BC">
        <w:rPr>
          <w:rStyle w:val="DocStyleFieldsArialNarr10ptB"/>
          <w:b w:val="0"/>
          <w:lang w:val="fr-FR"/>
        </w:rPr>
        <w:t>Feb</w:t>
      </w:r>
      <w:proofErr w:type="spellEnd"/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307B85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307B85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307B8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307B8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307B8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307B8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307B85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 xml:space="preserve">Attendance Student For </w:t>
      </w:r>
      <w:proofErr w:type="gramStart"/>
      <w:r w:rsidR="00EE699A">
        <w:rPr>
          <w:rFonts w:asciiTheme="minorBidi" w:hAnsiTheme="minorBidi" w:cstheme="minorBidi"/>
          <w:lang w:val="en-GB" w:eastAsia="en-GB"/>
        </w:rPr>
        <w:t>I</w:t>
      </w:r>
      <w:r>
        <w:rPr>
          <w:rFonts w:asciiTheme="minorBidi" w:hAnsiTheme="minorBidi" w:cstheme="minorBidi"/>
          <w:lang w:val="en-GB" w:eastAsia="en-GB"/>
        </w:rPr>
        <w:t>nstructor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561C7290">
            <wp:extent cx="6324963" cy="2691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9"/>
            <w:r w:rsidR="00E00A2B">
              <w:rPr>
                <w:rFonts w:asciiTheme="minorHAnsi" w:hAnsiTheme="minorHAnsi" w:cstheme="minorHAnsi"/>
                <w:lang w:bidi="ar-EG"/>
              </w:rPr>
              <w:t>data</w:t>
            </w:r>
            <w:commentRangeEnd w:id="9"/>
            <w:r w:rsidR="00F0777B">
              <w:rPr>
                <w:rStyle w:val="CommentReference"/>
              </w:rPr>
              <w:commentReference w:id="9"/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EA5288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 w:rsidR="00EA5288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bookmarkStart w:id="10" w:name="_GoBack"/>
            <w:bookmarkEnd w:id="10"/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proofErr w:type="spellEnd"/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proofErr w:type="spellEnd"/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11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  <w:proofErr w:type="spellEnd"/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odules/course/shared/data/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-attendance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Pr="005A4119">
              <w:rPr>
                <w:rFonts w:asciiTheme="minorHAnsi" w:hAnsiTheme="minorHAnsi" w:cstheme="minorHAnsi"/>
                <w:lang w:bidi="ar-EG"/>
              </w:rPr>
              <w:t>dto.data.ts</w:t>
            </w:r>
            <w:proofErr w:type="spellEnd"/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  <w:proofErr w:type="spellEnd"/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  <w:proofErr w:type="spellEnd"/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11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11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AttendanceDTORM</w:t>
            </w:r>
            <w:proofErr w:type="spellEnd"/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2" w:name="_Toc1466887"/>
      <w:r>
        <w:t>Angular Component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ViewCourseAttendance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ts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commentRangeStart w:id="13"/>
            <w:proofErr w:type="spellStart"/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commentRangeEnd w:id="13"/>
            <w:r w:rsidR="00F0777B">
              <w:rPr>
                <w:rStyle w:val="CommentReference"/>
              </w:rPr>
              <w:commentReference w:id="13"/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961FDC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961FDC">
              <w:rPr>
                <w:rFonts w:asciiTheme="minorHAnsi" w:hAnsiTheme="minorHAnsi" w:cstheme="minorHAnsi"/>
                <w:lang w:bidi="ar-EG"/>
              </w:rPr>
              <w:t>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1466888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4D8A7E2A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B5140E">
              <w:rPr>
                <w:rFonts w:asciiTheme="minorHAnsi" w:hAnsiTheme="minorHAnsi" w:cstheme="minorHAnsi"/>
                <w:lang w:bidi="ar-EG"/>
              </w:rPr>
              <w:t>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5" w:name="_Toc1466889"/>
      <w:r>
        <w:t>Repository Functions</w:t>
      </w:r>
      <w:bookmarkEnd w:id="1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AttendanceRep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EE699A">
              <w:rPr>
                <w:rFonts w:asciiTheme="minorHAnsi" w:hAnsiTheme="minorHAnsi" w:cstheme="minorHAnsi"/>
                <w:lang w:bidi="ar-EG"/>
              </w:rPr>
              <w:t>courseID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6" w:name="OLE_LINK1"/>
            <w:bookmarkStart w:id="17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first_name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last_name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="004D23D9" w:rsidRPr="004D23D9">
              <w:rPr>
                <w:rFonts w:asciiTheme="minorHAnsi" w:hAnsiTheme="minorHAnsi" w:cstheme="minorHAnsi"/>
                <w:lang w:bidi="ar-EG"/>
              </w:rPr>
              <w:t>attendance_date</w:t>
            </w:r>
            <w:proofErr w:type="spellEnd"/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course_std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auth_user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u_std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c_std.std_id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attendance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att.cor_id</w:t>
            </w:r>
            <w:proofErr w:type="spellEnd"/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left join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cor_std_att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</w:t>
            </w:r>
            <w:proofErr w:type="spellEnd"/>
            <w:r w:rsidRPr="004D23D9">
              <w:rPr>
                <w:rFonts w:asciiTheme="minorHAnsi" w:hAnsiTheme="minorHAnsi" w:cstheme="minorHAnsi"/>
                <w:lang w:bidi="ar-EG"/>
              </w:rPr>
              <w:t xml:space="preserve"> on att.id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c_att.att_id</w:t>
            </w:r>
            <w:proofErr w:type="spellEnd"/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and u_std.id = </w:t>
            </w:r>
            <w:proofErr w:type="spellStart"/>
            <w:r w:rsidRPr="004D23D9">
              <w:rPr>
                <w:rFonts w:asciiTheme="minorHAnsi" w:hAnsiTheme="minorHAnsi" w:cstheme="minorHAnsi"/>
                <w:lang w:bidi="ar-EG"/>
              </w:rPr>
              <w:t>c_att.std_id</w:t>
            </w:r>
            <w:proofErr w:type="spellEnd"/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c_std.cor_id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bookmarkEnd w:id="16"/>
          <w:bookmarkEnd w:id="17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hmed Motair" w:date="2019-02-19T11:08:00Z" w:initials="AM">
    <w:p w14:paraId="2D4457BA" w14:textId="6A136AE7" w:rsidR="00F0777B" w:rsidRDefault="00F0777B">
      <w:pPr>
        <w:pStyle w:val="CommentText"/>
      </w:pPr>
      <w:r>
        <w:rPr>
          <w:rStyle w:val="CommentReference"/>
        </w:rPr>
        <w:annotationRef/>
      </w:r>
      <w:r>
        <w:t>This should be /data/course/attendance-</w:t>
      </w:r>
      <w:proofErr w:type="spellStart"/>
      <w:r>
        <w:t>dto.data.ts</w:t>
      </w:r>
      <w:proofErr w:type="spellEnd"/>
    </w:p>
  </w:comment>
  <w:comment w:id="11" w:author="Ahmed Motair" w:date="2019-02-19T11:13:00Z" w:initials="AM">
    <w:p w14:paraId="05F91988" w14:textId="4B36F57E" w:rsidR="00F0777B" w:rsidRDefault="00F0777B" w:rsidP="00F0777B">
      <w:pPr>
        <w:pStyle w:val="CommentText"/>
      </w:pPr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 xml:space="preserve">You can use the </w:t>
      </w:r>
      <w:proofErr w:type="spellStart"/>
      <w:r>
        <w:t>StdDTO</w:t>
      </w:r>
      <w:proofErr w:type="spellEnd"/>
    </w:p>
  </w:comment>
  <w:comment w:id="13" w:author="Ahmed Motair" w:date="2019-02-19T11:14:00Z" w:initials="AM">
    <w:p w14:paraId="1854DA9F" w14:textId="505C8FA0" w:rsidR="00F0777B" w:rsidRDefault="00F0777B">
      <w:pPr>
        <w:pStyle w:val="CommentText"/>
      </w:pPr>
      <w:r>
        <w:rPr>
          <w:rStyle w:val="CommentReference"/>
        </w:rPr>
        <w:annotationRef/>
      </w:r>
      <w:r>
        <w:t>Should be /shared/services/</w:t>
      </w:r>
      <w:proofErr w:type="spellStart"/>
      <w:r>
        <w:t>attendance.service.ts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457BA" w15:done="0"/>
  <w15:commentEx w15:paraId="05F91988" w15:done="0"/>
  <w15:commentEx w15:paraId="1854DA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793CF" w14:textId="77777777" w:rsidR="00307B85" w:rsidRDefault="00307B85">
      <w:r>
        <w:separator/>
      </w:r>
    </w:p>
  </w:endnote>
  <w:endnote w:type="continuationSeparator" w:id="0">
    <w:p w14:paraId="267058D3" w14:textId="77777777" w:rsidR="00307B85" w:rsidRDefault="0030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A5DA6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A5DA6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9E02F" w14:textId="77777777" w:rsidR="00307B85" w:rsidRDefault="00307B85">
      <w:r>
        <w:separator/>
      </w:r>
    </w:p>
  </w:footnote>
  <w:footnote w:type="continuationSeparator" w:id="0">
    <w:p w14:paraId="66BF6A44" w14:textId="77777777" w:rsidR="00307B85" w:rsidRDefault="00307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ADEC066-4036-4F30-AB68-67499E4A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2548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20</cp:revision>
  <cp:lastPrinted>2011-02-09T08:22:00Z</cp:lastPrinted>
  <dcterms:created xsi:type="dcterms:W3CDTF">2019-02-13T21:17:00Z</dcterms:created>
  <dcterms:modified xsi:type="dcterms:W3CDTF">2019-02-19T09:23:00Z</dcterms:modified>
</cp:coreProperties>
</file>