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tl/>
        </w:rPr>
        <w:t>قاموس البيانات والأكواد المستخدمة في نظام التداول</w:t>
      </w:r>
    </w:p>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يعتمد نظام التداول على هيكل يتيح للعميل امتلاك أكثر من حساب استثماري أو تشغيلي، بحيث يمكن إدارة كل حساب بصورة مستقلة وفقاً لطبيعة النشاط. فعلى سبيل المثال، قد يمتلك العميل حساباً شخصياً للأفراد وحساباً استثمارياً تتم إدارته بواسطة مدير استثمار، ويُعامل كل حساب فرعي كوحدة مستقلة من حيث العمليات والأرصدة والتقارير، دون وجود تأثير مباشر بين الحسابات المختلفة التابعة لنفس العميل</w:t>
      </w:r>
      <w:r w:rsidRPr="00C82941">
        <w:rPr>
          <w:rFonts w:ascii="Times New Roman" w:eastAsia="Times New Roman" w:hAnsi="Times New Roman" w:cs="Times New Roman"/>
          <w:sz w:val="24"/>
          <w:szCs w:val="24"/>
        </w:rPr>
        <w:t>.</w:t>
      </w:r>
    </w:p>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ولهذا الغرض يتم تعريف مستويين من أرقام الحسابات كما يلي</w:t>
      </w:r>
      <w:r w:rsidRPr="00C82941">
        <w:rPr>
          <w:rFonts w:ascii="Times New Roman" w:eastAsia="Times New Roman" w:hAnsi="Times New Roman" w:cs="Times New Roman"/>
          <w:sz w:val="24"/>
          <w:szCs w:val="24"/>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C82941" w:rsidRPr="00C82941" w:rsidTr="002B29D7">
        <w:trPr>
          <w:tblHeade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اسم الحقل</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الوصف</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مثال</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Client ID</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الرقم الرئيسي للعميل الذي يجمع جميع الحسابات التابعة له</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1800101035339</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Account ID</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الرقم الفرعي للحساب المستخدم في التداول وإدارة العمليات</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2041929</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Account Name</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اسم العميل أو اسم الحساب</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سعد أحمد إبراهيم الحسن المهندي</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Currency</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العملة المستخدمة في الحساب</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Qatari Riyal</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Account Type</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نوع الحساب الفرعي</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INV PORT (Investment Portfolio)</w:t>
            </w:r>
          </w:p>
        </w:tc>
      </w:tr>
    </w:tbl>
    <w:p w:rsidR="00C82941" w:rsidRPr="00C82941" w:rsidRDefault="00C82941" w:rsidP="002B29D7">
      <w:pPr>
        <w:bidi/>
        <w:spacing w:before="100" w:beforeAutospacing="1" w:after="100" w:afterAutospacing="1" w:line="240" w:lineRule="auto"/>
        <w:jc w:val="mediumKashida"/>
        <w:outlineLvl w:val="2"/>
        <w:rPr>
          <w:rFonts w:ascii="Times New Roman" w:eastAsia="Times New Roman" w:hAnsi="Times New Roman" w:cs="Times New Roman"/>
          <w:b/>
          <w:bCs/>
          <w:sz w:val="27"/>
          <w:szCs w:val="27"/>
        </w:rPr>
      </w:pPr>
      <w:r w:rsidRPr="00C82941">
        <w:rPr>
          <w:rFonts w:ascii="Times New Roman" w:eastAsia="Times New Roman" w:hAnsi="Times New Roman" w:cs="Times New Roman"/>
          <w:b/>
          <w:bCs/>
          <w:sz w:val="27"/>
          <w:szCs w:val="27"/>
          <w:rtl/>
        </w:rPr>
        <w:t>التواريخ المستخدمة في النظام</w:t>
      </w:r>
    </w:p>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تحتوي العمليات اليومية في نظام التداول على تاريخين رئيسيين</w:t>
      </w:r>
      <w:r w:rsidRPr="00C82941">
        <w:rPr>
          <w:rFonts w:ascii="Times New Roman" w:eastAsia="Times New Roman" w:hAnsi="Times New Roman" w:cs="Times New Roman"/>
          <w:sz w:val="24"/>
          <w:szCs w:val="24"/>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C82941" w:rsidRPr="00C82941" w:rsidTr="002B29D7">
        <w:trPr>
          <w:tblHeade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اسم الحقل</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الوصف</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مثال</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Doc. Date</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تاريخ إدخال أو إنشاء الحركة في النظام</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29/07/2023</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Post Date</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تاريخ ترحيل الحركة واعتمادها محاسبياً</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29/07/2023</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Status</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حالة الحركة (مرحلة / غير مرحلة)</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Posted / Unposted</w:t>
            </w:r>
          </w:p>
        </w:tc>
      </w:tr>
    </w:tbl>
    <w:p w:rsidR="00C82941" w:rsidRPr="00C82941" w:rsidRDefault="00C82941" w:rsidP="002B29D7">
      <w:pPr>
        <w:bidi/>
        <w:spacing w:before="100" w:beforeAutospacing="1" w:after="100" w:afterAutospacing="1" w:line="240" w:lineRule="auto"/>
        <w:jc w:val="mediumKashida"/>
        <w:outlineLvl w:val="2"/>
        <w:rPr>
          <w:rFonts w:ascii="Times New Roman" w:eastAsia="Times New Roman" w:hAnsi="Times New Roman" w:cs="Times New Roman"/>
          <w:b/>
          <w:bCs/>
          <w:sz w:val="27"/>
          <w:szCs w:val="27"/>
        </w:rPr>
      </w:pPr>
      <w:r w:rsidRPr="00C82941">
        <w:rPr>
          <w:rFonts w:ascii="Times New Roman" w:eastAsia="Times New Roman" w:hAnsi="Times New Roman" w:cs="Times New Roman"/>
          <w:b/>
          <w:bCs/>
          <w:sz w:val="27"/>
          <w:szCs w:val="27"/>
          <w:rtl/>
        </w:rPr>
        <w:t>أنواع الحركات النقدية</w:t>
      </w:r>
    </w:p>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يتضمن كشف حساب العميل العديد من الحركات التي تؤثر بالزيادة أو النقصان على الرصيد النقدي، ومن أهمها</w:t>
      </w:r>
      <w:r w:rsidRPr="00C82941">
        <w:rPr>
          <w:rFonts w:ascii="Times New Roman" w:eastAsia="Times New Roman" w:hAnsi="Times New Roman" w:cs="Times New Roman"/>
          <w:sz w:val="24"/>
          <w:szCs w:val="24"/>
        </w:rPr>
        <w:t>:</w:t>
      </w:r>
    </w:p>
    <w:p w:rsidR="00C82941" w:rsidRPr="00C82941" w:rsidRDefault="00C82941" w:rsidP="002B29D7">
      <w:pPr>
        <w:numPr>
          <w:ilvl w:val="0"/>
          <w:numId w:val="1"/>
        </w:num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عمليات شراء الأسهم</w:t>
      </w:r>
      <w:r w:rsidRPr="00C82941">
        <w:rPr>
          <w:rFonts w:ascii="Times New Roman" w:eastAsia="Times New Roman" w:hAnsi="Times New Roman" w:cs="Times New Roman"/>
          <w:sz w:val="24"/>
          <w:szCs w:val="24"/>
        </w:rPr>
        <w:t>.</w:t>
      </w:r>
    </w:p>
    <w:p w:rsidR="00C82941" w:rsidRPr="00C82941" w:rsidRDefault="00C82941" w:rsidP="002B29D7">
      <w:pPr>
        <w:numPr>
          <w:ilvl w:val="0"/>
          <w:numId w:val="1"/>
        </w:num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عمليات بيع الأسهم</w:t>
      </w:r>
      <w:r w:rsidRPr="00C82941">
        <w:rPr>
          <w:rFonts w:ascii="Times New Roman" w:eastAsia="Times New Roman" w:hAnsi="Times New Roman" w:cs="Times New Roman"/>
          <w:sz w:val="24"/>
          <w:szCs w:val="24"/>
        </w:rPr>
        <w:t>.</w:t>
      </w:r>
    </w:p>
    <w:p w:rsidR="00C82941" w:rsidRPr="00C82941" w:rsidRDefault="00C82941" w:rsidP="002B29D7">
      <w:pPr>
        <w:numPr>
          <w:ilvl w:val="0"/>
          <w:numId w:val="1"/>
        </w:num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القيود اليومية</w:t>
      </w:r>
      <w:r w:rsidRPr="00C82941">
        <w:rPr>
          <w:rFonts w:ascii="Times New Roman" w:eastAsia="Times New Roman" w:hAnsi="Times New Roman" w:cs="Times New Roman"/>
          <w:sz w:val="24"/>
          <w:szCs w:val="24"/>
        </w:rPr>
        <w:t>.</w:t>
      </w:r>
    </w:p>
    <w:p w:rsidR="00C82941" w:rsidRPr="00C82941" w:rsidRDefault="00C82941" w:rsidP="002B29D7">
      <w:pPr>
        <w:numPr>
          <w:ilvl w:val="0"/>
          <w:numId w:val="1"/>
        </w:num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الإيداعات النقدية</w:t>
      </w:r>
      <w:r w:rsidRPr="00C82941">
        <w:rPr>
          <w:rFonts w:ascii="Times New Roman" w:eastAsia="Times New Roman" w:hAnsi="Times New Roman" w:cs="Times New Roman"/>
          <w:sz w:val="24"/>
          <w:szCs w:val="24"/>
        </w:rPr>
        <w:t>.</w:t>
      </w:r>
    </w:p>
    <w:p w:rsidR="00C82941" w:rsidRPr="00C82941" w:rsidRDefault="00C82941" w:rsidP="002B29D7">
      <w:pPr>
        <w:numPr>
          <w:ilvl w:val="0"/>
          <w:numId w:val="1"/>
        </w:num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السحوبات النقدية</w:t>
      </w:r>
      <w:r w:rsidRPr="00C82941">
        <w:rPr>
          <w:rFonts w:ascii="Times New Roman" w:eastAsia="Times New Roman" w:hAnsi="Times New Roman" w:cs="Times New Roman"/>
          <w:sz w:val="24"/>
          <w:szCs w:val="24"/>
        </w:rPr>
        <w:t>.</w:t>
      </w:r>
    </w:p>
    <w:p w:rsidR="00C82941" w:rsidRPr="00C82941" w:rsidRDefault="00C82941" w:rsidP="002B29D7">
      <w:pPr>
        <w:numPr>
          <w:ilvl w:val="0"/>
          <w:numId w:val="1"/>
        </w:num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الرسوم والعمولات</w:t>
      </w:r>
      <w:r w:rsidRPr="00C82941">
        <w:rPr>
          <w:rFonts w:ascii="Times New Roman" w:eastAsia="Times New Roman" w:hAnsi="Times New Roman" w:cs="Times New Roman"/>
          <w:sz w:val="24"/>
          <w:szCs w:val="24"/>
        </w:rPr>
        <w:t>.</w:t>
      </w:r>
    </w:p>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ويمثل نوع الحركة بالحقل التالي</w:t>
      </w:r>
      <w:r w:rsidRPr="00C82941">
        <w:rPr>
          <w:rFonts w:ascii="Times New Roman" w:eastAsia="Times New Roman" w:hAnsi="Times New Roman" w:cs="Times New Roman"/>
          <w:sz w:val="24"/>
          <w:szCs w:val="24"/>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C82941" w:rsidRPr="00C82941" w:rsidTr="002B29D7">
        <w:trPr>
          <w:tblHeade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اسم الحقل</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الوصف</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Order Side</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نوع الحركة (شراء، بيع، إيداع، سحب، قيد يومية، توزيعات، رسوم، وغيرها)</w:t>
            </w:r>
          </w:p>
        </w:tc>
      </w:tr>
    </w:tbl>
    <w:p w:rsidR="00C82941" w:rsidRPr="00C82941" w:rsidRDefault="00C82941" w:rsidP="002B29D7">
      <w:pPr>
        <w:bidi/>
        <w:spacing w:before="100" w:beforeAutospacing="1" w:after="100" w:afterAutospacing="1" w:line="240" w:lineRule="auto"/>
        <w:jc w:val="mediumKashida"/>
        <w:outlineLvl w:val="2"/>
        <w:rPr>
          <w:rFonts w:ascii="Times New Roman" w:eastAsia="Times New Roman" w:hAnsi="Times New Roman" w:cs="Times New Roman"/>
          <w:b/>
          <w:bCs/>
          <w:sz w:val="27"/>
          <w:szCs w:val="27"/>
        </w:rPr>
      </w:pPr>
      <w:r w:rsidRPr="00C82941">
        <w:rPr>
          <w:rFonts w:ascii="Times New Roman" w:eastAsia="Times New Roman" w:hAnsi="Times New Roman" w:cs="Times New Roman"/>
          <w:b/>
          <w:bCs/>
          <w:sz w:val="27"/>
          <w:szCs w:val="27"/>
          <w:rtl/>
        </w:rPr>
        <w:t>بيانات المستندات والحركات</w:t>
      </w:r>
    </w:p>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تحتوي كل حركة على مجموعة من البيانات الأساسية كما يلي</w:t>
      </w:r>
      <w:r w:rsidRPr="00C82941">
        <w:rPr>
          <w:rFonts w:ascii="Times New Roman" w:eastAsia="Times New Roman" w:hAnsi="Times New Roman" w:cs="Times New Roman"/>
          <w:sz w:val="24"/>
          <w:szCs w:val="24"/>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C82941" w:rsidRPr="00C82941" w:rsidTr="002B29D7">
        <w:trPr>
          <w:tblHeade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اسم الحقل</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الوصف</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مثال</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Doc. No</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رقم المستند أو الحركة</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رقم فريد لكل عملية</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Description</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وصف الحركة</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Starting Balance</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No of Shares</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عدد الأسهم المشتراة أو المباعة</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 xml:space="preserve">1,000 </w:t>
            </w:r>
            <w:r w:rsidRPr="00C82941">
              <w:rPr>
                <w:rFonts w:ascii="Times New Roman" w:eastAsia="Times New Roman" w:hAnsi="Times New Roman" w:cs="Times New Roman"/>
                <w:sz w:val="24"/>
                <w:szCs w:val="24"/>
                <w:rtl/>
              </w:rPr>
              <w:t>سهم</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Share Price</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سعر السهم المنفذ</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10.50</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Average Price</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متوسط سعر التكلفة شاملاً العمولات</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Pr>
              <w:t>10.60</w:t>
            </w:r>
          </w:p>
        </w:tc>
      </w:tr>
    </w:tbl>
    <w:p w:rsidR="00C82941" w:rsidRPr="00C82941" w:rsidRDefault="00C82941" w:rsidP="002B29D7">
      <w:pPr>
        <w:bidi/>
        <w:spacing w:before="100" w:beforeAutospacing="1" w:after="100" w:afterAutospacing="1" w:line="240" w:lineRule="auto"/>
        <w:jc w:val="mediumKashida"/>
        <w:outlineLvl w:val="2"/>
        <w:rPr>
          <w:rFonts w:ascii="Times New Roman" w:eastAsia="Times New Roman" w:hAnsi="Times New Roman" w:cs="Times New Roman"/>
          <w:b/>
          <w:bCs/>
          <w:sz w:val="27"/>
          <w:szCs w:val="27"/>
        </w:rPr>
      </w:pPr>
      <w:r w:rsidRPr="00C82941">
        <w:rPr>
          <w:rFonts w:ascii="Times New Roman" w:eastAsia="Times New Roman" w:hAnsi="Times New Roman" w:cs="Times New Roman"/>
          <w:b/>
          <w:bCs/>
          <w:sz w:val="27"/>
          <w:szCs w:val="27"/>
          <w:rtl/>
        </w:rPr>
        <w:t>الحقول المالية في كشف الحساب</w:t>
      </w:r>
    </w:p>
    <w:p w:rsidR="00C82941" w:rsidRPr="00C82941" w:rsidRDefault="00C82941" w:rsidP="002B29D7">
      <w:pPr>
        <w:bidi/>
        <w:spacing w:before="100" w:beforeAutospacing="1" w:after="100" w:afterAutospacing="1"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يعرض كشف الحساب القيم المالية لكل حركة من خلال الأعمدة التالية</w:t>
      </w:r>
      <w:r w:rsidRPr="00C82941">
        <w:rPr>
          <w:rFonts w:ascii="Times New Roman" w:eastAsia="Times New Roman" w:hAnsi="Times New Roman" w:cs="Times New Roman"/>
          <w:sz w:val="24"/>
          <w:szCs w:val="24"/>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C82941" w:rsidRPr="00C82941" w:rsidTr="002B29D7">
        <w:trPr>
          <w:tblHeade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اسم الحقل</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b/>
                <w:bCs/>
                <w:sz w:val="24"/>
                <w:szCs w:val="24"/>
              </w:rPr>
            </w:pPr>
            <w:r w:rsidRPr="00C82941">
              <w:rPr>
                <w:rFonts w:ascii="Times New Roman" w:eastAsia="Times New Roman" w:hAnsi="Times New Roman" w:cs="Times New Roman"/>
                <w:b/>
                <w:bCs/>
                <w:sz w:val="24"/>
                <w:szCs w:val="24"/>
                <w:rtl/>
              </w:rPr>
              <w:t>الوصف</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Debit</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المبلغ المدين (حركات الخصم)</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Credit</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المبلغ الدائن (حركات الإضافة)</w:t>
            </w:r>
          </w:p>
        </w:tc>
      </w:tr>
      <w:tr w:rsidR="00C82941" w:rsidRPr="00C82941" w:rsidTr="002B29D7">
        <w:trPr>
          <w:tblCellSpacing w:w="15" w:type="dxa"/>
          <w:jc w:val="right"/>
        </w:trPr>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b/>
                <w:bCs/>
                <w:sz w:val="24"/>
                <w:szCs w:val="24"/>
              </w:rPr>
              <w:t>Bal.</w:t>
            </w:r>
          </w:p>
        </w:tc>
        <w:tc>
          <w:tcPr>
            <w:tcW w:w="0" w:type="auto"/>
            <w:vAlign w:val="center"/>
            <w:hideMark/>
          </w:tcPr>
          <w:p w:rsidR="00C82941" w:rsidRPr="00C82941" w:rsidRDefault="00C82941" w:rsidP="002B29D7">
            <w:pPr>
              <w:bidi/>
              <w:spacing w:after="0" w:line="240" w:lineRule="auto"/>
              <w:jc w:val="mediumKashida"/>
              <w:rPr>
                <w:rFonts w:ascii="Times New Roman" w:eastAsia="Times New Roman" w:hAnsi="Times New Roman" w:cs="Times New Roman"/>
                <w:sz w:val="24"/>
                <w:szCs w:val="24"/>
              </w:rPr>
            </w:pPr>
            <w:r w:rsidRPr="00C82941">
              <w:rPr>
                <w:rFonts w:ascii="Times New Roman" w:eastAsia="Times New Roman" w:hAnsi="Times New Roman" w:cs="Times New Roman"/>
                <w:sz w:val="24"/>
                <w:szCs w:val="24"/>
                <w:rtl/>
              </w:rPr>
              <w:t>الرصيد النقدي بعد تنفيذ الحركة</w:t>
            </w:r>
          </w:p>
        </w:tc>
      </w:tr>
    </w:tbl>
    <w:p w:rsidR="00C82941" w:rsidRDefault="00C82941" w:rsidP="00C443FB">
      <w:pPr>
        <w:bidi/>
        <w:spacing w:before="100" w:beforeAutospacing="1" w:after="100" w:afterAutospacing="1" w:line="240" w:lineRule="auto"/>
        <w:rPr>
          <w:rFonts w:ascii="Times New Roman" w:eastAsia="Times New Roman" w:hAnsi="Times New Roman" w:cs="Times New Roman"/>
          <w:sz w:val="24"/>
          <w:szCs w:val="24"/>
          <w:rtl/>
        </w:rPr>
      </w:pPr>
      <w:r w:rsidRPr="00C82941">
        <w:rPr>
          <w:rFonts w:ascii="Times New Roman" w:eastAsia="Times New Roman" w:hAnsi="Times New Roman" w:cs="Times New Roman"/>
          <w:sz w:val="24"/>
          <w:szCs w:val="24"/>
          <w:rtl/>
        </w:rPr>
        <w:t>ويتم احتساب الرصيد الجاري للحساب بصورة تراكمية بعد كل حركة مالية، بما يعكس الوضع النقدي الفعلي للعميل في أي تاريخ محدد</w:t>
      </w:r>
      <w:r w:rsidRPr="00C82941">
        <w:rPr>
          <w:rFonts w:ascii="Times New Roman" w:eastAsia="Times New Roman" w:hAnsi="Times New Roman" w:cs="Times New Roman"/>
          <w:sz w:val="24"/>
          <w:szCs w:val="24"/>
        </w:rPr>
        <w:t>.</w:t>
      </w:r>
    </w:p>
    <w:p w:rsidR="00C443FB" w:rsidRDefault="00C443FB" w:rsidP="00C443FB">
      <w:pPr>
        <w:pStyle w:val="Heading3"/>
        <w:jc w:val="right"/>
      </w:pPr>
      <w:r>
        <w:rPr>
          <w:rtl/>
        </w:rPr>
        <w:t>شرح المصطلحات المستخدم</w:t>
      </w:r>
      <w:bookmarkStart w:id="0" w:name="_GoBack"/>
      <w:bookmarkEnd w:id="0"/>
      <w:r>
        <w:rPr>
          <w:rtl/>
        </w:rPr>
        <w:t>ة في كشف الحساب</w:t>
      </w:r>
    </w:p>
    <w:p w:rsidR="00C443FB" w:rsidRDefault="00C443FB" w:rsidP="00C443FB">
      <w:pPr>
        <w:pStyle w:val="NormalWeb"/>
        <w:jc w:val="right"/>
      </w:pPr>
      <w:r>
        <w:rPr>
          <w:rtl/>
        </w:rPr>
        <w:t>يحتوي كشف الحساب على عدد من أنواع الحركات المالية التي تؤثر على الرصيد النقدي للعميل، وفيما يلي توضيح لأهم المصطلحات المستخدمة</w:t>
      </w:r>
      <w: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C443FB" w:rsidTr="00C443FB">
        <w:trPr>
          <w:tblHeader/>
          <w:tblCellSpacing w:w="15" w:type="dxa"/>
          <w:jc w:val="right"/>
        </w:trPr>
        <w:tc>
          <w:tcPr>
            <w:tcW w:w="0" w:type="auto"/>
            <w:vAlign w:val="center"/>
            <w:hideMark/>
          </w:tcPr>
          <w:p w:rsidR="00C443FB" w:rsidRDefault="00C443FB" w:rsidP="00C443FB">
            <w:pPr>
              <w:jc w:val="right"/>
              <w:rPr>
                <w:b/>
                <w:bCs/>
              </w:rPr>
            </w:pPr>
            <w:r>
              <w:rPr>
                <w:b/>
                <w:bCs/>
                <w:rtl/>
              </w:rPr>
              <w:t>المصطلح</w:t>
            </w:r>
          </w:p>
        </w:tc>
        <w:tc>
          <w:tcPr>
            <w:tcW w:w="0" w:type="auto"/>
            <w:vAlign w:val="center"/>
            <w:hideMark/>
          </w:tcPr>
          <w:p w:rsidR="00C443FB" w:rsidRDefault="00C443FB" w:rsidP="00C443FB">
            <w:pPr>
              <w:jc w:val="right"/>
              <w:rPr>
                <w:b/>
                <w:bCs/>
              </w:rPr>
            </w:pPr>
            <w:r>
              <w:rPr>
                <w:b/>
                <w:bCs/>
                <w:rtl/>
              </w:rPr>
              <w:t>الوصف</w:t>
            </w:r>
          </w:p>
        </w:tc>
      </w:tr>
      <w:tr w:rsidR="00C443FB" w:rsidTr="00C443FB">
        <w:trPr>
          <w:tblCellSpacing w:w="15" w:type="dxa"/>
          <w:jc w:val="right"/>
        </w:trPr>
        <w:tc>
          <w:tcPr>
            <w:tcW w:w="0" w:type="auto"/>
            <w:vAlign w:val="center"/>
            <w:hideMark/>
          </w:tcPr>
          <w:p w:rsidR="00C443FB" w:rsidRDefault="00C443FB" w:rsidP="00C443FB">
            <w:pPr>
              <w:jc w:val="right"/>
            </w:pPr>
            <w:r>
              <w:rPr>
                <w:rStyle w:val="Strong"/>
              </w:rPr>
              <w:t>Transfer</w:t>
            </w:r>
          </w:p>
        </w:tc>
        <w:tc>
          <w:tcPr>
            <w:tcW w:w="0" w:type="auto"/>
            <w:vAlign w:val="center"/>
            <w:hideMark/>
          </w:tcPr>
          <w:p w:rsidR="00C443FB" w:rsidRDefault="00C443FB" w:rsidP="00C443FB">
            <w:pPr>
              <w:jc w:val="right"/>
            </w:pPr>
            <w:r>
              <w:rPr>
                <w:rtl/>
              </w:rPr>
              <w:t>حركة تحويل نقدية بين الحسابات، سواء كانت تحويل مبلغ من الحساب إلى حساب آخر أو استقبال مبلغ من حساب آخر. وتؤثر هذه الحركة على الرصيد النقدي للحساب بالزيادة أو النقصان وفقاً لاتجاه التحويل</w:t>
            </w:r>
            <w:r>
              <w:t>.</w:t>
            </w:r>
          </w:p>
        </w:tc>
      </w:tr>
      <w:tr w:rsidR="00C443FB" w:rsidTr="00C443FB">
        <w:trPr>
          <w:tblCellSpacing w:w="15" w:type="dxa"/>
          <w:jc w:val="right"/>
        </w:trPr>
        <w:tc>
          <w:tcPr>
            <w:tcW w:w="0" w:type="auto"/>
            <w:vAlign w:val="center"/>
            <w:hideMark/>
          </w:tcPr>
          <w:p w:rsidR="00C443FB" w:rsidRDefault="00C443FB" w:rsidP="00C443FB">
            <w:pPr>
              <w:jc w:val="right"/>
            </w:pPr>
            <w:r>
              <w:rPr>
                <w:rStyle w:val="Strong"/>
              </w:rPr>
              <w:t>Rebate Commission</w:t>
            </w:r>
          </w:p>
        </w:tc>
        <w:tc>
          <w:tcPr>
            <w:tcW w:w="0" w:type="auto"/>
            <w:vAlign w:val="center"/>
            <w:hideMark/>
          </w:tcPr>
          <w:p w:rsidR="00C443FB" w:rsidRDefault="00C443FB" w:rsidP="00C443FB">
            <w:pPr>
              <w:jc w:val="right"/>
            </w:pPr>
            <w:r>
              <w:rPr>
                <w:rtl/>
              </w:rPr>
              <w:t>العمولة المرتجعة للعميل، وهي مكافأة أو حافز تمنحه الشركة للعميل، وتمثل جزءاً من إجمالي عمولات البيع والشراء التي قام العميل بدفعها خلال فترة محددة (عادةً شهرياً)، وذلك نظير تحقيقه حجم تداول مرتفع وفقاً لسياسة الشركة. ويتم قيدها كحركة دائنة في كشف الحساب النقدي</w:t>
            </w:r>
            <w:r>
              <w:t>.</w:t>
            </w:r>
          </w:p>
        </w:tc>
      </w:tr>
      <w:tr w:rsidR="00C443FB" w:rsidTr="00C443FB">
        <w:trPr>
          <w:tblCellSpacing w:w="15" w:type="dxa"/>
          <w:jc w:val="right"/>
        </w:trPr>
        <w:tc>
          <w:tcPr>
            <w:tcW w:w="0" w:type="auto"/>
            <w:vAlign w:val="center"/>
            <w:hideMark/>
          </w:tcPr>
          <w:p w:rsidR="00C443FB" w:rsidRDefault="00C443FB" w:rsidP="00C443FB">
            <w:pPr>
              <w:jc w:val="right"/>
            </w:pPr>
            <w:r>
              <w:rPr>
                <w:rStyle w:val="Strong"/>
              </w:rPr>
              <w:t>Management Fee</w:t>
            </w:r>
          </w:p>
        </w:tc>
        <w:tc>
          <w:tcPr>
            <w:tcW w:w="0" w:type="auto"/>
            <w:vAlign w:val="center"/>
            <w:hideMark/>
          </w:tcPr>
          <w:p w:rsidR="00C443FB" w:rsidRDefault="00C443FB" w:rsidP="00C443FB">
            <w:pPr>
              <w:jc w:val="right"/>
            </w:pPr>
            <w:r>
              <w:rPr>
                <w:rtl/>
              </w:rPr>
              <w:t xml:space="preserve">الرسوم الإدارية التي يتم تحصيلها من العميل مقابل إدارة المحفظة الاستثمارية. ويتم احتساب هذه الرسوم بشكل دوري (شهرياً) وفقاً لما هو منصوص عليه في عقد إدارة المحفظة، وبما يتوافق مع </w:t>
            </w:r>
            <w:r>
              <w:rPr>
                <w:rStyle w:val="Strong"/>
                <w:rtl/>
              </w:rPr>
              <w:t>سياسات وإجراءات دائرة الاستثمار</w:t>
            </w:r>
            <w:r>
              <w:t xml:space="preserve">. </w:t>
            </w:r>
            <w:r>
              <w:rPr>
                <w:rtl/>
              </w:rPr>
              <w:t>وتُسجل كحركة مدينة في كشف الحساب النقدي</w:t>
            </w:r>
            <w:r>
              <w:t>.</w:t>
            </w:r>
          </w:p>
        </w:tc>
      </w:tr>
      <w:tr w:rsidR="00C443FB" w:rsidTr="00C443FB">
        <w:trPr>
          <w:tblCellSpacing w:w="15" w:type="dxa"/>
          <w:jc w:val="right"/>
        </w:trPr>
        <w:tc>
          <w:tcPr>
            <w:tcW w:w="0" w:type="auto"/>
            <w:vAlign w:val="center"/>
            <w:hideMark/>
          </w:tcPr>
          <w:p w:rsidR="00C443FB" w:rsidRDefault="00C443FB" w:rsidP="00C443FB">
            <w:pPr>
              <w:jc w:val="right"/>
            </w:pPr>
            <w:r>
              <w:rPr>
                <w:rStyle w:val="Strong"/>
              </w:rPr>
              <w:t>Performance Fee</w:t>
            </w:r>
          </w:p>
        </w:tc>
        <w:tc>
          <w:tcPr>
            <w:tcW w:w="0" w:type="auto"/>
            <w:vAlign w:val="center"/>
            <w:hideMark/>
          </w:tcPr>
          <w:p w:rsidR="00C443FB" w:rsidRDefault="00C443FB" w:rsidP="00C443FB">
            <w:pPr>
              <w:jc w:val="right"/>
            </w:pPr>
            <w:r>
              <w:rPr>
                <w:rtl/>
              </w:rPr>
              <w:t xml:space="preserve">رسوم الأداء التي يتم تحصيلها من العميل في حال تحقيق المحفظة الاستثمارية أداءً يتجاوز المعايير أو المستهدفات المحددة في عقد إدارة المحفظة. ويتم احتسابها وفقاً لآلية احتساب رسوم الأداء المعتمدة والمنصوص عليها في </w:t>
            </w:r>
            <w:r>
              <w:rPr>
                <w:rStyle w:val="Strong"/>
                <w:rtl/>
              </w:rPr>
              <w:t>سياسات وإجراءات دائرة الاستثمار</w:t>
            </w:r>
            <w:r>
              <w:rPr>
                <w:rtl/>
              </w:rPr>
              <w:t xml:space="preserve"> والعقد المبرم مع العميل، وتُسجل كحركة مدينة في كشف الحساب النقدي</w:t>
            </w:r>
            <w:r>
              <w:t>.</w:t>
            </w:r>
          </w:p>
        </w:tc>
      </w:tr>
    </w:tbl>
    <w:p w:rsidR="00C82941" w:rsidRPr="00C443FB" w:rsidRDefault="00C82941" w:rsidP="002B29D7">
      <w:pPr>
        <w:bidi/>
        <w:jc w:val="mediumKashida"/>
      </w:pPr>
    </w:p>
    <w:sectPr w:rsidR="00C82941" w:rsidRPr="00C44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6A1B8D"/>
    <w:multiLevelType w:val="multilevel"/>
    <w:tmpl w:val="4402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D39"/>
    <w:rsid w:val="001859F8"/>
    <w:rsid w:val="002B29D7"/>
    <w:rsid w:val="006C2782"/>
    <w:rsid w:val="009E6D39"/>
    <w:rsid w:val="00C443FB"/>
    <w:rsid w:val="00C829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0B72"/>
  <w15:chartTrackingRefBased/>
  <w15:docId w15:val="{B0AEDFEC-C441-4126-8817-254EC5B64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829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294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29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29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583881">
      <w:bodyDiv w:val="1"/>
      <w:marLeft w:val="0"/>
      <w:marRight w:val="0"/>
      <w:marTop w:val="0"/>
      <w:marBottom w:val="0"/>
      <w:divBdr>
        <w:top w:val="none" w:sz="0" w:space="0" w:color="auto"/>
        <w:left w:val="none" w:sz="0" w:space="0" w:color="auto"/>
        <w:bottom w:val="none" w:sz="0" w:space="0" w:color="auto"/>
        <w:right w:val="none" w:sz="0" w:space="0" w:color="auto"/>
      </w:divBdr>
    </w:div>
    <w:div w:id="427698298">
      <w:bodyDiv w:val="1"/>
      <w:marLeft w:val="0"/>
      <w:marRight w:val="0"/>
      <w:marTop w:val="0"/>
      <w:marBottom w:val="0"/>
      <w:divBdr>
        <w:top w:val="none" w:sz="0" w:space="0" w:color="auto"/>
        <w:left w:val="none" w:sz="0" w:space="0" w:color="auto"/>
        <w:bottom w:val="none" w:sz="0" w:space="0" w:color="auto"/>
        <w:right w:val="none" w:sz="0" w:space="0" w:color="auto"/>
      </w:divBdr>
    </w:div>
    <w:div w:id="480317460">
      <w:bodyDiv w:val="1"/>
      <w:marLeft w:val="0"/>
      <w:marRight w:val="0"/>
      <w:marTop w:val="0"/>
      <w:marBottom w:val="0"/>
      <w:divBdr>
        <w:top w:val="none" w:sz="0" w:space="0" w:color="auto"/>
        <w:left w:val="none" w:sz="0" w:space="0" w:color="auto"/>
        <w:bottom w:val="none" w:sz="0" w:space="0" w:color="auto"/>
        <w:right w:val="none" w:sz="0" w:space="0" w:color="auto"/>
      </w:divBdr>
    </w:div>
    <w:div w:id="69330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ElSayed Youness</dc:creator>
  <cp:keywords/>
  <dc:description/>
  <cp:lastModifiedBy>ElSayed Youness</cp:lastModifiedBy>
  <cp:revision>3</cp:revision>
  <dcterms:created xsi:type="dcterms:W3CDTF">2026-08-02T16:39:00Z</dcterms:created>
  <dcterms:modified xsi:type="dcterms:W3CDTF">2026-08-02T17:57:00Z</dcterms:modified>
</cp:coreProperties>
</file>