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Noto Sans" w:hAnsi="Noto Sans" w:eastAsia="Noto Sans"/>
          <w:b/>
          <w:color w:val="1D3557"/>
          <w:sz w:val="48"/>
        </w:rPr>
        <w:t>INTELLIGENT STUDENT</w:t>
        <w:br/>
        <w:t>ACADEMIC PROGRESS MONITORING</w:t>
        <w:br/>
        <w:t>&amp; EARLY RISK PREDICTION</w:t>
      </w:r>
    </w:p>
    <w:p>
      <w:pPr>
        <w:jc w:val="center"/>
      </w:pPr>
      <w:r>
        <w:rPr>
          <w:rFonts w:ascii="Noto Sans" w:hAnsi="Noto Sans" w:eastAsia="Noto Sans"/>
          <w:b/>
          <w:color w:val="3766E8"/>
          <w:sz w:val="24"/>
        </w:rPr>
        <w:t>Machine Learning Project — OULAD · Day-28 Early Warning</w:t>
      </w:r>
    </w:p>
    <w:p/>
    <w:p>
      <w:pPr>
        <w:jc w:val="center"/>
      </w:pPr>
      <w:r>
        <w:drawing>
          <wp:inline xmlns:a="http://schemas.openxmlformats.org/drawingml/2006/main" xmlns:pic="http://schemas.openxmlformats.org/drawingml/2006/picture">
            <wp:extent cx="6126480" cy="1799886"/>
            <wp:docPr id="1" name="Picture 1" descr="Project workflow diagram: OULAD data to Day-28 feature table, leakage-safe split, model selection, calibration and risk bands, then explanations and supportive actions." title="Student Risk Project Figure"/>
            <wp:cNvGraphicFramePr>
              <a:graphicFrameLocks noChangeAspect="1"/>
            </wp:cNvGraphicFramePr>
            <a:graphic>
              <a:graphicData uri="http://schemas.openxmlformats.org/drawingml/2006/picture">
                <pic:pic>
                  <pic:nvPicPr>
                    <pic:cNvPr id="0" name="workflow_diagram.png"/>
                    <pic:cNvPicPr/>
                  </pic:nvPicPr>
                  <pic:blipFill>
                    <a:blip r:embed="rId10"/>
                    <a:stretch>
                      <a:fillRect/>
                    </a:stretch>
                  </pic:blipFill>
                  <pic:spPr>
                    <a:xfrm>
                      <a:off x="0" y="0"/>
                      <a:ext cx="6126480" cy="1799886"/>
                    </a:xfrm>
                    <a:prstGeom prst="rect"/>
                  </pic:spPr>
                </pic:pic>
              </a:graphicData>
            </a:graphic>
          </wp:inline>
        </w:drawing>
      </w:r>
    </w:p>
    <w:p>
      <w:pPr>
        <w:jc w:val="center"/>
      </w:pPr>
      <w:r>
        <w:rPr>
          <w:rFonts w:ascii="Noto Sans" w:hAnsi="Noto Sans" w:eastAsia="Noto Sans"/>
          <w:b/>
          <w:color w:val="1F9D8A"/>
          <w:sz w:val="24"/>
        </w:rPr>
        <w:t>FINAL TECHNICAL REPORT</w:t>
      </w:r>
    </w:p>
    <w:p>
      <w:pPr>
        <w:jc w:val="center"/>
      </w:pPr>
      <w:r>
        <w:rPr>
          <w:rFonts w:ascii="Noto Sans" w:hAnsi="Noto Sans" w:eastAsia="Noto Sans"/>
          <w:color w:val="667085"/>
          <w:sz w:val="20"/>
        </w:rPr>
        <w:t>Prepared by: Project Team</w:t>
      </w:r>
    </w:p>
    <w:p>
      <w:pPr>
        <w:jc w:val="center"/>
      </w:pPr>
      <w:r>
        <w:rPr>
          <w:rFonts w:ascii="Noto Sans" w:hAnsi="Noto Sans" w:eastAsia="Noto Sans"/>
          <w:color w:val="667085"/>
          <w:sz w:val="18"/>
        </w:rPr>
        <w:t>September 2026</w:t>
      </w:r>
    </w:p>
    <w:p>
      <w:r>
        <w:br w:type="page"/>
      </w:r>
    </w:p>
    <w:p>
      <w:pPr>
        <w:pStyle w:val="Heading1"/>
      </w:pPr>
      <w:r>
        <w:rPr>
          <w:rFonts w:ascii="Noto Sans" w:hAnsi="Noto Sans" w:eastAsia="Noto Sans"/>
          <w:b/>
          <w:color w:val="1D3557"/>
          <w:sz w:val="36"/>
        </w:rPr>
        <w:t>Executive Summary</w:t>
      </w:r>
    </w:p>
    <w:p>
      <w:pPr>
        <w:spacing w:after="100" w:line="269" w:lineRule="auto"/>
      </w:pPr>
      <w:r>
        <w:rPr>
          <w:rFonts w:ascii="Noto Sans" w:hAnsi="Noto Sans" w:eastAsia="Noto Sans"/>
          <w:sz w:val="21"/>
        </w:rPr>
        <w:t>This project builds a leakage-aware early-warning system that estimates whether a student who is still active at Day 28 will later finish as Fail/Withdrawn (At Risk) or Pass/Distinction (Not At Risk). The system combines four weeks of learning-platform engagement, early assessment behavior, course context, and background variables, then produces a calibrated risk probability, a relative risk band, explainability outputs, and support-oriented recommendations.</w:t>
      </w:r>
    </w:p>
    <w:p>
      <w:pPr>
        <w:spacing w:after="100" w:line="269" w:lineRule="auto"/>
      </w:pPr>
      <w:r>
        <w:rPr>
          <w:rFonts w:ascii="Noto Sans" w:hAnsi="Noto Sans" w:eastAsia="Noto Sans"/>
          <w:sz w:val="21"/>
        </w:rPr>
        <w:t>The engineered dataset contains 27,515 enrollment rows from 24,826 unique students. A persisted student-group-aware split isolates 22,011 development rows from a 5,504-row locked evaluation holdout with zero student overlap. Logistic Regression was selected by 5-fold StratifiedGroupKFold cross-validation over Linear SVM and Random Forest.</w:t>
      </w:r>
    </w:p>
    <w:tbl>
      <w:tblPr>
        <w:tblW w:type="auto" w:w="0"/>
        <w:jc w:val="center"/>
        <w:tblLayout w:type="autofit"/>
        <w:tblLook w:firstColumn="1" w:firstRow="1" w:lastColumn="0" w:lastRow="0" w:noHBand="0" w:noVBand="1" w:val="04A0"/>
      </w:tblPr>
      <w:tblGrid>
        <w:gridCol w:w="10166"/>
      </w:tblGrid>
      <w:tr>
        <w:trPr>
          <w:tblHeader w:val="true"/>
        </w:trPr>
        <w:tc>
          <w:tcPr>
            <w:tcW w:type="dxa" w:w="10166"/>
            <w:shd w:fill="F7F9FC"/>
            <w:tcMar>
              <w:top w:w="120" w:type="dxa"/>
              <w:start w:w="140" w:type="dxa"/>
              <w:bottom w:w="120" w:type="dxa"/>
              <w:end w:w="140" w:type="dxa"/>
            </w:tcMar>
          </w:tcPr>
          <w:p>
            <w:r>
              <w:rPr>
                <w:rFonts w:ascii="Noto Sans" w:hAnsi="Noto Sans" w:eastAsia="Noto Sans"/>
                <w:b/>
                <w:color w:val="1F9D8A"/>
                <w:sz w:val="20"/>
              </w:rPr>
              <w:t xml:space="preserve">Final operating point  </w:t>
            </w:r>
            <w:r>
              <w:rPr>
                <w:rFonts w:ascii="Noto Sans" w:hAnsi="Noto Sans" w:eastAsia="Noto Sans"/>
                <w:color w:val="172033"/>
                <w:sz w:val="19"/>
              </w:rPr>
              <w:t>Recall 83.2% · F1 70.1% · ROC-AUC 0.798 · PR-AUC 0.777. The recall-focused threshold intentionally catches more genuinely at-risk students at the cost of more false-positive support alerts.</w:t>
            </w:r>
          </w:p>
        </w:tc>
      </w:tr>
    </w:tbl>
    <w:p>
      <w:pPr>
        <w:spacing w:after="0"/>
      </w:pPr>
    </w:p>
    <w:p>
      <w:pPr>
        <w:pStyle w:val="Heading2"/>
      </w:pPr>
      <w:r>
        <w:rPr>
          <w:rFonts w:ascii="Noto Sans" w:hAnsi="Noto Sans" w:eastAsia="Noto Sans"/>
          <w:b/>
          <w:color w:val="1D3557"/>
          <w:sz w:val="28"/>
        </w:rPr>
        <w:t>Project Deliverables</w:t>
      </w:r>
    </w:p>
    <w:p>
      <w:pPr>
        <w:pStyle w:val="ListBullet"/>
        <w:spacing w:after="60"/>
      </w:pPr>
      <w:r>
        <w:rPr>
          <w:rFonts w:ascii="Noto Sans" w:hAnsi="Noto Sans" w:eastAsia="Noto Sans"/>
          <w:sz w:val="20"/>
        </w:rPr>
        <w:t>Reproducible Day-28 feature engineering from the seven linked OULAD tables.</w:t>
      </w:r>
    </w:p>
    <w:p>
      <w:pPr>
        <w:pStyle w:val="ListBullet"/>
        <w:spacing w:after="60"/>
      </w:pPr>
      <w:r>
        <w:rPr>
          <w:rFonts w:ascii="Noto Sans" w:hAnsi="Noto Sans" w:eastAsia="Noto Sans"/>
          <w:sz w:val="20"/>
        </w:rPr>
        <w:t>Full EDA with target-facing analysis restricted to the development split.</w:t>
      </w:r>
    </w:p>
    <w:p>
      <w:pPr>
        <w:pStyle w:val="ListBullet"/>
        <w:spacing w:after="60"/>
      </w:pPr>
      <w:r>
        <w:rPr>
          <w:rFonts w:ascii="Noto Sans" w:hAnsi="Noto Sans" w:eastAsia="Noto Sans"/>
          <w:sz w:val="20"/>
        </w:rPr>
        <w:t>Leakage-safe preprocessing pipelines: imputation, one-hot encoding, and model-appropriate scaling.</w:t>
      </w:r>
    </w:p>
    <w:p>
      <w:pPr>
        <w:pStyle w:val="ListBullet"/>
        <w:spacing w:after="60"/>
      </w:pPr>
      <w:r>
        <w:rPr>
          <w:rFonts w:ascii="Noto Sans" w:hAnsi="Noto Sans" w:eastAsia="Noto Sans"/>
          <w:sz w:val="20"/>
        </w:rPr>
        <w:t>Baseline models, 5-fold student-group-aware cross-validation, hyperparameter tuning, and documented model selection.</w:t>
      </w:r>
    </w:p>
    <w:p>
      <w:pPr>
        <w:pStyle w:val="ListBullet"/>
        <w:spacing w:after="60"/>
      </w:pPr>
      <w:r>
        <w:rPr>
          <w:rFonts w:ascii="Noto Sans" w:hAnsi="Noto Sans" w:eastAsia="Noto Sans"/>
          <w:sz w:val="20"/>
        </w:rPr>
        <w:t>Probability calibration, Low/Medium/High modeled risk bands, error analysis, and support/fairness audit.</w:t>
      </w:r>
    </w:p>
    <w:p>
      <w:pPr>
        <w:pStyle w:val="ListBullet"/>
        <w:spacing w:after="60"/>
      </w:pPr>
      <w:r>
        <w:rPr>
          <w:rFonts w:ascii="Noto Sans" w:hAnsi="Noto Sans" w:eastAsia="Noto Sans"/>
          <w:sz w:val="20"/>
        </w:rPr>
        <w:t>Global and local SHAP explainability plus Logistic Regression coefficient diagnostics.</w:t>
      </w:r>
    </w:p>
    <w:p>
      <w:pPr>
        <w:pStyle w:val="ListBullet"/>
        <w:spacing w:after="60"/>
      </w:pPr>
      <w:r>
        <w:rPr>
          <w:rFonts w:ascii="Noto Sans" w:hAnsi="Noto Sans" w:eastAsia="Noto Sans"/>
          <w:sz w:val="20"/>
        </w:rPr>
        <w:t>Rule-based recommendation engine using actionable academic and engagement signals only.</w:t>
      </w:r>
    </w:p>
    <w:p>
      <w:pPr>
        <w:pStyle w:val="ListBullet"/>
        <w:spacing w:after="60"/>
      </w:pPr>
      <w:r>
        <w:rPr>
          <w:rFonts w:ascii="Noto Sans" w:hAnsi="Noto Sans" w:eastAsia="Noto Sans"/>
          <w:sz w:val="20"/>
        </w:rPr>
        <w:t>Saved inference bundle, CLI predictor, reproducibility validator, and a modern local web dashboard.</w:t>
      </w:r>
    </w:p>
    <w:p>
      <w:r>
        <w:br w:type="page"/>
      </w:r>
    </w:p>
    <w:p>
      <w:pPr>
        <w:pStyle w:val="Heading1"/>
      </w:pPr>
      <w:r>
        <w:rPr>
          <w:rFonts w:ascii="Noto Sans" w:hAnsi="Noto Sans" w:eastAsia="Noto Sans"/>
          <w:b/>
          <w:color w:val="1D3557"/>
          <w:sz w:val="36"/>
        </w:rPr>
        <w:t>Contents</w:t>
      </w:r>
    </w:p>
    <w:p>
      <w:pPr>
        <w:tabs>
          <w:tab w:pos="9000" w:val="right" w:leader="dot"/>
        </w:tabs>
        <w:spacing w:after="40"/>
      </w:pPr>
      <w:r>
        <w:t>1. Problem Definition</w:t>
        <w:tab/>
        <w:t>4</w:t>
      </w:r>
    </w:p>
    <w:p>
      <w:pPr>
        <w:tabs>
          <w:tab w:pos="9000" w:val="right" w:leader="dot"/>
        </w:tabs>
        <w:spacing w:after="40"/>
      </w:pPr>
      <w:r>
        <w:t>2. Dataset and Cohort Construction</w:t>
        <w:tab/>
        <w:t>4</w:t>
      </w:r>
    </w:p>
    <w:p>
      <w:pPr>
        <w:tabs>
          <w:tab w:pos="9000" w:val="right" w:leader="dot"/>
        </w:tabs>
        <w:spacing w:after="40"/>
      </w:pPr>
      <w:r>
        <w:t>3. Experimental Design and Leakage Prevention</w:t>
        <w:tab/>
        <w:t>5</w:t>
      </w:r>
    </w:p>
    <w:p>
      <w:pPr>
        <w:tabs>
          <w:tab w:pos="9000" w:val="right" w:leader="dot"/>
        </w:tabs>
        <w:spacing w:after="40"/>
      </w:pPr>
      <w:r>
        <w:t>4. Exploratory Data Analysis</w:t>
        <w:tab/>
        <w:t>5</w:t>
      </w:r>
    </w:p>
    <w:p>
      <w:pPr>
        <w:tabs>
          <w:tab w:pos="9000" w:val="right" w:leader="dot"/>
        </w:tabs>
        <w:spacing w:after="40"/>
      </w:pPr>
      <w:r>
        <w:t>5. Feature Engineering</w:t>
        <w:tab/>
        <w:t>7</w:t>
      </w:r>
    </w:p>
    <w:p>
      <w:pPr>
        <w:tabs>
          <w:tab w:pos="9000" w:val="right" w:leader="dot"/>
        </w:tabs>
        <w:spacing w:after="40"/>
      </w:pPr>
      <w:r>
        <w:t>6. Preprocessing</w:t>
        <w:tab/>
        <w:t>7</w:t>
      </w:r>
    </w:p>
    <w:p>
      <w:pPr>
        <w:tabs>
          <w:tab w:pos="9000" w:val="right" w:leader="dot"/>
        </w:tabs>
        <w:spacing w:after="40"/>
      </w:pPr>
      <w:r>
        <w:t>7. Candidate Models and Validation</w:t>
        <w:tab/>
        <w:t>7</w:t>
      </w:r>
    </w:p>
    <w:p>
      <w:pPr>
        <w:tabs>
          <w:tab w:pos="9000" w:val="right" w:leader="dot"/>
        </w:tabs>
        <w:spacing w:after="40"/>
      </w:pPr>
      <w:r>
        <w:t>8. Hyperparameter Tuning and Model Selection</w:t>
        <w:tab/>
        <w:t>8</w:t>
      </w:r>
    </w:p>
    <w:p>
      <w:pPr>
        <w:tabs>
          <w:tab w:pos="9000" w:val="right" w:leader="dot"/>
        </w:tabs>
        <w:spacing w:after="40"/>
      </w:pPr>
      <w:r>
        <w:t>9. Calibration and Risk Bands</w:t>
        <w:tab/>
        <w:t>8</w:t>
      </w:r>
    </w:p>
    <w:p>
      <w:pPr>
        <w:tabs>
          <w:tab w:pos="9000" w:val="right" w:leader="dot"/>
        </w:tabs>
        <w:spacing w:after="40"/>
      </w:pPr>
      <w:r>
        <w:t>10. Final Evaluation</w:t>
        <w:tab/>
        <w:t>9</w:t>
      </w:r>
    </w:p>
    <w:p>
      <w:pPr>
        <w:tabs>
          <w:tab w:pos="9000" w:val="right" w:leader="dot"/>
        </w:tabs>
        <w:spacing w:after="40"/>
      </w:pPr>
      <w:r>
        <w:t>11. Explainability</w:t>
        <w:tab/>
        <w:t>11</w:t>
      </w:r>
    </w:p>
    <w:p>
      <w:pPr>
        <w:tabs>
          <w:tab w:pos="9000" w:val="right" w:leader="dot"/>
        </w:tabs>
        <w:spacing w:after="40"/>
      </w:pPr>
      <w:r>
        <w:t>12. Recommendation Engine</w:t>
        <w:tab/>
        <w:t>12</w:t>
      </w:r>
    </w:p>
    <w:p>
      <w:pPr>
        <w:tabs>
          <w:tab w:pos="9000" w:val="right" w:leader="dot"/>
        </w:tabs>
        <w:spacing w:after="40"/>
      </w:pPr>
      <w:r>
        <w:t>13. Fairness and Sensitive-Feature Audit</w:t>
        <w:tab/>
        <w:t>12</w:t>
      </w:r>
    </w:p>
    <w:p>
      <w:pPr>
        <w:tabs>
          <w:tab w:pos="9000" w:val="right" w:leader="dot"/>
        </w:tabs>
        <w:spacing w:after="40"/>
      </w:pPr>
      <w:r>
        <w:t>14. Deep-Learning Extension</w:t>
        <w:tab/>
        <w:t>13</w:t>
      </w:r>
    </w:p>
    <w:p>
      <w:pPr>
        <w:tabs>
          <w:tab w:pos="9000" w:val="right" w:leader="dot"/>
        </w:tabs>
        <w:spacing w:after="40"/>
      </w:pPr>
      <w:r>
        <w:t>15. Progress Monitoring and Demo Dashboard</w:t>
        <w:tab/>
        <w:t>14</w:t>
      </w:r>
    </w:p>
    <w:p>
      <w:pPr>
        <w:tabs>
          <w:tab w:pos="9000" w:val="right" w:leader="dot"/>
        </w:tabs>
        <w:spacing w:after="40"/>
      </w:pPr>
      <w:r>
        <w:t>16. Reproducibility and Deployment</w:t>
        <w:tab/>
        <w:t>14</w:t>
      </w:r>
    </w:p>
    <w:p>
      <w:pPr>
        <w:tabs>
          <w:tab w:pos="9000" w:val="right" w:leader="dot"/>
        </w:tabs>
        <w:spacing w:after="40"/>
      </w:pPr>
      <w:r>
        <w:t>17. Limitations and Responsible Use</w:t>
        <w:tab/>
        <w:t>15</w:t>
      </w:r>
    </w:p>
    <w:p>
      <w:pPr>
        <w:tabs>
          <w:tab w:pos="9000" w:val="right" w:leader="dot"/>
        </w:tabs>
        <w:spacing w:after="40"/>
      </w:pPr>
      <w:r>
        <w:t>18. Conclusion</w:t>
        <w:tab/>
        <w:t>15</w:t>
      </w:r>
    </w:p>
    <w:p>
      <w:pPr>
        <w:tabs>
          <w:tab w:pos="9000" w:val="right" w:leader="dot"/>
        </w:tabs>
        <w:spacing w:after="40"/>
      </w:pPr>
      <w:r>
        <w:t>References</w:t>
        <w:tab/>
        <w:t>15</w:t>
      </w:r>
    </w:p>
    <w:p>
      <w:pPr>
        <w:tabs>
          <w:tab w:pos="9000" w:val="right" w:leader="dot"/>
        </w:tabs>
        <w:spacing w:after="40"/>
      </w:pPr>
      <w:r>
        <w:t>Appendix A — Reproduction Commands</w:t>
        <w:tab/>
        <w:t>16</w:t>
      </w:r>
    </w:p>
    <w:p>
      <w:pPr>
        <w:tabs>
          <w:tab w:pos="9000" w:val="right" w:leader="dot"/>
        </w:tabs>
        <w:spacing w:after="40"/>
      </w:pPr>
      <w:r>
        <w:t>Appendix B — Viva-Ready Key Points</w:t>
        <w:tab/>
        <w:t>16</w:t>
      </w:r>
    </w:p>
    <w:p>
      <w:r>
        <w:br w:type="page"/>
      </w:r>
    </w:p>
    <w:p>
      <w:pPr>
        <w:pStyle w:val="Heading1"/>
        <w:tabs>
          <w:tab w:pos="9000" w:val="right" w:leader="dot"/>
        </w:tabs>
        <w:spacing w:after="40"/>
      </w:pPr>
      <w:r>
        <w:t>1. Problem Definition</w:t>
      </w:r>
    </w:p>
    <w:p>
      <w:pPr>
        <w:spacing w:after="100" w:line="269" w:lineRule="auto"/>
      </w:pPr>
      <w:r>
        <w:rPr>
          <w:rFonts w:ascii="Noto Sans" w:hAnsi="Noto Sans" w:eastAsia="Noto Sans"/>
          <w:sz w:val="21"/>
        </w:rPr>
        <w:t>Educational early-warning systems are most useful when they identify risk before the final outcome is already known. This project therefore defines a fixed prediction point at Day 28 and restricts predictive behavior and assessment information to the period from Day 0 through Day 28.</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D3557"/>
            <w:vAlign w:val="center"/>
            <w:tcMar>
              <w:top w:w="80" w:type="dxa"/>
              <w:start w:w="100" w:type="dxa"/>
              <w:bottom w:w="80" w:type="dxa"/>
              <w:end w:w="100" w:type="dxa"/>
            </w:tcMar>
          </w:tcPr>
          <w:p>
            <w:r>
              <w:rPr>
                <w:rFonts w:ascii="Noto Sans" w:hAnsi="Noto Sans" w:eastAsia="Noto Sans"/>
                <w:b/>
                <w:color w:val="FFFFFF"/>
                <w:sz w:val="18"/>
              </w:rPr>
              <w:t>Element</w:t>
            </w:r>
          </w:p>
        </w:tc>
        <w:tc>
          <w:tcPr>
            <w:tcW w:type="dxa" w:w="5083"/>
            <w:shd w:fill="1D3557"/>
            <w:vAlign w:val="center"/>
            <w:tcMar>
              <w:top w:w="80" w:type="dxa"/>
              <w:start w:w="100" w:type="dxa"/>
              <w:bottom w:w="80" w:type="dxa"/>
              <w:end w:w="100" w:type="dxa"/>
            </w:tcMar>
          </w:tcPr>
          <w:p>
            <w:r>
              <w:rPr>
                <w:rFonts w:ascii="Noto Sans" w:hAnsi="Noto Sans" w:eastAsia="Noto Sans"/>
                <w:b/>
                <w:color w:val="FFFFFF"/>
                <w:sz w:val="18"/>
              </w:rPr>
              <w:t>Definition</w:t>
            </w:r>
          </w:p>
        </w:tc>
      </w:tr>
      <w:tr>
        <w:tc>
          <w:tcPr>
            <w:tcW w:type="dxa" w:w="5083"/>
            <w:tcMar>
              <w:top w:w="80" w:type="dxa"/>
              <w:start w:w="100" w:type="dxa"/>
              <w:bottom w:w="80" w:type="dxa"/>
              <w:end w:w="100" w:type="dxa"/>
            </w:tcMar>
          </w:tcPr>
          <w:p>
            <w:r>
              <w:rPr>
                <w:rFonts w:ascii="Noto Sans" w:hAnsi="Noto Sans" w:eastAsia="Noto Sans"/>
                <w:sz w:val="17"/>
              </w:rPr>
              <w:t>Prediction task</w:t>
            </w:r>
          </w:p>
        </w:tc>
        <w:tc>
          <w:tcPr>
            <w:tcW w:type="dxa" w:w="5083"/>
            <w:tcMar>
              <w:top w:w="80" w:type="dxa"/>
              <w:start w:w="100" w:type="dxa"/>
              <w:bottom w:w="80" w:type="dxa"/>
              <w:end w:w="100" w:type="dxa"/>
            </w:tcMar>
          </w:tcPr>
          <w:p>
            <w:r>
              <w:rPr>
                <w:rFonts w:ascii="Noto Sans" w:hAnsi="Noto Sans" w:eastAsia="Noto Sans"/>
                <w:sz w:val="17"/>
              </w:rPr>
              <w:t>Binary classification</w:t>
            </w:r>
          </w:p>
        </w:tc>
      </w:tr>
      <w:tr>
        <w:tc>
          <w:tcPr>
            <w:tcW w:type="dxa" w:w="5083"/>
            <w:tcMar>
              <w:top w:w="80" w:type="dxa"/>
              <w:start w:w="100" w:type="dxa"/>
              <w:bottom w:w="80" w:type="dxa"/>
              <w:end w:w="100" w:type="dxa"/>
            </w:tcMar>
            <w:shd w:fill="F8FAFC"/>
          </w:tcPr>
          <w:p>
            <w:r>
              <w:rPr>
                <w:rFonts w:ascii="Noto Sans" w:hAnsi="Noto Sans" w:eastAsia="Noto Sans"/>
                <w:sz w:val="17"/>
              </w:rPr>
              <w:t>Prediction point</w:t>
            </w:r>
          </w:p>
        </w:tc>
        <w:tc>
          <w:tcPr>
            <w:tcW w:type="dxa" w:w="5083"/>
            <w:tcMar>
              <w:top w:w="80" w:type="dxa"/>
              <w:start w:w="100" w:type="dxa"/>
              <w:bottom w:w="80" w:type="dxa"/>
              <w:end w:w="100" w:type="dxa"/>
            </w:tcMar>
            <w:shd w:fill="F8FAFC"/>
          </w:tcPr>
          <w:p>
            <w:r>
              <w:rPr>
                <w:rFonts w:ascii="Noto Sans" w:hAnsi="Noto Sans" w:eastAsia="Noto Sans"/>
                <w:sz w:val="17"/>
              </w:rPr>
              <w:t>Day 28</w:t>
            </w:r>
          </w:p>
        </w:tc>
      </w:tr>
      <w:tr>
        <w:tc>
          <w:tcPr>
            <w:tcW w:type="dxa" w:w="5083"/>
            <w:tcMar>
              <w:top w:w="80" w:type="dxa"/>
              <w:start w:w="100" w:type="dxa"/>
              <w:bottom w:w="80" w:type="dxa"/>
              <w:end w:w="100" w:type="dxa"/>
            </w:tcMar>
          </w:tcPr>
          <w:p>
            <w:r>
              <w:rPr>
                <w:rFonts w:ascii="Noto Sans" w:hAnsi="Noto Sans" w:eastAsia="Noto Sans"/>
                <w:sz w:val="17"/>
              </w:rPr>
              <w:t>Observation window</w:t>
            </w:r>
          </w:p>
        </w:tc>
        <w:tc>
          <w:tcPr>
            <w:tcW w:type="dxa" w:w="5083"/>
            <w:tcMar>
              <w:top w:w="80" w:type="dxa"/>
              <w:start w:w="100" w:type="dxa"/>
              <w:bottom w:w="80" w:type="dxa"/>
              <w:end w:w="100" w:type="dxa"/>
            </w:tcMar>
          </w:tcPr>
          <w:p>
            <w:r>
              <w:rPr>
                <w:rFonts w:ascii="Noto Sans" w:hAnsi="Noto Sans" w:eastAsia="Noto Sans"/>
                <w:sz w:val="17"/>
              </w:rPr>
              <w:t>Day 0 through Day 28</w:t>
            </w:r>
          </w:p>
        </w:tc>
      </w:tr>
      <w:tr>
        <w:tc>
          <w:tcPr>
            <w:tcW w:type="dxa" w:w="5083"/>
            <w:tcMar>
              <w:top w:w="80" w:type="dxa"/>
              <w:start w:w="100" w:type="dxa"/>
              <w:bottom w:w="80" w:type="dxa"/>
              <w:end w:w="100" w:type="dxa"/>
            </w:tcMar>
            <w:shd w:fill="F8FAFC"/>
          </w:tcPr>
          <w:p>
            <w:r>
              <w:rPr>
                <w:rFonts w:ascii="Noto Sans" w:hAnsi="Noto Sans" w:eastAsia="Noto Sans"/>
                <w:sz w:val="17"/>
              </w:rPr>
              <w:t>At Risk (1)</w:t>
            </w:r>
          </w:p>
        </w:tc>
        <w:tc>
          <w:tcPr>
            <w:tcW w:type="dxa" w:w="5083"/>
            <w:tcMar>
              <w:top w:w="80" w:type="dxa"/>
              <w:start w:w="100" w:type="dxa"/>
              <w:bottom w:w="80" w:type="dxa"/>
              <w:end w:w="100" w:type="dxa"/>
            </w:tcMar>
            <w:shd w:fill="F8FAFC"/>
          </w:tcPr>
          <w:p>
            <w:r>
              <w:rPr>
                <w:rFonts w:ascii="Noto Sans" w:hAnsi="Noto Sans" w:eastAsia="Noto Sans"/>
                <w:sz w:val="17"/>
              </w:rPr>
              <w:t>Later final outcome = Fail or Withdrawn</w:t>
            </w:r>
          </w:p>
        </w:tc>
      </w:tr>
      <w:tr>
        <w:tc>
          <w:tcPr>
            <w:tcW w:type="dxa" w:w="5083"/>
            <w:tcMar>
              <w:top w:w="80" w:type="dxa"/>
              <w:start w:w="100" w:type="dxa"/>
              <w:bottom w:w="80" w:type="dxa"/>
              <w:end w:w="100" w:type="dxa"/>
            </w:tcMar>
          </w:tcPr>
          <w:p>
            <w:r>
              <w:rPr>
                <w:rFonts w:ascii="Noto Sans" w:hAnsi="Noto Sans" w:eastAsia="Noto Sans"/>
                <w:sz w:val="17"/>
              </w:rPr>
              <w:t>Not At Risk (0)</w:t>
            </w:r>
          </w:p>
        </w:tc>
        <w:tc>
          <w:tcPr>
            <w:tcW w:type="dxa" w:w="5083"/>
            <w:tcMar>
              <w:top w:w="80" w:type="dxa"/>
              <w:start w:w="100" w:type="dxa"/>
              <w:bottom w:w="80" w:type="dxa"/>
              <w:end w:w="100" w:type="dxa"/>
            </w:tcMar>
          </w:tcPr>
          <w:p>
            <w:r>
              <w:rPr>
                <w:rFonts w:ascii="Noto Sans" w:hAnsi="Noto Sans" w:eastAsia="Noto Sans"/>
                <w:sz w:val="17"/>
              </w:rPr>
              <w:t>Later final outcome = Pass or Distinction</w:t>
            </w:r>
          </w:p>
        </w:tc>
      </w:tr>
      <w:tr>
        <w:tc>
          <w:tcPr>
            <w:tcW w:type="dxa" w:w="5083"/>
            <w:tcMar>
              <w:top w:w="80" w:type="dxa"/>
              <w:start w:w="100" w:type="dxa"/>
              <w:bottom w:w="80" w:type="dxa"/>
              <w:end w:w="100" w:type="dxa"/>
            </w:tcMar>
            <w:shd w:fill="F8FAFC"/>
          </w:tcPr>
          <w:p>
            <w:r>
              <w:rPr>
                <w:rFonts w:ascii="Noto Sans" w:hAnsi="Noto Sans" w:eastAsia="Noto Sans"/>
                <w:sz w:val="17"/>
              </w:rPr>
              <w:t>Eligible population</w:t>
            </w:r>
          </w:p>
        </w:tc>
        <w:tc>
          <w:tcPr>
            <w:tcW w:type="dxa" w:w="5083"/>
            <w:tcMar>
              <w:top w:w="80" w:type="dxa"/>
              <w:start w:w="100" w:type="dxa"/>
              <w:bottom w:w="80" w:type="dxa"/>
              <w:end w:w="100" w:type="dxa"/>
            </w:tcMar>
            <w:shd w:fill="F8FAFC"/>
          </w:tcPr>
          <w:p>
            <w:r>
              <w:rPr>
                <w:rFonts w:ascii="Noto Sans" w:hAnsi="Noto Sans" w:eastAsia="Noto Sans"/>
                <w:sz w:val="17"/>
              </w:rPr>
              <w:t>Students registered by Day 28 and still active at Day 28</w:t>
            </w:r>
          </w:p>
        </w:tc>
      </w:tr>
      <w:tr>
        <w:tc>
          <w:tcPr>
            <w:tcW w:type="dxa" w:w="5083"/>
            <w:tcMar>
              <w:top w:w="80" w:type="dxa"/>
              <w:start w:w="100" w:type="dxa"/>
              <w:bottom w:w="80" w:type="dxa"/>
              <w:end w:w="100" w:type="dxa"/>
            </w:tcMar>
          </w:tcPr>
          <w:p>
            <w:r>
              <w:rPr>
                <w:rFonts w:ascii="Noto Sans" w:hAnsi="Noto Sans" w:eastAsia="Noto Sans"/>
                <w:sz w:val="17"/>
              </w:rPr>
              <w:t>Intended action</w:t>
            </w:r>
          </w:p>
        </w:tc>
        <w:tc>
          <w:tcPr>
            <w:tcW w:type="dxa" w:w="5083"/>
            <w:tcMar>
              <w:top w:w="80" w:type="dxa"/>
              <w:start w:w="100" w:type="dxa"/>
              <w:bottom w:w="80" w:type="dxa"/>
              <w:end w:w="100" w:type="dxa"/>
            </w:tcMar>
          </w:tcPr>
          <w:p>
            <w:r>
              <w:rPr>
                <w:rFonts w:ascii="Noto Sans" w:hAnsi="Noto Sans" w:eastAsia="Noto Sans"/>
                <w:sz w:val="17"/>
              </w:rPr>
              <w:t>Supportive outreach and academic assistance, with human review</w:t>
            </w:r>
          </w:p>
        </w:tc>
      </w:tr>
    </w:tbl>
    <w:tbl>
      <w:tblPr>
        <w:tblW w:type="auto" w:w="0"/>
        <w:jc w:val="center"/>
        <w:tblLayout w:type="autofit"/>
        <w:tblLook w:firstColumn="1" w:firstRow="1" w:lastColumn="0" w:lastRow="0" w:noHBand="0" w:noVBand="1" w:val="04A0"/>
      </w:tblPr>
      <w:tblGrid>
        <w:gridCol w:w="10166"/>
      </w:tblGrid>
      <w:tr>
        <w:trPr>
          <w:tblHeader w:val="true"/>
        </w:trPr>
        <w:tc>
          <w:tcPr>
            <w:tcW w:type="dxa" w:w="10166"/>
            <w:shd w:fill="F7F9FC"/>
            <w:tcMar>
              <w:top w:w="120" w:type="dxa"/>
              <w:start w:w="140" w:type="dxa"/>
              <w:bottom w:w="120" w:type="dxa"/>
              <w:end w:w="140" w:type="dxa"/>
            </w:tcMar>
          </w:tcPr>
          <w:p>
            <w:r>
              <w:rPr>
                <w:rFonts w:ascii="Noto Sans" w:hAnsi="Noto Sans" w:eastAsia="Noto Sans"/>
                <w:b/>
                <w:color w:val="C94A58"/>
                <w:sz w:val="20"/>
              </w:rPr>
              <w:t xml:space="preserve">Important distinction  </w:t>
            </w:r>
            <w:r>
              <w:rPr>
                <w:rFonts w:ascii="Noto Sans" w:hAnsi="Noto Sans" w:eastAsia="Noto Sans"/>
                <w:color w:val="172033"/>
                <w:sz w:val="19"/>
              </w:rPr>
              <w:t>The model predicts association with a later academic outcome. It does not diagnose the reason for the outcome and does not establish causal effects.</w:t>
            </w:r>
          </w:p>
        </w:tc>
      </w:tr>
    </w:tbl>
    <w:p>
      <w:pPr>
        <w:spacing w:after="0"/>
      </w:pPr>
    </w:p>
    <w:p>
      <w:pPr>
        <w:pStyle w:val="Heading1"/>
        <w:tabs>
          <w:tab w:pos="9000" w:val="right" w:leader="dot"/>
        </w:tabs>
        <w:spacing w:after="40"/>
      </w:pPr>
      <w:r>
        <w:t>2. Dataset and Cohort Construction</w:t>
      </w:r>
    </w:p>
    <w:p>
      <w:pPr>
        <w:spacing w:after="100" w:line="269" w:lineRule="auto"/>
      </w:pPr>
      <w:r>
        <w:rPr>
          <w:rFonts w:ascii="Noto Sans" w:hAnsi="Noto Sans" w:eastAsia="Noto Sans"/>
          <w:sz w:val="21"/>
        </w:rPr>
        <w:t>The project uses the Open University Learning Analytics Dataset (OULAD), a linked learning-analytics dataset published by Kuzilek, Hlosta, and Zdrahal. The original data is organized across course, assessment, student, registration, and virtual-learning-environment tables. The project creates one Day-28 modeling row per eligible enrollment.</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D3557"/>
            <w:vAlign w:val="center"/>
            <w:tcMar>
              <w:top w:w="80" w:type="dxa"/>
              <w:start w:w="100" w:type="dxa"/>
              <w:bottom w:w="80" w:type="dxa"/>
              <w:end w:w="100" w:type="dxa"/>
            </w:tcMar>
          </w:tcPr>
          <w:p>
            <w:r>
              <w:rPr>
                <w:rFonts w:ascii="Noto Sans" w:hAnsi="Noto Sans" w:eastAsia="Noto Sans"/>
                <w:b/>
                <w:color w:val="FFFFFF"/>
                <w:sz w:val="18"/>
              </w:rPr>
              <w:t>Item</w:t>
            </w:r>
          </w:p>
        </w:tc>
        <w:tc>
          <w:tcPr>
            <w:tcW w:type="dxa" w:w="5083"/>
            <w:shd w:fill="1D3557"/>
            <w:vAlign w:val="center"/>
            <w:tcMar>
              <w:top w:w="80" w:type="dxa"/>
              <w:start w:w="100" w:type="dxa"/>
              <w:bottom w:w="80" w:type="dxa"/>
              <w:end w:w="100" w:type="dxa"/>
            </w:tcMar>
          </w:tcPr>
          <w:p>
            <w:r>
              <w:rPr>
                <w:rFonts w:ascii="Noto Sans" w:hAnsi="Noto Sans" w:eastAsia="Noto Sans"/>
                <w:b/>
                <w:color w:val="FFFFFF"/>
                <w:sz w:val="18"/>
              </w:rPr>
              <w:t>Value</w:t>
            </w:r>
          </w:p>
        </w:tc>
      </w:tr>
      <w:tr>
        <w:tc>
          <w:tcPr>
            <w:tcW w:type="dxa" w:w="5083"/>
            <w:tcMar>
              <w:top w:w="80" w:type="dxa"/>
              <w:start w:w="100" w:type="dxa"/>
              <w:bottom w:w="80" w:type="dxa"/>
              <w:end w:w="100" w:type="dxa"/>
            </w:tcMar>
          </w:tcPr>
          <w:p>
            <w:r>
              <w:rPr>
                <w:rFonts w:ascii="Noto Sans" w:hAnsi="Noto Sans" w:eastAsia="Noto Sans"/>
                <w:sz w:val="17"/>
              </w:rPr>
              <w:t>Engineered enrollment rows</w:t>
            </w:r>
          </w:p>
        </w:tc>
        <w:tc>
          <w:tcPr>
            <w:tcW w:type="dxa" w:w="5083"/>
            <w:tcMar>
              <w:top w:w="80" w:type="dxa"/>
              <w:start w:w="100" w:type="dxa"/>
              <w:bottom w:w="80" w:type="dxa"/>
              <w:end w:w="100" w:type="dxa"/>
            </w:tcMar>
          </w:tcPr>
          <w:p>
            <w:r>
              <w:rPr>
                <w:rFonts w:ascii="Noto Sans" w:hAnsi="Noto Sans" w:eastAsia="Noto Sans"/>
                <w:sz w:val="17"/>
              </w:rPr>
              <w:t>27,515</w:t>
            </w:r>
          </w:p>
        </w:tc>
      </w:tr>
      <w:tr>
        <w:tc>
          <w:tcPr>
            <w:tcW w:type="dxa" w:w="5083"/>
            <w:tcMar>
              <w:top w:w="80" w:type="dxa"/>
              <w:start w:w="100" w:type="dxa"/>
              <w:bottom w:w="80" w:type="dxa"/>
              <w:end w:w="100" w:type="dxa"/>
            </w:tcMar>
            <w:shd w:fill="F8FAFC"/>
          </w:tcPr>
          <w:p>
            <w:r>
              <w:rPr>
                <w:rFonts w:ascii="Noto Sans" w:hAnsi="Noto Sans" w:eastAsia="Noto Sans"/>
                <w:sz w:val="17"/>
              </w:rPr>
              <w:t>Unique students</w:t>
            </w:r>
          </w:p>
        </w:tc>
        <w:tc>
          <w:tcPr>
            <w:tcW w:type="dxa" w:w="5083"/>
            <w:tcMar>
              <w:top w:w="80" w:type="dxa"/>
              <w:start w:w="100" w:type="dxa"/>
              <w:bottom w:w="80" w:type="dxa"/>
              <w:end w:w="100" w:type="dxa"/>
            </w:tcMar>
            <w:shd w:fill="F8FAFC"/>
          </w:tcPr>
          <w:p>
            <w:r>
              <w:rPr>
                <w:rFonts w:ascii="Noto Sans" w:hAnsi="Noto Sans" w:eastAsia="Noto Sans"/>
                <w:sz w:val="17"/>
              </w:rPr>
              <w:t>24,826</w:t>
            </w:r>
          </w:p>
        </w:tc>
      </w:tr>
      <w:tr>
        <w:tc>
          <w:tcPr>
            <w:tcW w:type="dxa" w:w="5083"/>
            <w:tcMar>
              <w:top w:w="80" w:type="dxa"/>
              <w:start w:w="100" w:type="dxa"/>
              <w:bottom w:w="80" w:type="dxa"/>
              <w:end w:w="100" w:type="dxa"/>
            </w:tcMar>
          </w:tcPr>
          <w:p>
            <w:r>
              <w:rPr>
                <w:rFonts w:ascii="Noto Sans" w:hAnsi="Noto Sans" w:eastAsia="Noto Sans"/>
                <w:sz w:val="17"/>
              </w:rPr>
              <w:t>Columns in engineered table</w:t>
            </w:r>
          </w:p>
        </w:tc>
        <w:tc>
          <w:tcPr>
            <w:tcW w:type="dxa" w:w="5083"/>
            <w:tcMar>
              <w:top w:w="80" w:type="dxa"/>
              <w:start w:w="100" w:type="dxa"/>
              <w:bottom w:w="80" w:type="dxa"/>
              <w:end w:w="100" w:type="dxa"/>
            </w:tcMar>
          </w:tcPr>
          <w:p>
            <w:r>
              <w:rPr>
                <w:rFonts w:ascii="Noto Sans" w:hAnsi="Noto Sans" w:eastAsia="Noto Sans"/>
                <w:sz w:val="17"/>
              </w:rPr>
              <w:t>61</w:t>
            </w:r>
          </w:p>
        </w:tc>
      </w:tr>
      <w:tr>
        <w:tc>
          <w:tcPr>
            <w:tcW w:type="dxa" w:w="5083"/>
            <w:tcMar>
              <w:top w:w="80" w:type="dxa"/>
              <w:start w:w="100" w:type="dxa"/>
              <w:bottom w:w="80" w:type="dxa"/>
              <w:end w:w="100" w:type="dxa"/>
            </w:tcMar>
            <w:shd w:fill="F8FAFC"/>
          </w:tcPr>
          <w:p>
            <w:r>
              <w:rPr>
                <w:rFonts w:ascii="Noto Sans" w:hAnsi="Noto Sans" w:eastAsia="Noto Sans"/>
                <w:sz w:val="17"/>
              </w:rPr>
              <w:t>Overall At-Risk prevalence</w:t>
            </w:r>
          </w:p>
        </w:tc>
        <w:tc>
          <w:tcPr>
            <w:tcW w:type="dxa" w:w="5083"/>
            <w:tcMar>
              <w:top w:w="80" w:type="dxa"/>
              <w:start w:w="100" w:type="dxa"/>
              <w:bottom w:w="80" w:type="dxa"/>
              <w:end w:w="100" w:type="dxa"/>
            </w:tcMar>
            <w:shd w:fill="F8FAFC"/>
          </w:tcPr>
          <w:p>
            <w:r>
              <w:rPr>
                <w:rFonts w:ascii="Noto Sans" w:hAnsi="Noto Sans" w:eastAsia="Noto Sans"/>
                <w:sz w:val="17"/>
              </w:rPr>
              <w:t>44.11%</w:t>
            </w:r>
          </w:p>
        </w:tc>
      </w:tr>
      <w:tr>
        <w:tc>
          <w:tcPr>
            <w:tcW w:type="dxa" w:w="5083"/>
            <w:tcMar>
              <w:top w:w="80" w:type="dxa"/>
              <w:start w:w="100" w:type="dxa"/>
              <w:bottom w:w="80" w:type="dxa"/>
              <w:end w:w="100" w:type="dxa"/>
            </w:tcMar>
          </w:tcPr>
          <w:p>
            <w:r>
              <w:rPr>
                <w:rFonts w:ascii="Noto Sans" w:hAnsi="Noto Sans" w:eastAsia="Noto Sans"/>
                <w:sz w:val="17"/>
              </w:rPr>
              <w:t>Development rows</w:t>
            </w:r>
          </w:p>
        </w:tc>
        <w:tc>
          <w:tcPr>
            <w:tcW w:type="dxa" w:w="5083"/>
            <w:tcMar>
              <w:top w:w="80" w:type="dxa"/>
              <w:start w:w="100" w:type="dxa"/>
              <w:bottom w:w="80" w:type="dxa"/>
              <w:end w:w="100" w:type="dxa"/>
            </w:tcMar>
          </w:tcPr>
          <w:p>
            <w:r>
              <w:rPr>
                <w:rFonts w:ascii="Noto Sans" w:hAnsi="Noto Sans" w:eastAsia="Noto Sans"/>
                <w:sz w:val="17"/>
              </w:rPr>
              <w:t>22,011</w:t>
            </w:r>
          </w:p>
        </w:tc>
      </w:tr>
      <w:tr>
        <w:tc>
          <w:tcPr>
            <w:tcW w:type="dxa" w:w="5083"/>
            <w:tcMar>
              <w:top w:w="80" w:type="dxa"/>
              <w:start w:w="100" w:type="dxa"/>
              <w:bottom w:w="80" w:type="dxa"/>
              <w:end w:w="100" w:type="dxa"/>
            </w:tcMar>
            <w:shd w:fill="F8FAFC"/>
          </w:tcPr>
          <w:p>
            <w:r>
              <w:rPr>
                <w:rFonts w:ascii="Noto Sans" w:hAnsi="Noto Sans" w:eastAsia="Noto Sans"/>
                <w:sz w:val="17"/>
              </w:rPr>
              <w:t>Locked evaluation rows</w:t>
            </w:r>
          </w:p>
        </w:tc>
        <w:tc>
          <w:tcPr>
            <w:tcW w:type="dxa" w:w="5083"/>
            <w:tcMar>
              <w:top w:w="80" w:type="dxa"/>
              <w:start w:w="100" w:type="dxa"/>
              <w:bottom w:w="80" w:type="dxa"/>
              <w:end w:w="100" w:type="dxa"/>
            </w:tcMar>
            <w:shd w:fill="F8FAFC"/>
          </w:tcPr>
          <w:p>
            <w:r>
              <w:rPr>
                <w:rFonts w:ascii="Noto Sans" w:hAnsi="Noto Sans" w:eastAsia="Noto Sans"/>
                <w:sz w:val="17"/>
              </w:rPr>
              <w:t>5,504</w:t>
            </w:r>
          </w:p>
        </w:tc>
      </w:tr>
      <w:tr>
        <w:tc>
          <w:tcPr>
            <w:tcW w:type="dxa" w:w="5083"/>
            <w:tcMar>
              <w:top w:w="80" w:type="dxa"/>
              <w:start w:w="100" w:type="dxa"/>
              <w:bottom w:w="80" w:type="dxa"/>
              <w:end w:w="100" w:type="dxa"/>
            </w:tcMar>
          </w:tcPr>
          <w:p>
            <w:r>
              <w:rPr>
                <w:rFonts w:ascii="Noto Sans" w:hAnsi="Noto Sans" w:eastAsia="Noto Sans"/>
                <w:sz w:val="17"/>
              </w:rPr>
              <w:t>Development unique students</w:t>
            </w:r>
          </w:p>
        </w:tc>
        <w:tc>
          <w:tcPr>
            <w:tcW w:type="dxa" w:w="5083"/>
            <w:tcMar>
              <w:top w:w="80" w:type="dxa"/>
              <w:start w:w="100" w:type="dxa"/>
              <w:bottom w:w="80" w:type="dxa"/>
              <w:end w:w="100" w:type="dxa"/>
            </w:tcMar>
          </w:tcPr>
          <w:p>
            <w:r>
              <w:rPr>
                <w:rFonts w:ascii="Noto Sans" w:hAnsi="Noto Sans" w:eastAsia="Noto Sans"/>
                <w:sz w:val="17"/>
              </w:rPr>
              <w:t>19,851</w:t>
            </w:r>
          </w:p>
        </w:tc>
      </w:tr>
      <w:tr>
        <w:tc>
          <w:tcPr>
            <w:tcW w:type="dxa" w:w="5083"/>
            <w:tcMar>
              <w:top w:w="80" w:type="dxa"/>
              <w:start w:w="100" w:type="dxa"/>
              <w:bottom w:w="80" w:type="dxa"/>
              <w:end w:w="100" w:type="dxa"/>
            </w:tcMar>
            <w:shd w:fill="F8FAFC"/>
          </w:tcPr>
          <w:p>
            <w:r>
              <w:rPr>
                <w:rFonts w:ascii="Noto Sans" w:hAnsi="Noto Sans" w:eastAsia="Noto Sans"/>
                <w:sz w:val="17"/>
              </w:rPr>
              <w:t>Holdout unique students</w:t>
            </w:r>
          </w:p>
        </w:tc>
        <w:tc>
          <w:tcPr>
            <w:tcW w:type="dxa" w:w="5083"/>
            <w:tcMar>
              <w:top w:w="80" w:type="dxa"/>
              <w:start w:w="100" w:type="dxa"/>
              <w:bottom w:w="80" w:type="dxa"/>
              <w:end w:w="100" w:type="dxa"/>
            </w:tcMar>
            <w:shd w:fill="F8FAFC"/>
          </w:tcPr>
          <w:p>
            <w:r>
              <w:rPr>
                <w:rFonts w:ascii="Noto Sans" w:hAnsi="Noto Sans" w:eastAsia="Noto Sans"/>
                <w:sz w:val="17"/>
              </w:rPr>
              <w:t>4,975</w:t>
            </w:r>
          </w:p>
        </w:tc>
      </w:tr>
      <w:tr>
        <w:tc>
          <w:tcPr>
            <w:tcW w:type="dxa" w:w="5083"/>
            <w:tcMar>
              <w:top w:w="80" w:type="dxa"/>
              <w:start w:w="100" w:type="dxa"/>
              <w:bottom w:w="80" w:type="dxa"/>
              <w:end w:w="100" w:type="dxa"/>
            </w:tcMar>
          </w:tcPr>
          <w:p>
            <w:r>
              <w:rPr>
                <w:rFonts w:ascii="Noto Sans" w:hAnsi="Noto Sans" w:eastAsia="Noto Sans"/>
                <w:sz w:val="17"/>
              </w:rPr>
              <w:t>Student overlap between splits</w:t>
            </w:r>
          </w:p>
        </w:tc>
        <w:tc>
          <w:tcPr>
            <w:tcW w:type="dxa" w:w="5083"/>
            <w:tcMar>
              <w:top w:w="80" w:type="dxa"/>
              <w:start w:w="100" w:type="dxa"/>
              <w:bottom w:w="80" w:type="dxa"/>
              <w:end w:w="100" w:type="dxa"/>
            </w:tcMar>
          </w:tcPr>
          <w:p>
            <w:r>
              <w:rPr>
                <w:rFonts w:ascii="Noto Sans" w:hAnsi="Noto Sans" w:eastAsia="Noto Sans"/>
                <w:sz w:val="17"/>
              </w:rPr>
              <w:t>0</w:t>
            </w:r>
          </w:p>
        </w:tc>
      </w:tr>
    </w:tbl>
    <w:p>
      <w:pPr>
        <w:jc w:val="center"/>
      </w:pPr>
      <w:r>
        <w:drawing>
          <wp:inline xmlns:a="http://schemas.openxmlformats.org/drawingml/2006/main" xmlns:pic="http://schemas.openxmlformats.org/drawingml/2006/picture">
            <wp:extent cx="6217920" cy="1826750"/>
            <wp:docPr id="2" name="Picture 2" descr="End-to-end workflow diagram showing OULAD ingestion, Day-28 feature engineering, leakage-safe student grouping, model selection, calibration and risk bands, and explanation plus action." title="Student Risk Project Figure"/>
            <wp:cNvGraphicFramePr>
              <a:graphicFrameLocks noChangeAspect="1"/>
            </wp:cNvGraphicFramePr>
            <a:graphic>
              <a:graphicData uri="http://schemas.openxmlformats.org/drawingml/2006/picture">
                <pic:pic>
                  <pic:nvPicPr>
                    <pic:cNvPr id="0" name="workflow_diagram.png"/>
                    <pic:cNvPicPr/>
                  </pic:nvPicPr>
                  <pic:blipFill>
                    <a:blip r:embed="rId10"/>
                    <a:stretch>
                      <a:fillRect/>
                    </a:stretch>
                  </pic:blipFill>
                  <pic:spPr>
                    <a:xfrm>
                      <a:off x="0" y="0"/>
                      <a:ext cx="6217920" cy="1826750"/>
                    </a:xfrm>
                    <a:prstGeom prst="rect"/>
                  </pic:spPr>
                </pic:pic>
              </a:graphicData>
            </a:graphic>
          </wp:inline>
        </w:drawing>
      </w:r>
    </w:p>
    <w:p>
      <w:pPr>
        <w:pStyle w:val="Caption"/>
        <w:jc w:val="center"/>
      </w:pPr>
      <w:r>
        <w:rPr>
          <w:rFonts w:ascii="Noto Sans" w:hAnsi="Noto Sans" w:eastAsia="Noto Sans"/>
          <w:i/>
          <w:color w:val="667085"/>
          <w:sz w:val="17"/>
        </w:rPr>
        <w:t>Figure 1. End-to-end project workflow.</w:t>
      </w:r>
    </w:p>
    <w:p>
      <w:pPr>
        <w:pStyle w:val="Heading1"/>
        <w:tabs>
          <w:tab w:pos="9000" w:val="right" w:leader="dot"/>
        </w:tabs>
        <w:spacing w:after="40"/>
      </w:pPr>
      <w:r>
        <w:t>3. Experimental Design and Leakage Prevention</w:t>
      </w:r>
    </w:p>
    <w:p>
      <w:pPr>
        <w:spacing w:after="100" w:line="269" w:lineRule="auto"/>
      </w:pPr>
      <w:r>
        <w:rPr>
          <w:rFonts w:ascii="Noto Sans" w:hAnsi="Noto Sans" w:eastAsia="Noto Sans"/>
          <w:sz w:val="21"/>
        </w:rPr>
        <w:t>The central methodology rule is that no information occurring after Day 28 may be used to form predictive features. A persisted split manifest is also used so the same student never appears in both development and evaluation data.</w:t>
      </w:r>
    </w:p>
    <w:p>
      <w:pPr>
        <w:pStyle w:val="ListBullet"/>
        <w:spacing w:after="60"/>
      </w:pPr>
      <w:r>
        <w:rPr>
          <w:rFonts w:ascii="Noto Sans" w:hAnsi="Noto Sans" w:eastAsia="Noto Sans"/>
          <w:sz w:val="20"/>
        </w:rPr>
        <w:t>`final_result` is used only to construct the target and never enters the feature matrix.</w:t>
      </w:r>
    </w:p>
    <w:p>
      <w:pPr>
        <w:pStyle w:val="ListBullet"/>
        <w:spacing w:after="60"/>
      </w:pPr>
      <w:r>
        <w:rPr>
          <w:rFonts w:ascii="Noto Sans" w:hAnsi="Noto Sans" w:eastAsia="Noto Sans"/>
          <w:sz w:val="20"/>
        </w:rPr>
        <w:t>`id_student` is retained for joins and group-aware splitting but is excluded from model inputs.</w:t>
      </w:r>
    </w:p>
    <w:p>
      <w:pPr>
        <w:pStyle w:val="ListBullet"/>
        <w:spacing w:after="60"/>
      </w:pPr>
      <w:r>
        <w:rPr>
          <w:rFonts w:ascii="Noto Sans" w:hAnsi="Noto Sans" w:eastAsia="Noto Sans"/>
          <w:sz w:val="20"/>
        </w:rPr>
        <w:t>`date_unregistration` is used only to establish whether the student was still active at the prediction point.</w:t>
      </w:r>
    </w:p>
    <w:p>
      <w:pPr>
        <w:pStyle w:val="ListBullet"/>
        <w:spacing w:after="60"/>
      </w:pPr>
      <w:r>
        <w:rPr>
          <w:rFonts w:ascii="Noto Sans" w:hAnsi="Noto Sans" w:eastAsia="Noto Sans"/>
          <w:sz w:val="20"/>
        </w:rPr>
        <w:t>VLE interactions are clipped to Day 28.</w:t>
      </w:r>
    </w:p>
    <w:p>
      <w:pPr>
        <w:pStyle w:val="ListBullet"/>
        <w:spacing w:after="60"/>
      </w:pPr>
      <w:r>
        <w:rPr>
          <w:rFonts w:ascii="Noto Sans" w:hAnsi="Noto Sans" w:eastAsia="Noto Sans"/>
          <w:sz w:val="20"/>
        </w:rPr>
        <w:t>Assessment score features require the assessment due date and the student submission to be available by Day 28.</w:t>
      </w:r>
    </w:p>
    <w:p>
      <w:pPr>
        <w:pStyle w:val="ListBullet"/>
        <w:spacing w:after="60"/>
      </w:pPr>
      <w:r>
        <w:rPr>
          <w:rFonts w:ascii="Noto Sans" w:hAnsi="Noto Sans" w:eastAsia="Noto Sans"/>
          <w:sz w:val="20"/>
        </w:rPr>
        <w:t>Imputation, encoding, and scaling are fit inside the training/CV pipeline rather than on the full dataset.</w:t>
      </w:r>
    </w:p>
    <w:tbl>
      <w:tblPr>
        <w:tblW w:type="auto" w:w="0"/>
        <w:jc w:val="center"/>
        <w:tblLayout w:type="autofit"/>
        <w:tblLook w:firstColumn="1" w:firstRow="1" w:lastColumn="0" w:lastRow="0" w:noHBand="0" w:noVBand="1" w:val="04A0"/>
      </w:tblPr>
      <w:tblGrid>
        <w:gridCol w:w="10166"/>
      </w:tblGrid>
      <w:tr>
        <w:trPr>
          <w:tblHeader w:val="true"/>
        </w:trPr>
        <w:tc>
          <w:tcPr>
            <w:tcW w:type="dxa" w:w="10166"/>
            <w:shd w:fill="F7F9FC"/>
            <w:tcMar>
              <w:top w:w="120" w:type="dxa"/>
              <w:start w:w="140" w:type="dxa"/>
              <w:bottom w:w="120" w:type="dxa"/>
              <w:end w:w="140" w:type="dxa"/>
            </w:tcMar>
          </w:tcPr>
          <w:p>
            <w:r>
              <w:rPr>
                <w:rFonts w:ascii="Noto Sans" w:hAnsi="Noto Sans" w:eastAsia="Noto Sans"/>
                <w:b/>
                <w:color w:val="C98B2E"/>
                <w:sz w:val="20"/>
              </w:rPr>
              <w:t xml:space="preserve">Holdout caveat  </w:t>
            </w:r>
            <w:r>
              <w:rPr>
                <w:rFonts w:ascii="Noto Sans" w:hAnsi="Noto Sans" w:eastAsia="Noto Sans"/>
                <w:color w:val="172033"/>
                <w:sz w:val="19"/>
              </w:rPr>
              <w:t>The current reproducible pipeline does not use locked-holdout targets during tuning, calibration, threshold selection, ANN diagnostics, or ablation. However, earlier iterative development viewed holdout diagnostics; therefore the packaged holdout is described as a locked evaluation holdout rather than a pristine external test.</w:t>
            </w:r>
          </w:p>
        </w:tc>
      </w:tr>
    </w:tbl>
    <w:p>
      <w:pPr>
        <w:spacing w:after="0"/>
      </w:pPr>
    </w:p>
    <w:p>
      <w:pPr>
        <w:pStyle w:val="Heading1"/>
        <w:tabs>
          <w:tab w:pos="9000" w:val="right" w:leader="dot"/>
        </w:tabs>
        <w:spacing w:after="40"/>
      </w:pPr>
      <w:r>
        <w:t>4. Exploratory Data Analysis</w:t>
      </w:r>
    </w:p>
    <w:p>
      <w:pPr>
        <w:spacing w:after="100" w:line="269" w:lineRule="auto"/>
      </w:pPr>
      <w:r>
        <w:rPr>
          <w:rFonts w:ascii="Noto Sans" w:hAnsi="Noto Sans" w:eastAsia="Noto Sans"/>
          <w:sz w:val="21"/>
        </w:rPr>
        <w:t>EDA covers missingness, class balance, numeric distributions, categorical risk rates, IQR diagnostic flags, correlations, early assessment behavior, and the four-week engagement trajectory. Target-facing EDA is performed on development data only.</w:t>
      </w:r>
    </w:p>
    <w:p>
      <w:pPr>
        <w:jc w:val="center"/>
      </w:pPr>
      <w:r>
        <w:drawing>
          <wp:inline xmlns:a="http://schemas.openxmlformats.org/drawingml/2006/main" xmlns:pic="http://schemas.openxmlformats.org/drawingml/2006/picture">
            <wp:extent cx="5852160" cy="4188351"/>
            <wp:docPr id="3" name="Picture 3" descr="Bar chart of the strongest numeric associations with the development-set at-risk target; missed assessments and inactivity are positive associations while assessment performance and active days are negative associations." title="Student Risk Project Figure"/>
            <wp:cNvGraphicFramePr>
              <a:graphicFrameLocks noChangeAspect="1"/>
            </wp:cNvGraphicFramePr>
            <a:graphic>
              <a:graphicData uri="http://schemas.openxmlformats.org/drawingml/2006/picture">
                <pic:pic>
                  <pic:nvPicPr>
                    <pic:cNvPr id="0" name="03_top_numeric_target_associations.png"/>
                    <pic:cNvPicPr/>
                  </pic:nvPicPr>
                  <pic:blipFill>
                    <a:blip r:embed="rId11"/>
                    <a:stretch>
                      <a:fillRect/>
                    </a:stretch>
                  </pic:blipFill>
                  <pic:spPr>
                    <a:xfrm>
                      <a:off x="0" y="0"/>
                      <a:ext cx="5852160" cy="4188351"/>
                    </a:xfrm>
                    <a:prstGeom prst="rect"/>
                  </pic:spPr>
                </pic:pic>
              </a:graphicData>
            </a:graphic>
          </wp:inline>
        </w:drawing>
      </w:r>
    </w:p>
    <w:p>
      <w:pPr>
        <w:pStyle w:val="Caption"/>
        <w:jc w:val="center"/>
      </w:pPr>
      <w:r>
        <w:rPr>
          <w:rFonts w:ascii="Noto Sans" w:hAnsi="Noto Sans" w:eastAsia="Noto Sans"/>
          <w:i/>
          <w:color w:val="667085"/>
          <w:sz w:val="17"/>
        </w:rPr>
        <w:t>Figure 2. Strongest numeric associations with the risk target in development data.</w:t>
      </w:r>
    </w:p>
    <w:p>
      <w:pPr>
        <w:jc w:val="center"/>
      </w:pPr>
      <w:r>
        <w:drawing>
          <wp:inline xmlns:a="http://schemas.openxmlformats.org/drawingml/2006/main" xmlns:pic="http://schemas.openxmlformats.org/drawingml/2006/picture">
            <wp:extent cx="5852160" cy="3842027"/>
            <wp:docPr id="4" name="Picture 4" descr="Line chart of mean weekly VLE clicks for at-risk and not-at-risk students across Weeks 1 to 4; the at-risk group has consistently lower engagement." title="Student Risk Project Figure"/>
            <wp:cNvGraphicFramePr>
              <a:graphicFrameLocks noChangeAspect="1"/>
            </wp:cNvGraphicFramePr>
            <a:graphic>
              <a:graphicData uri="http://schemas.openxmlformats.org/drawingml/2006/picture">
                <pic:pic>
                  <pic:nvPicPr>
                    <pic:cNvPr id="0" name="05_weekly_click_trend.png"/>
                    <pic:cNvPicPr/>
                  </pic:nvPicPr>
                  <pic:blipFill>
                    <a:blip r:embed="rId12"/>
                    <a:stretch>
                      <a:fillRect/>
                    </a:stretch>
                  </pic:blipFill>
                  <pic:spPr>
                    <a:xfrm>
                      <a:off x="0" y="0"/>
                      <a:ext cx="5852160" cy="3842027"/>
                    </a:xfrm>
                    <a:prstGeom prst="rect"/>
                  </pic:spPr>
                </pic:pic>
              </a:graphicData>
            </a:graphic>
          </wp:inline>
        </w:drawing>
      </w:r>
    </w:p>
    <w:p>
      <w:pPr>
        <w:pStyle w:val="Caption"/>
        <w:jc w:val="center"/>
      </w:pPr>
      <w:r>
        <w:rPr>
          <w:rFonts w:ascii="Noto Sans" w:hAnsi="Noto Sans" w:eastAsia="Noto Sans"/>
          <w:i/>
          <w:color w:val="667085"/>
          <w:sz w:val="17"/>
        </w:rPr>
        <w:t>Figure 3. Weekly VLE engagement trend by risk group.</w:t>
      </w:r>
    </w:p>
    <w:p>
      <w:pPr>
        <w:spacing w:after="100" w:line="269" w:lineRule="auto"/>
      </w:pPr>
      <w:r>
        <w:rPr>
          <w:rFonts w:ascii="Noto Sans" w:hAnsi="Noto Sans" w:eastAsia="Noto Sans"/>
          <w:sz w:val="21"/>
        </w:rPr>
        <w:t>Descriptively, early assessment performance/completion, missed assessments, active days, and inactivity duration are among the strongest signals. These relationships are useful for prediction and monitoring but are not interpreted as causal effects.</w:t>
      </w:r>
    </w:p>
    <w:p>
      <w:pPr>
        <w:pStyle w:val="Heading1"/>
        <w:tabs>
          <w:tab w:pos="9000" w:val="right" w:leader="dot"/>
        </w:tabs>
        <w:spacing w:after="40"/>
      </w:pPr>
      <w:r>
        <w:t>5. Feature Engineering</w:t>
      </w:r>
    </w:p>
    <w:p>
      <w:pPr>
        <w:spacing w:after="100" w:line="269" w:lineRule="auto"/>
      </w:pPr>
      <w:r>
        <w:rPr>
          <w:rFonts w:ascii="Noto Sans" w:hAnsi="Noto Sans" w:eastAsia="Noto Sans"/>
          <w:sz w:val="21"/>
        </w:rPr>
        <w:t>The Day-28 feature table contains information that is available at or before the prediction point. Features are deliberately grouped so the project captures both static context and short-term progress.</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D3557"/>
            <w:vAlign w:val="center"/>
            <w:tcMar>
              <w:top w:w="80" w:type="dxa"/>
              <w:start w:w="100" w:type="dxa"/>
              <w:bottom w:w="80" w:type="dxa"/>
              <w:end w:w="100" w:type="dxa"/>
            </w:tcMar>
          </w:tcPr>
          <w:p>
            <w:r>
              <w:rPr>
                <w:rFonts w:ascii="Noto Sans" w:hAnsi="Noto Sans" w:eastAsia="Noto Sans"/>
                <w:b/>
                <w:color w:val="FFFFFF"/>
                <w:sz w:val="18"/>
              </w:rPr>
              <w:t>Feature group</w:t>
            </w:r>
          </w:p>
        </w:tc>
        <w:tc>
          <w:tcPr>
            <w:tcW w:type="dxa" w:w="5083"/>
            <w:shd w:fill="1D3557"/>
            <w:vAlign w:val="center"/>
            <w:tcMar>
              <w:top w:w="80" w:type="dxa"/>
              <w:start w:w="100" w:type="dxa"/>
              <w:bottom w:w="80" w:type="dxa"/>
              <w:end w:w="100" w:type="dxa"/>
            </w:tcMar>
          </w:tcPr>
          <w:p>
            <w:r>
              <w:rPr>
                <w:rFonts w:ascii="Noto Sans" w:hAnsi="Noto Sans" w:eastAsia="Noto Sans"/>
                <w:b/>
                <w:color w:val="FFFFFF"/>
                <w:sz w:val="18"/>
              </w:rPr>
              <w:t>Examples</w:t>
            </w:r>
          </w:p>
        </w:tc>
      </w:tr>
      <w:tr>
        <w:tc>
          <w:tcPr>
            <w:tcW w:type="dxa" w:w="5083"/>
            <w:tcMar>
              <w:top w:w="80" w:type="dxa"/>
              <w:start w:w="100" w:type="dxa"/>
              <w:bottom w:w="80" w:type="dxa"/>
              <w:end w:w="100" w:type="dxa"/>
            </w:tcMar>
          </w:tcPr>
          <w:p>
            <w:r>
              <w:rPr>
                <w:rFonts w:ascii="Noto Sans" w:hAnsi="Noto Sans" w:eastAsia="Noto Sans"/>
                <w:sz w:val="17"/>
              </w:rPr>
              <w:t>Background / context</w:t>
            </w:r>
          </w:p>
        </w:tc>
        <w:tc>
          <w:tcPr>
            <w:tcW w:type="dxa" w:w="5083"/>
            <w:tcMar>
              <w:top w:w="80" w:type="dxa"/>
              <w:start w:w="100" w:type="dxa"/>
              <w:bottom w:w="80" w:type="dxa"/>
              <w:end w:w="100" w:type="dxa"/>
            </w:tcMar>
          </w:tcPr>
          <w:p>
            <w:r>
              <w:rPr>
                <w:rFonts w:ascii="Noto Sans" w:hAnsi="Noto Sans" w:eastAsia="Noto Sans"/>
                <w:sz w:val="17"/>
              </w:rPr>
              <w:t>gender, age_band, highest_education, region, imd_band, disability</w:t>
            </w:r>
          </w:p>
        </w:tc>
      </w:tr>
      <w:tr>
        <w:tc>
          <w:tcPr>
            <w:tcW w:type="dxa" w:w="5083"/>
            <w:tcMar>
              <w:top w:w="80" w:type="dxa"/>
              <w:start w:w="100" w:type="dxa"/>
              <w:bottom w:w="80" w:type="dxa"/>
              <w:end w:w="100" w:type="dxa"/>
            </w:tcMar>
            <w:shd w:fill="F8FAFC"/>
          </w:tcPr>
          <w:p>
            <w:r>
              <w:rPr>
                <w:rFonts w:ascii="Noto Sans" w:hAnsi="Noto Sans" w:eastAsia="Noto Sans"/>
                <w:sz w:val="17"/>
              </w:rPr>
              <w:t>Registration / history</w:t>
            </w:r>
          </w:p>
        </w:tc>
        <w:tc>
          <w:tcPr>
            <w:tcW w:type="dxa" w:w="5083"/>
            <w:tcMar>
              <w:top w:w="80" w:type="dxa"/>
              <w:start w:w="100" w:type="dxa"/>
              <w:bottom w:w="80" w:type="dxa"/>
              <w:end w:w="100" w:type="dxa"/>
            </w:tcMar>
            <w:shd w:fill="F8FAFC"/>
          </w:tcPr>
          <w:p>
            <w:r>
              <w:rPr>
                <w:rFonts w:ascii="Noto Sans" w:hAnsi="Noto Sans" w:eastAsia="Noto Sans"/>
                <w:sz w:val="17"/>
              </w:rPr>
              <w:t>num_of_prev_attempts, studied_credits, registration timing</w:t>
            </w:r>
          </w:p>
        </w:tc>
      </w:tr>
      <w:tr>
        <w:tc>
          <w:tcPr>
            <w:tcW w:type="dxa" w:w="5083"/>
            <w:tcMar>
              <w:top w:w="80" w:type="dxa"/>
              <w:start w:w="100" w:type="dxa"/>
              <w:bottom w:w="80" w:type="dxa"/>
              <w:end w:w="100" w:type="dxa"/>
            </w:tcMar>
          </w:tcPr>
          <w:p>
            <w:r>
              <w:rPr>
                <w:rFonts w:ascii="Noto Sans" w:hAnsi="Noto Sans" w:eastAsia="Noto Sans"/>
                <w:sz w:val="17"/>
              </w:rPr>
              <w:t>VLE totals</w:t>
            </w:r>
          </w:p>
        </w:tc>
        <w:tc>
          <w:tcPr>
            <w:tcW w:type="dxa" w:w="5083"/>
            <w:tcMar>
              <w:top w:w="80" w:type="dxa"/>
              <w:start w:w="100" w:type="dxa"/>
              <w:bottom w:w="80" w:type="dxa"/>
              <w:end w:w="100" w:type="dxa"/>
            </w:tcMar>
          </w:tcPr>
          <w:p>
            <w:r>
              <w:rPr>
                <w:rFonts w:ascii="Noto Sans" w:hAnsi="Noto Sans" w:eastAsia="Noto Sans"/>
                <w:sz w:val="17"/>
              </w:rPr>
              <w:t>total_clicks_28d, active_days_28d, unique activity/resource counts</w:t>
            </w:r>
          </w:p>
        </w:tc>
      </w:tr>
      <w:tr>
        <w:tc>
          <w:tcPr>
            <w:tcW w:type="dxa" w:w="5083"/>
            <w:tcMar>
              <w:top w:w="80" w:type="dxa"/>
              <w:start w:w="100" w:type="dxa"/>
              <w:bottom w:w="80" w:type="dxa"/>
              <w:end w:w="100" w:type="dxa"/>
            </w:tcMar>
            <w:shd w:fill="F8FAFC"/>
          </w:tcPr>
          <w:p>
            <w:r>
              <w:rPr>
                <w:rFonts w:ascii="Noto Sans" w:hAnsi="Noto Sans" w:eastAsia="Noto Sans"/>
                <w:sz w:val="17"/>
              </w:rPr>
              <w:t>Weekly progress</w:t>
            </w:r>
          </w:p>
        </w:tc>
        <w:tc>
          <w:tcPr>
            <w:tcW w:type="dxa" w:w="5083"/>
            <w:tcMar>
              <w:top w:w="80" w:type="dxa"/>
              <w:start w:w="100" w:type="dxa"/>
              <w:bottom w:w="80" w:type="dxa"/>
              <w:end w:w="100" w:type="dxa"/>
            </w:tcMar>
            <w:shd w:fill="F8FAFC"/>
          </w:tcPr>
          <w:p>
            <w:r>
              <w:rPr>
                <w:rFonts w:ascii="Noto Sans" w:hAnsi="Noto Sans" w:eastAsia="Noto Sans"/>
                <w:sz w:val="17"/>
              </w:rPr>
              <w:t>clicks_week1_28d … clicks_week4_28d, weekly_click_slope_28d</w:t>
            </w:r>
          </w:p>
        </w:tc>
      </w:tr>
      <w:tr>
        <w:tc>
          <w:tcPr>
            <w:tcW w:type="dxa" w:w="5083"/>
            <w:tcMar>
              <w:top w:w="80" w:type="dxa"/>
              <w:start w:w="100" w:type="dxa"/>
              <w:bottom w:w="80" w:type="dxa"/>
              <w:end w:w="100" w:type="dxa"/>
            </w:tcMar>
          </w:tcPr>
          <w:p>
            <w:r>
              <w:rPr>
                <w:rFonts w:ascii="Noto Sans" w:hAnsi="Noto Sans" w:eastAsia="Noto Sans"/>
                <w:sz w:val="17"/>
              </w:rPr>
              <w:t>Recent engagement</w:t>
            </w:r>
          </w:p>
        </w:tc>
        <w:tc>
          <w:tcPr>
            <w:tcW w:type="dxa" w:w="5083"/>
            <w:tcMar>
              <w:top w:w="80" w:type="dxa"/>
              <w:start w:w="100" w:type="dxa"/>
              <w:bottom w:w="80" w:type="dxa"/>
              <w:end w:w="100" w:type="dxa"/>
            </w:tcMar>
          </w:tcPr>
          <w:p>
            <w:r>
              <w:rPr>
                <w:rFonts w:ascii="Noto Sans" w:hAnsi="Noto Sans" w:eastAsia="Noto Sans"/>
                <w:sz w:val="17"/>
              </w:rPr>
              <w:t>clicks_last7d, active_days_last7d, days_since_last_activity_28d</w:t>
            </w:r>
          </w:p>
        </w:tc>
      </w:tr>
      <w:tr>
        <w:tc>
          <w:tcPr>
            <w:tcW w:type="dxa" w:w="5083"/>
            <w:tcMar>
              <w:top w:w="80" w:type="dxa"/>
              <w:start w:w="100" w:type="dxa"/>
              <w:bottom w:w="80" w:type="dxa"/>
              <w:end w:w="100" w:type="dxa"/>
            </w:tcMar>
            <w:shd w:fill="F8FAFC"/>
          </w:tcPr>
          <w:p>
            <w:r>
              <w:rPr>
                <w:rFonts w:ascii="Noto Sans" w:hAnsi="Noto Sans" w:eastAsia="Noto Sans"/>
                <w:sz w:val="17"/>
              </w:rPr>
              <w:t>Assessment progress</w:t>
            </w:r>
          </w:p>
        </w:tc>
        <w:tc>
          <w:tcPr>
            <w:tcW w:type="dxa" w:w="5083"/>
            <w:tcMar>
              <w:top w:w="80" w:type="dxa"/>
              <w:start w:w="100" w:type="dxa"/>
              <w:bottom w:w="80" w:type="dxa"/>
              <w:end w:w="100" w:type="dxa"/>
            </w:tcMar>
            <w:shd w:fill="F8FAFC"/>
          </w:tcPr>
          <w:p>
            <w:r>
              <w:rPr>
                <w:rFonts w:ascii="Noto Sans" w:hAnsi="Noto Sans" w:eastAsia="Noto Sans"/>
                <w:sz w:val="17"/>
              </w:rPr>
              <w:t>assessment_mean_score_28d, weighted_assessment_score_28d, completion rate, missed assessments</w:t>
            </w:r>
          </w:p>
        </w:tc>
      </w:tr>
    </w:tbl>
    <w:p>
      <w:pPr>
        <w:pStyle w:val="Heading1"/>
        <w:tabs>
          <w:tab w:pos="9000" w:val="right" w:leader="dot"/>
        </w:tabs>
        <w:spacing w:after="40"/>
      </w:pPr>
      <w:r>
        <w:t>6. Preprocessing</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D3557"/>
            <w:vAlign w:val="center"/>
            <w:tcMar>
              <w:top w:w="80" w:type="dxa"/>
              <w:start w:w="100" w:type="dxa"/>
              <w:bottom w:w="80" w:type="dxa"/>
              <w:end w:w="100" w:type="dxa"/>
            </w:tcMar>
          </w:tcPr>
          <w:p>
            <w:r>
              <w:rPr>
                <w:rFonts w:ascii="Noto Sans" w:hAnsi="Noto Sans" w:eastAsia="Noto Sans"/>
                <w:b/>
                <w:color w:val="FFFFFF"/>
                <w:sz w:val="18"/>
              </w:rPr>
              <w:t>Data type / model</w:t>
            </w:r>
          </w:p>
        </w:tc>
        <w:tc>
          <w:tcPr>
            <w:tcW w:type="dxa" w:w="5083"/>
            <w:shd w:fill="1D3557"/>
            <w:vAlign w:val="center"/>
            <w:tcMar>
              <w:top w:w="80" w:type="dxa"/>
              <w:start w:w="100" w:type="dxa"/>
              <w:bottom w:w="80" w:type="dxa"/>
              <w:end w:w="100" w:type="dxa"/>
            </w:tcMar>
          </w:tcPr>
          <w:p>
            <w:r>
              <w:rPr>
                <w:rFonts w:ascii="Noto Sans" w:hAnsi="Noto Sans" w:eastAsia="Noto Sans"/>
                <w:b/>
                <w:color w:val="FFFFFF"/>
                <w:sz w:val="18"/>
              </w:rPr>
              <w:t>Processing</w:t>
            </w:r>
          </w:p>
        </w:tc>
      </w:tr>
      <w:tr>
        <w:tc>
          <w:tcPr>
            <w:tcW w:type="dxa" w:w="5083"/>
            <w:tcMar>
              <w:top w:w="80" w:type="dxa"/>
              <w:start w:w="100" w:type="dxa"/>
              <w:bottom w:w="80" w:type="dxa"/>
              <w:end w:w="100" w:type="dxa"/>
            </w:tcMar>
          </w:tcPr>
          <w:p>
            <w:r>
              <w:rPr>
                <w:rFonts w:ascii="Noto Sans" w:hAnsi="Noto Sans" w:eastAsia="Noto Sans"/>
                <w:sz w:val="17"/>
              </w:rPr>
              <w:t>Numeric</w:t>
            </w:r>
          </w:p>
        </w:tc>
        <w:tc>
          <w:tcPr>
            <w:tcW w:type="dxa" w:w="5083"/>
            <w:tcMar>
              <w:top w:w="80" w:type="dxa"/>
              <w:start w:w="100" w:type="dxa"/>
              <w:bottom w:w="80" w:type="dxa"/>
              <w:end w:w="100" w:type="dxa"/>
            </w:tcMar>
          </w:tcPr>
          <w:p>
            <w:r>
              <w:rPr>
                <w:rFonts w:ascii="Noto Sans" w:hAnsi="Noto Sans" w:eastAsia="Noto Sans"/>
                <w:sz w:val="17"/>
              </w:rPr>
              <w:t>Median imputation</w:t>
            </w:r>
          </w:p>
        </w:tc>
      </w:tr>
      <w:tr>
        <w:tc>
          <w:tcPr>
            <w:tcW w:type="dxa" w:w="5083"/>
            <w:tcMar>
              <w:top w:w="80" w:type="dxa"/>
              <w:start w:w="100" w:type="dxa"/>
              <w:bottom w:w="80" w:type="dxa"/>
              <w:end w:w="100" w:type="dxa"/>
            </w:tcMar>
            <w:shd w:fill="F8FAFC"/>
          </w:tcPr>
          <w:p>
            <w:r>
              <w:rPr>
                <w:rFonts w:ascii="Noto Sans" w:hAnsi="Noto Sans" w:eastAsia="Noto Sans"/>
                <w:sz w:val="17"/>
              </w:rPr>
              <w:t>Categorical</w:t>
            </w:r>
          </w:p>
        </w:tc>
        <w:tc>
          <w:tcPr>
            <w:tcW w:type="dxa" w:w="5083"/>
            <w:tcMar>
              <w:top w:w="80" w:type="dxa"/>
              <w:start w:w="100" w:type="dxa"/>
              <w:bottom w:w="80" w:type="dxa"/>
              <w:end w:w="100" w:type="dxa"/>
            </w:tcMar>
            <w:shd w:fill="F8FAFC"/>
          </w:tcPr>
          <w:p>
            <w:r>
              <w:rPr>
                <w:rFonts w:ascii="Noto Sans" w:hAnsi="Noto Sans" w:eastAsia="Noto Sans"/>
                <w:sz w:val="17"/>
              </w:rPr>
              <w:t>Most-frequent imputation</w:t>
            </w:r>
          </w:p>
        </w:tc>
      </w:tr>
      <w:tr>
        <w:tc>
          <w:tcPr>
            <w:tcW w:type="dxa" w:w="5083"/>
            <w:tcMar>
              <w:top w:w="80" w:type="dxa"/>
              <w:start w:w="100" w:type="dxa"/>
              <w:bottom w:w="80" w:type="dxa"/>
              <w:end w:w="100" w:type="dxa"/>
            </w:tcMar>
          </w:tcPr>
          <w:p>
            <w:r>
              <w:rPr>
                <w:rFonts w:ascii="Noto Sans" w:hAnsi="Noto Sans" w:eastAsia="Noto Sans"/>
                <w:sz w:val="17"/>
              </w:rPr>
              <w:t>Categorical encoding</w:t>
            </w:r>
          </w:p>
        </w:tc>
        <w:tc>
          <w:tcPr>
            <w:tcW w:type="dxa" w:w="5083"/>
            <w:tcMar>
              <w:top w:w="80" w:type="dxa"/>
              <w:start w:w="100" w:type="dxa"/>
              <w:bottom w:w="80" w:type="dxa"/>
              <w:end w:w="100" w:type="dxa"/>
            </w:tcMar>
          </w:tcPr>
          <w:p>
            <w:r>
              <w:rPr>
                <w:rFonts w:ascii="Noto Sans" w:hAnsi="Noto Sans" w:eastAsia="Noto Sans"/>
                <w:sz w:val="17"/>
              </w:rPr>
              <w:t>One-hot encoding; unknown categories ignored at inference</w:t>
            </w:r>
          </w:p>
        </w:tc>
      </w:tr>
      <w:tr>
        <w:tc>
          <w:tcPr>
            <w:tcW w:type="dxa" w:w="5083"/>
            <w:tcMar>
              <w:top w:w="80" w:type="dxa"/>
              <w:start w:w="100" w:type="dxa"/>
              <w:bottom w:w="80" w:type="dxa"/>
              <w:end w:w="100" w:type="dxa"/>
            </w:tcMar>
            <w:shd w:fill="F8FAFC"/>
          </w:tcPr>
          <w:p>
            <w:r>
              <w:rPr>
                <w:rFonts w:ascii="Noto Sans" w:hAnsi="Noto Sans" w:eastAsia="Noto Sans"/>
                <w:sz w:val="17"/>
              </w:rPr>
              <w:t>Logistic Regression</w:t>
            </w:r>
          </w:p>
        </w:tc>
        <w:tc>
          <w:tcPr>
            <w:tcW w:type="dxa" w:w="5083"/>
            <w:tcMar>
              <w:top w:w="80" w:type="dxa"/>
              <w:start w:w="100" w:type="dxa"/>
              <w:bottom w:w="80" w:type="dxa"/>
              <w:end w:w="100" w:type="dxa"/>
            </w:tcMar>
            <w:shd w:fill="F8FAFC"/>
          </w:tcPr>
          <w:p>
            <w:r>
              <w:rPr>
                <w:rFonts w:ascii="Noto Sans" w:hAnsi="Noto Sans" w:eastAsia="Noto Sans"/>
                <w:sz w:val="17"/>
              </w:rPr>
              <w:t>Standardize numeric features</w:t>
            </w:r>
          </w:p>
        </w:tc>
      </w:tr>
      <w:tr>
        <w:tc>
          <w:tcPr>
            <w:tcW w:type="dxa" w:w="5083"/>
            <w:tcMar>
              <w:top w:w="80" w:type="dxa"/>
              <w:start w:w="100" w:type="dxa"/>
              <w:bottom w:w="80" w:type="dxa"/>
              <w:end w:w="100" w:type="dxa"/>
            </w:tcMar>
          </w:tcPr>
          <w:p>
            <w:r>
              <w:rPr>
                <w:rFonts w:ascii="Noto Sans" w:hAnsi="Noto Sans" w:eastAsia="Noto Sans"/>
                <w:sz w:val="17"/>
              </w:rPr>
              <w:t>Linear SVM</w:t>
            </w:r>
          </w:p>
        </w:tc>
        <w:tc>
          <w:tcPr>
            <w:tcW w:type="dxa" w:w="5083"/>
            <w:tcMar>
              <w:top w:w="80" w:type="dxa"/>
              <w:start w:w="100" w:type="dxa"/>
              <w:bottom w:w="80" w:type="dxa"/>
              <w:end w:w="100" w:type="dxa"/>
            </w:tcMar>
          </w:tcPr>
          <w:p>
            <w:r>
              <w:rPr>
                <w:rFonts w:ascii="Noto Sans" w:hAnsi="Noto Sans" w:eastAsia="Noto Sans"/>
                <w:sz w:val="17"/>
              </w:rPr>
              <w:t>Standardize numeric features</w:t>
            </w:r>
          </w:p>
        </w:tc>
      </w:tr>
      <w:tr>
        <w:tc>
          <w:tcPr>
            <w:tcW w:type="dxa" w:w="5083"/>
            <w:tcMar>
              <w:top w:w="80" w:type="dxa"/>
              <w:start w:w="100" w:type="dxa"/>
              <w:bottom w:w="80" w:type="dxa"/>
              <w:end w:w="100" w:type="dxa"/>
            </w:tcMar>
            <w:shd w:fill="F8FAFC"/>
          </w:tcPr>
          <w:p>
            <w:r>
              <w:rPr>
                <w:rFonts w:ascii="Noto Sans" w:hAnsi="Noto Sans" w:eastAsia="Noto Sans"/>
                <w:sz w:val="17"/>
              </w:rPr>
              <w:t>Random Forest</w:t>
            </w:r>
          </w:p>
        </w:tc>
        <w:tc>
          <w:tcPr>
            <w:tcW w:type="dxa" w:w="5083"/>
            <w:tcMar>
              <w:top w:w="80" w:type="dxa"/>
              <w:start w:w="100" w:type="dxa"/>
              <w:bottom w:w="80" w:type="dxa"/>
              <w:end w:w="100" w:type="dxa"/>
            </w:tcMar>
            <w:shd w:fill="F8FAFC"/>
          </w:tcPr>
          <w:p>
            <w:r>
              <w:rPr>
                <w:rFonts w:ascii="Noto Sans" w:hAnsi="Noto Sans" w:eastAsia="Noto Sans"/>
                <w:sz w:val="17"/>
              </w:rPr>
              <w:t>No numeric scaling required</w:t>
            </w:r>
          </w:p>
        </w:tc>
      </w:tr>
    </w:tbl>
    <w:p>
      <w:pPr>
        <w:spacing w:after="100" w:line="269" w:lineRule="auto"/>
      </w:pPr>
      <w:r>
        <w:rPr>
          <w:rFonts w:ascii="Noto Sans" w:hAnsi="Noto Sans" w:eastAsia="Noto Sans"/>
          <w:sz w:val="21"/>
        </w:rPr>
        <w:t>Automatic per-column missing indicators are intentionally disabled for assessment-score variables whose missingness masks are duplicated by domain-level assessment-availability and submission features. This reduces redundant transformed features and makes interpretation cleaner.</w:t>
      </w:r>
    </w:p>
    <w:p>
      <w:pPr>
        <w:pStyle w:val="Heading1"/>
        <w:tabs>
          <w:tab w:pos="9000" w:val="right" w:leader="dot"/>
        </w:tabs>
        <w:spacing w:after="40"/>
      </w:pPr>
      <w:r>
        <w:t>7. Candidate Models and Validation</w:t>
      </w:r>
    </w:p>
    <w:p>
      <w:pPr>
        <w:spacing w:after="100" w:line="269" w:lineRule="auto"/>
      </w:pPr>
      <w:r>
        <w:rPr>
          <w:rFonts w:ascii="Noto Sans" w:hAnsi="Noto Sans" w:eastAsia="Noto Sans"/>
          <w:sz w:val="21"/>
        </w:rPr>
        <w:t>The candidate set was chosen to represent an interpretable linear probabilistic baseline, a margin-based classifier, and a nonlinear tree ensemble. A neural-network extension is evaluated separately as a course-aligned deep-learning experiment.</w:t>
      </w:r>
    </w:p>
    <w:tbl>
      <w:tblPr>
        <w:tblStyle w:val="TableGrid"/>
        <w:tblW w:type="auto" w:w="0"/>
        <w:jc w:val="center"/>
        <w:tblLayout w:type="autofit"/>
        <w:tblLook w:firstColumn="1" w:firstRow="1" w:lastColumn="0" w:lastRow="0" w:noHBand="0" w:noVBand="1" w:val="04A0"/>
      </w:tblPr>
      <w:tblGrid>
        <w:gridCol w:w="2033"/>
        <w:gridCol w:w="2033"/>
        <w:gridCol w:w="2033"/>
        <w:gridCol w:w="2033"/>
        <w:gridCol w:w="2033"/>
      </w:tblGrid>
      <w:tr>
        <w:trPr>
          <w:tblHeader w:val="true"/>
        </w:trPr>
        <w:tc>
          <w:tcPr>
            <w:tcW w:type="dxa" w:w="2033"/>
            <w:shd w:fill="1D3557"/>
            <w:vAlign w:val="center"/>
            <w:tcMar>
              <w:top w:w="80" w:type="dxa"/>
              <w:start w:w="100" w:type="dxa"/>
              <w:bottom w:w="80" w:type="dxa"/>
              <w:end w:w="100" w:type="dxa"/>
            </w:tcMar>
          </w:tcPr>
          <w:p>
            <w:r>
              <w:rPr>
                <w:rFonts w:ascii="Noto Sans" w:hAnsi="Noto Sans" w:eastAsia="Noto Sans"/>
                <w:b/>
                <w:color w:val="FFFFFF"/>
                <w:sz w:val="18"/>
              </w:rPr>
              <w:t>Model</w:t>
            </w:r>
          </w:p>
        </w:tc>
        <w:tc>
          <w:tcPr>
            <w:tcW w:type="dxa" w:w="2033"/>
            <w:shd w:fill="1D3557"/>
            <w:vAlign w:val="center"/>
            <w:tcMar>
              <w:top w:w="80" w:type="dxa"/>
              <w:start w:w="100" w:type="dxa"/>
              <w:bottom w:w="80" w:type="dxa"/>
              <w:end w:w="100" w:type="dxa"/>
            </w:tcMar>
          </w:tcPr>
          <w:p>
            <w:r>
              <w:rPr>
                <w:rFonts w:ascii="Noto Sans" w:hAnsi="Noto Sans" w:eastAsia="Noto Sans"/>
                <w:b/>
                <w:color w:val="FFFFFF"/>
                <w:sz w:val="18"/>
              </w:rPr>
              <w:t>CV F1</w:t>
            </w:r>
          </w:p>
        </w:tc>
        <w:tc>
          <w:tcPr>
            <w:tcW w:type="dxa" w:w="2033"/>
            <w:shd w:fill="1D3557"/>
            <w:vAlign w:val="center"/>
            <w:tcMar>
              <w:top w:w="80" w:type="dxa"/>
              <w:start w:w="100" w:type="dxa"/>
              <w:bottom w:w="80" w:type="dxa"/>
              <w:end w:w="100" w:type="dxa"/>
            </w:tcMar>
          </w:tcPr>
          <w:p>
            <w:r>
              <w:rPr>
                <w:rFonts w:ascii="Noto Sans" w:hAnsi="Noto Sans" w:eastAsia="Noto Sans"/>
                <w:b/>
                <w:color w:val="FFFFFF"/>
                <w:sz w:val="18"/>
              </w:rPr>
              <w:t>CV Recall</w:t>
            </w:r>
          </w:p>
        </w:tc>
        <w:tc>
          <w:tcPr>
            <w:tcW w:type="dxa" w:w="2033"/>
            <w:shd w:fill="1D3557"/>
            <w:vAlign w:val="center"/>
            <w:tcMar>
              <w:top w:w="80" w:type="dxa"/>
              <w:start w:w="100" w:type="dxa"/>
              <w:bottom w:w="80" w:type="dxa"/>
              <w:end w:w="100" w:type="dxa"/>
            </w:tcMar>
          </w:tcPr>
          <w:p>
            <w:r>
              <w:rPr>
                <w:rFonts w:ascii="Noto Sans" w:hAnsi="Noto Sans" w:eastAsia="Noto Sans"/>
                <w:b/>
                <w:color w:val="FFFFFF"/>
                <w:sz w:val="18"/>
              </w:rPr>
              <w:t>CV ROC-AUC</w:t>
            </w:r>
          </w:p>
        </w:tc>
        <w:tc>
          <w:tcPr>
            <w:tcW w:type="dxa" w:w="2033"/>
            <w:shd w:fill="1D3557"/>
            <w:vAlign w:val="center"/>
            <w:tcMar>
              <w:top w:w="80" w:type="dxa"/>
              <w:start w:w="100" w:type="dxa"/>
              <w:bottom w:w="80" w:type="dxa"/>
              <w:end w:w="100" w:type="dxa"/>
            </w:tcMar>
          </w:tcPr>
          <w:p>
            <w:r>
              <w:rPr>
                <w:rFonts w:ascii="Noto Sans" w:hAnsi="Noto Sans" w:eastAsia="Noto Sans"/>
                <w:b/>
                <w:color w:val="FFFFFF"/>
                <w:sz w:val="18"/>
              </w:rPr>
              <w:t>CV PR-AUC</w:t>
            </w:r>
          </w:p>
        </w:tc>
      </w:tr>
      <w:tr>
        <w:tc>
          <w:tcPr>
            <w:tcW w:type="dxa" w:w="2033"/>
            <w:tcMar>
              <w:top w:w="80" w:type="dxa"/>
              <w:start w:w="100" w:type="dxa"/>
              <w:bottom w:w="80" w:type="dxa"/>
              <w:end w:w="100" w:type="dxa"/>
            </w:tcMar>
          </w:tcPr>
          <w:p>
            <w:r>
              <w:rPr>
                <w:rFonts w:ascii="Noto Sans" w:hAnsi="Noto Sans" w:eastAsia="Noto Sans"/>
                <w:sz w:val="17"/>
              </w:rPr>
              <w:t>Logistic Regression</w:t>
            </w:r>
          </w:p>
        </w:tc>
        <w:tc>
          <w:tcPr>
            <w:tcW w:type="dxa" w:w="2033"/>
            <w:tcMar>
              <w:top w:w="80" w:type="dxa"/>
              <w:start w:w="100" w:type="dxa"/>
              <w:bottom w:w="80" w:type="dxa"/>
              <w:end w:w="100" w:type="dxa"/>
            </w:tcMar>
          </w:tcPr>
          <w:p>
            <w:r>
              <w:rPr>
                <w:rFonts w:ascii="Noto Sans" w:hAnsi="Noto Sans" w:eastAsia="Noto Sans"/>
                <w:sz w:val="17"/>
              </w:rPr>
              <w:t>0.670 ± 0.010</w:t>
            </w:r>
          </w:p>
        </w:tc>
        <w:tc>
          <w:tcPr>
            <w:tcW w:type="dxa" w:w="2033"/>
            <w:tcMar>
              <w:top w:w="80" w:type="dxa"/>
              <w:start w:w="100" w:type="dxa"/>
              <w:bottom w:w="80" w:type="dxa"/>
              <w:end w:w="100" w:type="dxa"/>
            </w:tcMar>
          </w:tcPr>
          <w:p>
            <w:r>
              <w:rPr>
                <w:rFonts w:ascii="Noto Sans" w:hAnsi="Noto Sans" w:eastAsia="Noto Sans"/>
                <w:sz w:val="17"/>
              </w:rPr>
              <w:t>0.658</w:t>
            </w:r>
          </w:p>
        </w:tc>
        <w:tc>
          <w:tcPr>
            <w:tcW w:type="dxa" w:w="2033"/>
            <w:tcMar>
              <w:top w:w="80" w:type="dxa"/>
              <w:start w:w="100" w:type="dxa"/>
              <w:bottom w:w="80" w:type="dxa"/>
              <w:end w:w="100" w:type="dxa"/>
            </w:tcMar>
          </w:tcPr>
          <w:p>
            <w:r>
              <w:rPr>
                <w:rFonts w:ascii="Noto Sans" w:hAnsi="Noto Sans" w:eastAsia="Noto Sans"/>
                <w:sz w:val="17"/>
              </w:rPr>
              <w:t>0.785</w:t>
            </w:r>
          </w:p>
        </w:tc>
        <w:tc>
          <w:tcPr>
            <w:tcW w:type="dxa" w:w="2033"/>
            <w:tcMar>
              <w:top w:w="80" w:type="dxa"/>
              <w:start w:w="100" w:type="dxa"/>
              <w:bottom w:w="80" w:type="dxa"/>
              <w:end w:w="100" w:type="dxa"/>
            </w:tcMar>
          </w:tcPr>
          <w:p>
            <w:r>
              <w:rPr>
                <w:rFonts w:ascii="Noto Sans" w:hAnsi="Noto Sans" w:eastAsia="Noto Sans"/>
                <w:sz w:val="17"/>
              </w:rPr>
              <w:t>0.763</w:t>
            </w:r>
          </w:p>
        </w:tc>
      </w:tr>
      <w:tr>
        <w:tc>
          <w:tcPr>
            <w:tcW w:type="dxa" w:w="2033"/>
            <w:tcMar>
              <w:top w:w="80" w:type="dxa"/>
              <w:start w:w="100" w:type="dxa"/>
              <w:bottom w:w="80" w:type="dxa"/>
              <w:end w:w="100" w:type="dxa"/>
            </w:tcMar>
            <w:shd w:fill="F8FAFC"/>
          </w:tcPr>
          <w:p>
            <w:r>
              <w:rPr>
                <w:rFonts w:ascii="Noto Sans" w:hAnsi="Noto Sans" w:eastAsia="Noto Sans"/>
                <w:sz w:val="17"/>
              </w:rPr>
              <w:t>Linear SVM</w:t>
            </w:r>
          </w:p>
        </w:tc>
        <w:tc>
          <w:tcPr>
            <w:tcW w:type="dxa" w:w="2033"/>
            <w:tcMar>
              <w:top w:w="80" w:type="dxa"/>
              <w:start w:w="100" w:type="dxa"/>
              <w:bottom w:w="80" w:type="dxa"/>
              <w:end w:w="100" w:type="dxa"/>
            </w:tcMar>
            <w:shd w:fill="F8FAFC"/>
          </w:tcPr>
          <w:p>
            <w:r>
              <w:rPr>
                <w:rFonts w:ascii="Noto Sans" w:hAnsi="Noto Sans" w:eastAsia="Noto Sans"/>
                <w:sz w:val="17"/>
              </w:rPr>
              <w:t>0.667 ± 0.010</w:t>
            </w:r>
          </w:p>
        </w:tc>
        <w:tc>
          <w:tcPr>
            <w:tcW w:type="dxa" w:w="2033"/>
            <w:tcMar>
              <w:top w:w="80" w:type="dxa"/>
              <w:start w:w="100" w:type="dxa"/>
              <w:bottom w:w="80" w:type="dxa"/>
              <w:end w:w="100" w:type="dxa"/>
            </w:tcMar>
            <w:shd w:fill="F8FAFC"/>
          </w:tcPr>
          <w:p>
            <w:r>
              <w:rPr>
                <w:rFonts w:ascii="Noto Sans" w:hAnsi="Noto Sans" w:eastAsia="Noto Sans"/>
                <w:sz w:val="17"/>
              </w:rPr>
              <w:t>0.648</w:t>
            </w:r>
          </w:p>
        </w:tc>
        <w:tc>
          <w:tcPr>
            <w:tcW w:type="dxa" w:w="2033"/>
            <w:tcMar>
              <w:top w:w="80" w:type="dxa"/>
              <w:start w:w="100" w:type="dxa"/>
              <w:bottom w:w="80" w:type="dxa"/>
              <w:end w:w="100" w:type="dxa"/>
            </w:tcMar>
            <w:shd w:fill="F8FAFC"/>
          </w:tcPr>
          <w:p>
            <w:r>
              <w:rPr>
                <w:rFonts w:ascii="Noto Sans" w:hAnsi="Noto Sans" w:eastAsia="Noto Sans"/>
                <w:sz w:val="17"/>
              </w:rPr>
              <w:t>0.785</w:t>
            </w:r>
          </w:p>
        </w:tc>
        <w:tc>
          <w:tcPr>
            <w:tcW w:type="dxa" w:w="2033"/>
            <w:tcMar>
              <w:top w:w="80" w:type="dxa"/>
              <w:start w:w="100" w:type="dxa"/>
              <w:bottom w:w="80" w:type="dxa"/>
              <w:end w:w="100" w:type="dxa"/>
            </w:tcMar>
            <w:shd w:fill="F8FAFC"/>
          </w:tcPr>
          <w:p>
            <w:r>
              <w:rPr>
                <w:rFonts w:ascii="Noto Sans" w:hAnsi="Noto Sans" w:eastAsia="Noto Sans"/>
                <w:sz w:val="17"/>
              </w:rPr>
              <w:t>0.763</w:t>
            </w:r>
          </w:p>
        </w:tc>
      </w:tr>
      <w:tr>
        <w:tc>
          <w:tcPr>
            <w:tcW w:type="dxa" w:w="2033"/>
            <w:tcMar>
              <w:top w:w="80" w:type="dxa"/>
              <w:start w:w="100" w:type="dxa"/>
              <w:bottom w:w="80" w:type="dxa"/>
              <w:end w:w="100" w:type="dxa"/>
            </w:tcMar>
          </w:tcPr>
          <w:p>
            <w:r>
              <w:rPr>
                <w:rFonts w:ascii="Noto Sans" w:hAnsi="Noto Sans" w:eastAsia="Noto Sans"/>
                <w:sz w:val="17"/>
              </w:rPr>
              <w:t>Random Forest</w:t>
            </w:r>
          </w:p>
        </w:tc>
        <w:tc>
          <w:tcPr>
            <w:tcW w:type="dxa" w:w="2033"/>
            <w:tcMar>
              <w:top w:w="80" w:type="dxa"/>
              <w:start w:w="100" w:type="dxa"/>
              <w:bottom w:w="80" w:type="dxa"/>
              <w:end w:w="100" w:type="dxa"/>
            </w:tcMar>
          </w:tcPr>
          <w:p>
            <w:r>
              <w:rPr>
                <w:rFonts w:ascii="Noto Sans" w:hAnsi="Noto Sans" w:eastAsia="Noto Sans"/>
                <w:sz w:val="17"/>
              </w:rPr>
              <w:t>0.652 ± 0.008</w:t>
            </w:r>
          </w:p>
        </w:tc>
        <w:tc>
          <w:tcPr>
            <w:tcW w:type="dxa" w:w="2033"/>
            <w:tcMar>
              <w:top w:w="80" w:type="dxa"/>
              <w:start w:w="100" w:type="dxa"/>
              <w:bottom w:w="80" w:type="dxa"/>
              <w:end w:w="100" w:type="dxa"/>
            </w:tcMar>
          </w:tcPr>
          <w:p>
            <w:r>
              <w:rPr>
                <w:rFonts w:ascii="Noto Sans" w:hAnsi="Noto Sans" w:eastAsia="Noto Sans"/>
                <w:sz w:val="17"/>
              </w:rPr>
              <w:t>0.610</w:t>
            </w:r>
          </w:p>
        </w:tc>
        <w:tc>
          <w:tcPr>
            <w:tcW w:type="dxa" w:w="2033"/>
            <w:tcMar>
              <w:top w:w="80" w:type="dxa"/>
              <w:start w:w="100" w:type="dxa"/>
              <w:bottom w:w="80" w:type="dxa"/>
              <w:end w:w="100" w:type="dxa"/>
            </w:tcMar>
          </w:tcPr>
          <w:p>
            <w:r>
              <w:rPr>
                <w:rFonts w:ascii="Noto Sans" w:hAnsi="Noto Sans" w:eastAsia="Noto Sans"/>
                <w:sz w:val="17"/>
              </w:rPr>
              <w:t>0.777</w:t>
            </w:r>
          </w:p>
        </w:tc>
        <w:tc>
          <w:tcPr>
            <w:tcW w:type="dxa" w:w="2033"/>
            <w:tcMar>
              <w:top w:w="80" w:type="dxa"/>
              <w:start w:w="100" w:type="dxa"/>
              <w:bottom w:w="80" w:type="dxa"/>
              <w:end w:w="100" w:type="dxa"/>
            </w:tcMar>
          </w:tcPr>
          <w:p>
            <w:r>
              <w:rPr>
                <w:rFonts w:ascii="Noto Sans" w:hAnsi="Noto Sans" w:eastAsia="Noto Sans"/>
                <w:sz w:val="17"/>
              </w:rPr>
              <w:t>0.758</w:t>
            </w:r>
          </w:p>
        </w:tc>
      </w:tr>
    </w:tbl>
    <w:p>
      <w:pPr>
        <w:jc w:val="center"/>
      </w:pPr>
      <w:r>
        <w:drawing>
          <wp:inline xmlns:a="http://schemas.openxmlformats.org/drawingml/2006/main" xmlns:pic="http://schemas.openxmlformats.org/drawingml/2006/picture">
            <wp:extent cx="5943600" cy="3325237"/>
            <wp:docPr id="5" name="Picture 5" descr="Grouped bar chart comparing development 5-fold CV F1, recall, ROC-AUC, and PR-AUC for Logistic Regression, Linear SVM, and Random Forest." title="Student Risk Project Figure"/>
            <wp:cNvGraphicFramePr>
              <a:graphicFrameLocks noChangeAspect="1"/>
            </wp:cNvGraphicFramePr>
            <a:graphic>
              <a:graphicData uri="http://schemas.openxmlformats.org/drawingml/2006/picture">
                <pic:pic>
                  <pic:nvPicPr>
                    <pic:cNvPr id="0" name="model_comparison.png"/>
                    <pic:cNvPicPr/>
                  </pic:nvPicPr>
                  <pic:blipFill>
                    <a:blip r:embed="rId13"/>
                    <a:stretch>
                      <a:fillRect/>
                    </a:stretch>
                  </pic:blipFill>
                  <pic:spPr>
                    <a:xfrm>
                      <a:off x="0" y="0"/>
                      <a:ext cx="5943600" cy="3325237"/>
                    </a:xfrm>
                    <a:prstGeom prst="rect"/>
                  </pic:spPr>
                </pic:pic>
              </a:graphicData>
            </a:graphic>
          </wp:inline>
        </w:drawing>
      </w:r>
    </w:p>
    <w:p>
      <w:pPr>
        <w:pStyle w:val="Caption"/>
        <w:jc w:val="center"/>
      </w:pPr>
      <w:r>
        <w:rPr>
          <w:rFonts w:ascii="Noto Sans" w:hAnsi="Noto Sans" w:eastAsia="Noto Sans"/>
          <w:i/>
          <w:color w:val="667085"/>
          <w:sz w:val="17"/>
        </w:rPr>
        <w:t>Figure 4. Development-set 5-fold group-aware model comparison.</w:t>
      </w:r>
    </w:p>
    <w:p>
      <w:pPr>
        <w:pStyle w:val="Heading1"/>
        <w:tabs>
          <w:tab w:pos="9000" w:val="right" w:leader="dot"/>
        </w:tabs>
        <w:spacing w:after="40"/>
      </w:pPr>
      <w:r>
        <w:t>8. Hyperparameter Tuning and Model Selection</w:t>
      </w:r>
    </w:p>
    <w:p>
      <w:pPr>
        <w:spacing w:after="100" w:line="269" w:lineRule="auto"/>
      </w:pPr>
      <w:r>
        <w:rPr>
          <w:rFonts w:ascii="Noto Sans" w:hAnsi="Noto Sans" w:eastAsia="Noto Sans"/>
          <w:sz w:val="21"/>
        </w:rPr>
        <w:t>Candidate hyperparameters are evaluated using 5-fold StratifiedGroupKFold on development data. Model selection uses mean CV F1 as the primary criterion, with recall and ROC-AUC used as tie-breakers. The selected model is Logistic Regression with C=0.05 and class_weight=balanced.</w:t>
      </w:r>
    </w:p>
    <w:tbl>
      <w:tblPr>
        <w:tblW w:type="auto" w:w="0"/>
        <w:jc w:val="center"/>
        <w:tblLayout w:type="autofit"/>
        <w:tblLook w:firstColumn="1" w:firstRow="1" w:lastColumn="0" w:lastRow="0" w:noHBand="0" w:noVBand="1" w:val="04A0"/>
      </w:tblPr>
      <w:tblGrid>
        <w:gridCol w:w="10166"/>
      </w:tblGrid>
      <w:tr>
        <w:trPr>
          <w:tblHeader w:val="true"/>
        </w:trPr>
        <w:tc>
          <w:tcPr>
            <w:tcW w:type="dxa" w:w="10166"/>
            <w:shd w:fill="F7F9FC"/>
            <w:tcMar>
              <w:top w:w="120" w:type="dxa"/>
              <w:start w:w="140" w:type="dxa"/>
              <w:bottom w:w="120" w:type="dxa"/>
              <w:end w:w="140" w:type="dxa"/>
            </w:tcMar>
          </w:tcPr>
          <w:p>
            <w:r>
              <w:rPr>
                <w:rFonts w:ascii="Noto Sans" w:hAnsi="Noto Sans" w:eastAsia="Noto Sans"/>
                <w:b/>
                <w:color w:val="3766E8"/>
                <w:sz w:val="20"/>
              </w:rPr>
              <w:t xml:space="preserve">Why Logistic Regression?  </w:t>
            </w:r>
            <w:r>
              <w:rPr>
                <w:rFonts w:ascii="Noto Sans" w:hAnsi="Noto Sans" w:eastAsia="Noto Sans"/>
                <w:color w:val="172033"/>
                <w:sz w:val="19"/>
              </w:rPr>
              <w:t>It achieved the strongest CV F1 while remaining interpretable, fast, easy to calibrate, and competitive in ROC-AUC. The result also demonstrates that a more complex model is not automatically better for structured tabular data.</w:t>
            </w:r>
          </w:p>
        </w:tc>
      </w:tr>
    </w:tbl>
    <w:p>
      <w:pPr>
        <w:spacing w:after="0"/>
      </w:pPr>
    </w:p>
    <w:p>
      <w:pPr>
        <w:pStyle w:val="Heading1"/>
      </w:pPr>
      <w:r>
        <w:rPr>
          <w:rFonts w:ascii="Noto Sans" w:hAnsi="Noto Sans" w:eastAsia="Noto Sans"/>
          <w:b/>
          <w:color w:val="1D3557"/>
          <w:sz w:val="36"/>
        </w:rPr>
        <w:t>9. Probability Calibration and Risk Bands</w:t>
      </w:r>
    </w:p>
    <w:p>
      <w:pPr>
        <w:spacing w:after="100" w:line="269" w:lineRule="auto"/>
      </w:pPr>
      <w:r>
        <w:rPr>
          <w:rFonts w:ascii="Noto Sans" w:hAnsi="Noto Sans" w:eastAsia="Noto Sans"/>
          <w:sz w:val="21"/>
        </w:rPr>
        <w:t>The selected model score is converted to a calibrated probability using a Logistic Regression calibrator fitted on student-group-aware out-of-fold development scores. Risk thresholds are derived exclusively from development OOF probabilities.</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3389"/>
            <w:shd w:fill="1D3557"/>
            <w:vAlign w:val="center"/>
            <w:tcMar>
              <w:top w:w="80" w:type="dxa"/>
              <w:start w:w="100" w:type="dxa"/>
              <w:bottom w:w="80" w:type="dxa"/>
              <w:end w:w="100" w:type="dxa"/>
            </w:tcMar>
          </w:tcPr>
          <w:p>
            <w:r>
              <w:rPr>
                <w:rFonts w:ascii="Noto Sans" w:hAnsi="Noto Sans" w:eastAsia="Noto Sans"/>
                <w:b/>
                <w:color w:val="FFFFFF"/>
                <w:sz w:val="18"/>
              </w:rPr>
              <w:t>Band</w:t>
            </w:r>
          </w:p>
        </w:tc>
        <w:tc>
          <w:tcPr>
            <w:tcW w:type="dxa" w:w="3389"/>
            <w:shd w:fill="1D3557"/>
            <w:vAlign w:val="center"/>
            <w:tcMar>
              <w:top w:w="80" w:type="dxa"/>
              <w:start w:w="100" w:type="dxa"/>
              <w:bottom w:w="80" w:type="dxa"/>
              <w:end w:w="100" w:type="dxa"/>
            </w:tcMar>
          </w:tcPr>
          <w:p>
            <w:r>
              <w:rPr>
                <w:rFonts w:ascii="Noto Sans" w:hAnsi="Noto Sans" w:eastAsia="Noto Sans"/>
                <w:b/>
                <w:color w:val="FFFFFF"/>
                <w:sz w:val="18"/>
              </w:rPr>
              <w:t>Rule</w:t>
            </w:r>
          </w:p>
        </w:tc>
        <w:tc>
          <w:tcPr>
            <w:tcW w:type="dxa" w:w="3389"/>
            <w:shd w:fill="1D3557"/>
            <w:vAlign w:val="center"/>
            <w:tcMar>
              <w:top w:w="80" w:type="dxa"/>
              <w:start w:w="100" w:type="dxa"/>
              <w:bottom w:w="80" w:type="dxa"/>
              <w:end w:w="100" w:type="dxa"/>
            </w:tcMar>
          </w:tcPr>
          <w:p>
            <w:r>
              <w:rPr>
                <w:rFonts w:ascii="Noto Sans" w:hAnsi="Noto Sans" w:eastAsia="Noto Sans"/>
                <w:b/>
                <w:color w:val="FFFFFF"/>
                <w:sz w:val="18"/>
              </w:rPr>
              <w:t>Interpretation</w:t>
            </w:r>
          </w:p>
        </w:tc>
      </w:tr>
      <w:tr>
        <w:tc>
          <w:tcPr>
            <w:tcW w:type="dxa" w:w="3389"/>
            <w:tcMar>
              <w:top w:w="80" w:type="dxa"/>
              <w:start w:w="100" w:type="dxa"/>
              <w:bottom w:w="80" w:type="dxa"/>
              <w:end w:w="100" w:type="dxa"/>
            </w:tcMar>
          </w:tcPr>
          <w:p>
            <w:r>
              <w:rPr>
                <w:rFonts w:ascii="Noto Sans" w:hAnsi="Noto Sans" w:eastAsia="Noto Sans"/>
                <w:sz w:val="17"/>
              </w:rPr>
              <w:t>Lower risk</w:t>
            </w:r>
          </w:p>
        </w:tc>
        <w:tc>
          <w:tcPr>
            <w:tcW w:type="dxa" w:w="3389"/>
            <w:tcMar>
              <w:top w:w="80" w:type="dxa"/>
              <w:start w:w="100" w:type="dxa"/>
              <w:bottom w:w="80" w:type="dxa"/>
              <w:end w:w="100" w:type="dxa"/>
            </w:tcMar>
          </w:tcPr>
          <w:p>
            <w:r>
              <w:rPr>
                <w:rFonts w:ascii="Noto Sans" w:hAnsi="Noto Sans" w:eastAsia="Noto Sans"/>
                <w:sz w:val="17"/>
              </w:rPr>
              <w:t>p &lt; 0.2509</w:t>
            </w:r>
          </w:p>
        </w:tc>
        <w:tc>
          <w:tcPr>
            <w:tcW w:type="dxa" w:w="3389"/>
            <w:tcMar>
              <w:top w:w="80" w:type="dxa"/>
              <w:start w:w="100" w:type="dxa"/>
              <w:bottom w:w="80" w:type="dxa"/>
              <w:end w:w="100" w:type="dxa"/>
            </w:tcMar>
          </w:tcPr>
          <w:p>
            <w:r>
              <w:rPr>
                <w:rFonts w:ascii="Noto Sans" w:hAnsi="Noto Sans" w:eastAsia="Noto Sans"/>
                <w:sz w:val="17"/>
              </w:rPr>
              <w:t>Lower relative modeled risk; not guaranteed success</w:t>
            </w:r>
          </w:p>
        </w:tc>
      </w:tr>
      <w:tr>
        <w:tc>
          <w:tcPr>
            <w:tcW w:type="dxa" w:w="3389"/>
            <w:tcMar>
              <w:top w:w="80" w:type="dxa"/>
              <w:start w:w="100" w:type="dxa"/>
              <w:bottom w:w="80" w:type="dxa"/>
              <w:end w:w="100" w:type="dxa"/>
            </w:tcMar>
            <w:shd w:fill="F8FAFC"/>
          </w:tcPr>
          <w:p>
            <w:r>
              <w:rPr>
                <w:rFonts w:ascii="Noto Sans" w:hAnsi="Noto Sans" w:eastAsia="Noto Sans"/>
                <w:sz w:val="17"/>
              </w:rPr>
              <w:t>Medium risk</w:t>
            </w:r>
          </w:p>
        </w:tc>
        <w:tc>
          <w:tcPr>
            <w:tcW w:type="dxa" w:w="3389"/>
            <w:tcMar>
              <w:top w:w="80" w:type="dxa"/>
              <w:start w:w="100" w:type="dxa"/>
              <w:bottom w:w="80" w:type="dxa"/>
              <w:end w:w="100" w:type="dxa"/>
            </w:tcMar>
            <w:shd w:fill="F8FAFC"/>
          </w:tcPr>
          <w:p>
            <w:r>
              <w:rPr>
                <w:rFonts w:ascii="Noto Sans" w:hAnsi="Noto Sans" w:eastAsia="Noto Sans"/>
                <w:sz w:val="17"/>
              </w:rPr>
              <w:t>0.2509 ≤ p &lt; 0.3197</w:t>
            </w:r>
          </w:p>
        </w:tc>
        <w:tc>
          <w:tcPr>
            <w:tcW w:type="dxa" w:w="3389"/>
            <w:tcMar>
              <w:top w:w="80" w:type="dxa"/>
              <w:start w:w="100" w:type="dxa"/>
              <w:bottom w:w="80" w:type="dxa"/>
              <w:end w:w="100" w:type="dxa"/>
            </w:tcMar>
            <w:shd w:fill="F8FAFC"/>
          </w:tcPr>
          <w:p>
            <w:r>
              <w:rPr>
                <w:rFonts w:ascii="Noto Sans" w:hAnsi="Noto Sans" w:eastAsia="Noto Sans"/>
                <w:sz w:val="17"/>
              </w:rPr>
              <w:t>Intermediate modeled risk</w:t>
            </w:r>
          </w:p>
        </w:tc>
      </w:tr>
      <w:tr>
        <w:tc>
          <w:tcPr>
            <w:tcW w:type="dxa" w:w="3389"/>
            <w:tcMar>
              <w:top w:w="80" w:type="dxa"/>
              <w:start w:w="100" w:type="dxa"/>
              <w:bottom w:w="80" w:type="dxa"/>
              <w:end w:w="100" w:type="dxa"/>
            </w:tcMar>
          </w:tcPr>
          <w:p>
            <w:r>
              <w:rPr>
                <w:rFonts w:ascii="Noto Sans" w:hAnsi="Noto Sans" w:eastAsia="Noto Sans"/>
                <w:sz w:val="17"/>
              </w:rPr>
              <w:t>Higher risk</w:t>
            </w:r>
          </w:p>
        </w:tc>
        <w:tc>
          <w:tcPr>
            <w:tcW w:type="dxa" w:w="3389"/>
            <w:tcMar>
              <w:top w:w="80" w:type="dxa"/>
              <w:start w:w="100" w:type="dxa"/>
              <w:bottom w:w="80" w:type="dxa"/>
              <w:end w:w="100" w:type="dxa"/>
            </w:tcMar>
          </w:tcPr>
          <w:p>
            <w:r>
              <w:rPr>
                <w:rFonts w:ascii="Noto Sans" w:hAnsi="Noto Sans" w:eastAsia="Noto Sans"/>
                <w:sz w:val="17"/>
              </w:rPr>
              <w:t>p ≥ 0.3197</w:t>
            </w:r>
          </w:p>
        </w:tc>
        <w:tc>
          <w:tcPr>
            <w:tcW w:type="dxa" w:w="3389"/>
            <w:tcMar>
              <w:top w:w="80" w:type="dxa"/>
              <w:start w:w="100" w:type="dxa"/>
              <w:bottom w:w="80" w:type="dxa"/>
              <w:end w:w="100" w:type="dxa"/>
            </w:tcMar>
          </w:tcPr>
          <w:p>
            <w:r>
              <w:rPr>
                <w:rFonts w:ascii="Noto Sans" w:hAnsi="Noto Sans" w:eastAsia="Noto Sans"/>
                <w:sz w:val="17"/>
              </w:rPr>
              <w:t>Triggers the recall-focused support alert</w:t>
            </w:r>
          </w:p>
        </w:tc>
      </w:tr>
    </w:tbl>
    <w:p>
      <w:pPr>
        <w:jc w:val="center"/>
      </w:pPr>
      <w:r>
        <w:drawing>
          <wp:inline xmlns:a="http://schemas.openxmlformats.org/drawingml/2006/main" xmlns:pic="http://schemas.openxmlformats.org/drawingml/2006/picture">
            <wp:extent cx="5303520" cy="4419600"/>
            <wp:docPr id="6" name="Picture 6" descr="Calibration curve on the locked evaluation holdout comparing mean predicted probability with observed risk frequency." title="Student Risk Project Figure"/>
            <wp:cNvGraphicFramePr>
              <a:graphicFrameLocks noChangeAspect="1"/>
            </wp:cNvGraphicFramePr>
            <a:graphic>
              <a:graphicData uri="http://schemas.openxmlformats.org/drawingml/2006/picture">
                <pic:pic>
                  <pic:nvPicPr>
                    <pic:cNvPr id="0" name="calibration_curve.png"/>
                    <pic:cNvPicPr/>
                  </pic:nvPicPr>
                  <pic:blipFill>
                    <a:blip r:embed="rId14"/>
                    <a:stretch>
                      <a:fillRect/>
                    </a:stretch>
                  </pic:blipFill>
                  <pic:spPr>
                    <a:xfrm>
                      <a:off x="0" y="0"/>
                      <a:ext cx="5303520" cy="4419600"/>
                    </a:xfrm>
                    <a:prstGeom prst="rect"/>
                  </pic:spPr>
                </pic:pic>
              </a:graphicData>
            </a:graphic>
          </wp:inline>
        </w:drawing>
      </w:r>
    </w:p>
    <w:p>
      <w:pPr>
        <w:pStyle w:val="Caption"/>
        <w:jc w:val="center"/>
      </w:pPr>
      <w:r>
        <w:rPr>
          <w:rFonts w:ascii="Noto Sans" w:hAnsi="Noto Sans" w:eastAsia="Noto Sans"/>
          <w:i/>
          <w:color w:val="667085"/>
          <w:sz w:val="17"/>
        </w:rPr>
        <w:t>Figure 5. Calibration curve for the selected model.</w:t>
      </w:r>
    </w:p>
    <w:p>
      <w:pPr>
        <w:pStyle w:val="Heading1"/>
      </w:pPr>
      <w:r>
        <w:rPr>
          <w:rFonts w:ascii="Noto Sans" w:hAnsi="Noto Sans" w:eastAsia="Noto Sans"/>
          <w:b/>
          <w:color w:val="1D3557"/>
          <w:sz w:val="36"/>
        </w:rPr>
        <w:t>10. Final Evaluation</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D3557"/>
            <w:vAlign w:val="center"/>
            <w:tcMar>
              <w:top w:w="80" w:type="dxa"/>
              <w:start w:w="100" w:type="dxa"/>
              <w:bottom w:w="80" w:type="dxa"/>
              <w:end w:w="100" w:type="dxa"/>
            </w:tcMar>
          </w:tcPr>
          <w:p>
            <w:r>
              <w:rPr>
                <w:rFonts w:ascii="Noto Sans" w:hAnsi="Noto Sans" w:eastAsia="Noto Sans"/>
                <w:b/>
                <w:color w:val="FFFFFF"/>
                <w:sz w:val="18"/>
              </w:rPr>
              <w:t>Metric</w:t>
            </w:r>
          </w:p>
        </w:tc>
        <w:tc>
          <w:tcPr>
            <w:tcW w:type="dxa" w:w="5083"/>
            <w:shd w:fill="1D3557"/>
            <w:vAlign w:val="center"/>
            <w:tcMar>
              <w:top w:w="80" w:type="dxa"/>
              <w:start w:w="100" w:type="dxa"/>
              <w:bottom w:w="80" w:type="dxa"/>
              <w:end w:w="100" w:type="dxa"/>
            </w:tcMar>
          </w:tcPr>
          <w:p>
            <w:r>
              <w:rPr>
                <w:rFonts w:ascii="Noto Sans" w:hAnsi="Noto Sans" w:eastAsia="Noto Sans"/>
                <w:b/>
                <w:color w:val="FFFFFF"/>
                <w:sz w:val="18"/>
              </w:rPr>
              <w:t>Value</w:t>
            </w:r>
          </w:p>
        </w:tc>
      </w:tr>
      <w:tr>
        <w:tc>
          <w:tcPr>
            <w:tcW w:type="dxa" w:w="5083"/>
            <w:tcMar>
              <w:top w:w="80" w:type="dxa"/>
              <w:start w:w="100" w:type="dxa"/>
              <w:bottom w:w="80" w:type="dxa"/>
              <w:end w:w="100" w:type="dxa"/>
            </w:tcMar>
          </w:tcPr>
          <w:p>
            <w:r>
              <w:rPr>
                <w:rFonts w:ascii="Noto Sans" w:hAnsi="Noto Sans" w:eastAsia="Noto Sans"/>
                <w:sz w:val="17"/>
              </w:rPr>
              <w:t>Accuracy</w:t>
            </w:r>
          </w:p>
        </w:tc>
        <w:tc>
          <w:tcPr>
            <w:tcW w:type="dxa" w:w="5083"/>
            <w:tcMar>
              <w:top w:w="80" w:type="dxa"/>
              <w:start w:w="100" w:type="dxa"/>
              <w:bottom w:w="80" w:type="dxa"/>
              <w:end w:w="100" w:type="dxa"/>
            </w:tcMar>
          </w:tcPr>
          <w:p>
            <w:r>
              <w:rPr>
                <w:rFonts w:ascii="Noto Sans" w:hAnsi="Noto Sans" w:eastAsia="Noto Sans"/>
                <w:sz w:val="17"/>
              </w:rPr>
              <w:t>0.687</w:t>
            </w:r>
          </w:p>
        </w:tc>
      </w:tr>
      <w:tr>
        <w:tc>
          <w:tcPr>
            <w:tcW w:type="dxa" w:w="5083"/>
            <w:tcMar>
              <w:top w:w="80" w:type="dxa"/>
              <w:start w:w="100" w:type="dxa"/>
              <w:bottom w:w="80" w:type="dxa"/>
              <w:end w:w="100" w:type="dxa"/>
            </w:tcMar>
            <w:shd w:fill="F8FAFC"/>
          </w:tcPr>
          <w:p>
            <w:r>
              <w:rPr>
                <w:rFonts w:ascii="Noto Sans" w:hAnsi="Noto Sans" w:eastAsia="Noto Sans"/>
                <w:sz w:val="17"/>
              </w:rPr>
              <w:t>Precision</w:t>
            </w:r>
          </w:p>
        </w:tc>
        <w:tc>
          <w:tcPr>
            <w:tcW w:type="dxa" w:w="5083"/>
            <w:tcMar>
              <w:top w:w="80" w:type="dxa"/>
              <w:start w:w="100" w:type="dxa"/>
              <w:bottom w:w="80" w:type="dxa"/>
              <w:end w:w="100" w:type="dxa"/>
            </w:tcMar>
            <w:shd w:fill="F8FAFC"/>
          </w:tcPr>
          <w:p>
            <w:r>
              <w:rPr>
                <w:rFonts w:ascii="Noto Sans" w:hAnsi="Noto Sans" w:eastAsia="Noto Sans"/>
                <w:sz w:val="17"/>
              </w:rPr>
              <w:t>0.606</w:t>
            </w:r>
          </w:p>
        </w:tc>
      </w:tr>
      <w:tr>
        <w:tc>
          <w:tcPr>
            <w:tcW w:type="dxa" w:w="5083"/>
            <w:tcMar>
              <w:top w:w="80" w:type="dxa"/>
              <w:start w:w="100" w:type="dxa"/>
              <w:bottom w:w="80" w:type="dxa"/>
              <w:end w:w="100" w:type="dxa"/>
            </w:tcMar>
          </w:tcPr>
          <w:p>
            <w:r>
              <w:rPr>
                <w:rFonts w:ascii="Noto Sans" w:hAnsi="Noto Sans" w:eastAsia="Noto Sans"/>
                <w:sz w:val="17"/>
              </w:rPr>
              <w:t>Recall</w:t>
            </w:r>
          </w:p>
        </w:tc>
        <w:tc>
          <w:tcPr>
            <w:tcW w:type="dxa" w:w="5083"/>
            <w:tcMar>
              <w:top w:w="80" w:type="dxa"/>
              <w:start w:w="100" w:type="dxa"/>
              <w:bottom w:w="80" w:type="dxa"/>
              <w:end w:w="100" w:type="dxa"/>
            </w:tcMar>
          </w:tcPr>
          <w:p>
            <w:r>
              <w:rPr>
                <w:rFonts w:ascii="Noto Sans" w:hAnsi="Noto Sans" w:eastAsia="Noto Sans"/>
                <w:sz w:val="17"/>
              </w:rPr>
              <w:t>0.832</w:t>
            </w:r>
          </w:p>
        </w:tc>
      </w:tr>
      <w:tr>
        <w:tc>
          <w:tcPr>
            <w:tcW w:type="dxa" w:w="5083"/>
            <w:tcMar>
              <w:top w:w="80" w:type="dxa"/>
              <w:start w:w="100" w:type="dxa"/>
              <w:bottom w:w="80" w:type="dxa"/>
              <w:end w:w="100" w:type="dxa"/>
            </w:tcMar>
            <w:shd w:fill="F8FAFC"/>
          </w:tcPr>
          <w:p>
            <w:r>
              <w:rPr>
                <w:rFonts w:ascii="Noto Sans" w:hAnsi="Noto Sans" w:eastAsia="Noto Sans"/>
                <w:sz w:val="17"/>
              </w:rPr>
              <w:t>F1</w:t>
            </w:r>
          </w:p>
        </w:tc>
        <w:tc>
          <w:tcPr>
            <w:tcW w:type="dxa" w:w="5083"/>
            <w:tcMar>
              <w:top w:w="80" w:type="dxa"/>
              <w:start w:w="100" w:type="dxa"/>
              <w:bottom w:w="80" w:type="dxa"/>
              <w:end w:w="100" w:type="dxa"/>
            </w:tcMar>
            <w:shd w:fill="F8FAFC"/>
          </w:tcPr>
          <w:p>
            <w:r>
              <w:rPr>
                <w:rFonts w:ascii="Noto Sans" w:hAnsi="Noto Sans" w:eastAsia="Noto Sans"/>
                <w:sz w:val="17"/>
              </w:rPr>
              <w:t>0.701</w:t>
            </w:r>
          </w:p>
        </w:tc>
      </w:tr>
      <w:tr>
        <w:tc>
          <w:tcPr>
            <w:tcW w:type="dxa" w:w="5083"/>
            <w:tcMar>
              <w:top w:w="80" w:type="dxa"/>
              <w:start w:w="100" w:type="dxa"/>
              <w:bottom w:w="80" w:type="dxa"/>
              <w:end w:w="100" w:type="dxa"/>
            </w:tcMar>
          </w:tcPr>
          <w:p>
            <w:r>
              <w:rPr>
                <w:rFonts w:ascii="Noto Sans" w:hAnsi="Noto Sans" w:eastAsia="Noto Sans"/>
                <w:sz w:val="17"/>
              </w:rPr>
              <w:t>ROC-AUC</w:t>
            </w:r>
          </w:p>
        </w:tc>
        <w:tc>
          <w:tcPr>
            <w:tcW w:type="dxa" w:w="5083"/>
            <w:tcMar>
              <w:top w:w="80" w:type="dxa"/>
              <w:start w:w="100" w:type="dxa"/>
              <w:bottom w:w="80" w:type="dxa"/>
              <w:end w:w="100" w:type="dxa"/>
            </w:tcMar>
          </w:tcPr>
          <w:p>
            <w:r>
              <w:rPr>
                <w:rFonts w:ascii="Noto Sans" w:hAnsi="Noto Sans" w:eastAsia="Noto Sans"/>
                <w:sz w:val="17"/>
              </w:rPr>
              <w:t>0.798</w:t>
            </w:r>
          </w:p>
        </w:tc>
      </w:tr>
      <w:tr>
        <w:tc>
          <w:tcPr>
            <w:tcW w:type="dxa" w:w="5083"/>
            <w:tcMar>
              <w:top w:w="80" w:type="dxa"/>
              <w:start w:w="100" w:type="dxa"/>
              <w:bottom w:w="80" w:type="dxa"/>
              <w:end w:w="100" w:type="dxa"/>
            </w:tcMar>
            <w:shd w:fill="F8FAFC"/>
          </w:tcPr>
          <w:p>
            <w:r>
              <w:rPr>
                <w:rFonts w:ascii="Noto Sans" w:hAnsi="Noto Sans" w:eastAsia="Noto Sans"/>
                <w:sz w:val="17"/>
              </w:rPr>
              <w:t>PR-AUC</w:t>
            </w:r>
          </w:p>
        </w:tc>
        <w:tc>
          <w:tcPr>
            <w:tcW w:type="dxa" w:w="5083"/>
            <w:tcMar>
              <w:top w:w="80" w:type="dxa"/>
              <w:start w:w="100" w:type="dxa"/>
              <w:bottom w:w="80" w:type="dxa"/>
              <w:end w:w="100" w:type="dxa"/>
            </w:tcMar>
            <w:shd w:fill="F8FAFC"/>
          </w:tcPr>
          <w:p>
            <w:r>
              <w:rPr>
                <w:rFonts w:ascii="Noto Sans" w:hAnsi="Noto Sans" w:eastAsia="Noto Sans"/>
                <w:sz w:val="17"/>
              </w:rPr>
              <w:t>0.777</w:t>
            </w:r>
          </w:p>
        </w:tc>
      </w:tr>
      <w:tr>
        <w:tc>
          <w:tcPr>
            <w:tcW w:type="dxa" w:w="5083"/>
            <w:tcMar>
              <w:top w:w="80" w:type="dxa"/>
              <w:start w:w="100" w:type="dxa"/>
              <w:bottom w:w="80" w:type="dxa"/>
              <w:end w:w="100" w:type="dxa"/>
            </w:tcMar>
          </w:tcPr>
          <w:p>
            <w:r>
              <w:rPr>
                <w:rFonts w:ascii="Noto Sans" w:hAnsi="Noto Sans" w:eastAsia="Noto Sans"/>
                <w:sz w:val="17"/>
              </w:rPr>
              <w:t>Brier score</w:t>
            </w:r>
          </w:p>
        </w:tc>
        <w:tc>
          <w:tcPr>
            <w:tcW w:type="dxa" w:w="5083"/>
            <w:tcMar>
              <w:top w:w="80" w:type="dxa"/>
              <w:start w:w="100" w:type="dxa"/>
              <w:bottom w:w="80" w:type="dxa"/>
              <w:end w:w="100" w:type="dxa"/>
            </w:tcMar>
          </w:tcPr>
          <w:p>
            <w:r>
              <w:rPr>
                <w:rFonts w:ascii="Noto Sans" w:hAnsi="Noto Sans" w:eastAsia="Noto Sans"/>
                <w:sz w:val="17"/>
              </w:rPr>
              <w:t>0.179</w:t>
            </w:r>
          </w:p>
        </w:tc>
      </w:tr>
      <w:tr>
        <w:tc>
          <w:tcPr>
            <w:tcW w:type="dxa" w:w="5083"/>
            <w:tcMar>
              <w:top w:w="80" w:type="dxa"/>
              <w:start w:w="100" w:type="dxa"/>
              <w:bottom w:w="80" w:type="dxa"/>
              <w:end w:w="100" w:type="dxa"/>
            </w:tcMar>
            <w:shd w:fill="F8FAFC"/>
          </w:tcPr>
          <w:p>
            <w:r>
              <w:rPr>
                <w:rFonts w:ascii="Noto Sans" w:hAnsi="Noto Sans" w:eastAsia="Noto Sans"/>
                <w:sz w:val="17"/>
              </w:rPr>
              <w:t>ECE (10 quantile bins)</w:t>
            </w:r>
          </w:p>
        </w:tc>
        <w:tc>
          <w:tcPr>
            <w:tcW w:type="dxa" w:w="5083"/>
            <w:tcMar>
              <w:top w:w="80" w:type="dxa"/>
              <w:start w:w="100" w:type="dxa"/>
              <w:bottom w:w="80" w:type="dxa"/>
              <w:end w:w="100" w:type="dxa"/>
            </w:tcMar>
            <w:shd w:fill="F8FAFC"/>
          </w:tcPr>
          <w:p>
            <w:r>
              <w:rPr>
                <w:rFonts w:ascii="Noto Sans" w:hAnsi="Noto Sans" w:eastAsia="Noto Sans"/>
                <w:sz w:val="17"/>
              </w:rPr>
              <w:t>0.015</w:t>
            </w:r>
          </w:p>
        </w:tc>
      </w:tr>
      <w:tr>
        <w:tc>
          <w:tcPr>
            <w:tcW w:type="dxa" w:w="5083"/>
            <w:tcMar>
              <w:top w:w="80" w:type="dxa"/>
              <w:start w:w="100" w:type="dxa"/>
              <w:bottom w:w="80" w:type="dxa"/>
              <w:end w:w="100" w:type="dxa"/>
            </w:tcMar>
          </w:tcPr>
          <w:p>
            <w:r>
              <w:rPr>
                <w:rFonts w:ascii="Noto Sans" w:hAnsi="Noto Sans" w:eastAsia="Noto Sans"/>
                <w:sz w:val="17"/>
              </w:rPr>
              <w:t>Confusion matrix</w:t>
            </w:r>
          </w:p>
        </w:tc>
        <w:tc>
          <w:tcPr>
            <w:tcW w:type="dxa" w:w="5083"/>
            <w:tcMar>
              <w:top w:w="80" w:type="dxa"/>
              <w:start w:w="100" w:type="dxa"/>
              <w:bottom w:w="80" w:type="dxa"/>
              <w:end w:w="100" w:type="dxa"/>
            </w:tcMar>
          </w:tcPr>
          <w:p>
            <w:r>
              <w:rPr>
                <w:rFonts w:ascii="Noto Sans" w:hAnsi="Noto Sans" w:eastAsia="Noto Sans"/>
                <w:sz w:val="17"/>
              </w:rPr>
              <w:t>TN=1762, FP=1314, FN=408, TP=2020</w:t>
            </w:r>
          </w:p>
        </w:tc>
      </w:tr>
    </w:tbl>
    <w:p>
      <w:pPr>
        <w:jc w:val="center"/>
      </w:pPr>
      <w:r>
        <w:drawing>
          <wp:inline xmlns:a="http://schemas.openxmlformats.org/drawingml/2006/main" xmlns:pic="http://schemas.openxmlformats.org/drawingml/2006/picture">
            <wp:extent cx="4297680" cy="3581400"/>
            <wp:docPr id="7" name="Picture 7" descr="Confusion matrix at the selected operating threshold: TN 1762, FP 1314, FN 408, TP 2020." title="Student Risk Project Figure"/>
            <wp:cNvGraphicFramePr>
              <a:graphicFrameLocks noChangeAspect="1"/>
            </wp:cNvGraphicFramePr>
            <a:graphic>
              <a:graphicData uri="http://schemas.openxmlformats.org/drawingml/2006/picture">
                <pic:pic>
                  <pic:nvPicPr>
                    <pic:cNvPr id="0" name="confusion_matrix.png"/>
                    <pic:cNvPicPr/>
                  </pic:nvPicPr>
                  <pic:blipFill>
                    <a:blip r:embed="rId15"/>
                    <a:stretch>
                      <a:fillRect/>
                    </a:stretch>
                  </pic:blipFill>
                  <pic:spPr>
                    <a:xfrm>
                      <a:off x="0" y="0"/>
                      <a:ext cx="4297680" cy="3581400"/>
                    </a:xfrm>
                    <a:prstGeom prst="rect"/>
                  </pic:spPr>
                </pic:pic>
              </a:graphicData>
            </a:graphic>
          </wp:inline>
        </w:drawing>
      </w:r>
    </w:p>
    <w:p>
      <w:pPr>
        <w:pStyle w:val="Caption"/>
        <w:jc w:val="center"/>
      </w:pPr>
      <w:r>
        <w:rPr>
          <w:rFonts w:ascii="Noto Sans" w:hAnsi="Noto Sans" w:eastAsia="Noto Sans"/>
          <w:i/>
          <w:color w:val="667085"/>
          <w:sz w:val="17"/>
        </w:rPr>
        <w:t>Figure 6. Confusion matrix at the development-selected operating threshold.</w:t>
      </w:r>
    </w:p>
    <w:p>
      <w:pPr>
        <w:jc w:val="center"/>
      </w:pPr>
      <w:r>
        <w:drawing>
          <wp:inline xmlns:a="http://schemas.openxmlformats.org/drawingml/2006/main" xmlns:pic="http://schemas.openxmlformats.org/drawingml/2006/picture">
            <wp:extent cx="5577840" cy="3183793"/>
            <wp:docPr id="8" name="Picture 8" descr="Bar chart of Low, Medium, and High risk bands on the locked evaluation holdout with increasing observed risk rates." title="Student Risk Project Figure"/>
            <wp:cNvGraphicFramePr>
              <a:graphicFrameLocks noChangeAspect="1"/>
            </wp:cNvGraphicFramePr>
            <a:graphic>
              <a:graphicData uri="http://schemas.openxmlformats.org/drawingml/2006/picture">
                <pic:pic>
                  <pic:nvPicPr>
                    <pic:cNvPr id="0" name="risk_band_distribution.png"/>
                    <pic:cNvPicPr/>
                  </pic:nvPicPr>
                  <pic:blipFill>
                    <a:blip r:embed="rId16"/>
                    <a:stretch>
                      <a:fillRect/>
                    </a:stretch>
                  </pic:blipFill>
                  <pic:spPr>
                    <a:xfrm>
                      <a:off x="0" y="0"/>
                      <a:ext cx="5577840" cy="3183793"/>
                    </a:xfrm>
                    <a:prstGeom prst="rect"/>
                  </pic:spPr>
                </pic:pic>
              </a:graphicData>
            </a:graphic>
          </wp:inline>
        </w:drawing>
      </w:r>
    </w:p>
    <w:p>
      <w:pPr>
        <w:pStyle w:val="Caption"/>
        <w:jc w:val="center"/>
      </w:pPr>
      <w:r>
        <w:rPr>
          <w:rFonts w:ascii="Noto Sans" w:hAnsi="Noto Sans" w:eastAsia="Noto Sans"/>
          <w:i/>
          <w:color w:val="667085"/>
          <w:sz w:val="17"/>
        </w:rPr>
        <w:t>Figure 7. Distribution and observed outcome rate across modeled risk bands.</w:t>
      </w:r>
    </w:p>
    <w:p>
      <w:pPr>
        <w:spacing w:after="100" w:line="269" w:lineRule="auto"/>
      </w:pPr>
      <w:r>
        <w:rPr>
          <w:rFonts w:ascii="Noto Sans" w:hAnsi="Noto Sans" w:eastAsia="Noto Sans"/>
          <w:sz w:val="21"/>
        </w:rPr>
        <w:t>The operating threshold prioritizes recall. This reduces false negatives (students who later become at risk but are not flagged) while increasing false-positive support alerts. The trade-off is appropriate only if interventions are supportive and relatively low-cost.</w:t>
      </w:r>
    </w:p>
    <w:p>
      <w:pPr>
        <w:pStyle w:val="Heading1"/>
      </w:pPr>
      <w:r>
        <w:rPr>
          <w:rFonts w:ascii="Noto Sans" w:hAnsi="Noto Sans" w:eastAsia="Noto Sans"/>
          <w:b/>
          <w:color w:val="1D3557"/>
          <w:sz w:val="36"/>
        </w:rPr>
        <w:t>11. Explainability</w:t>
      </w:r>
    </w:p>
    <w:p>
      <w:pPr>
        <w:spacing w:after="100" w:line="269" w:lineRule="auto"/>
      </w:pPr>
      <w:r>
        <w:rPr>
          <w:rFonts w:ascii="Noto Sans" w:hAnsi="Noto Sans" w:eastAsia="Noto Sans"/>
          <w:sz w:val="21"/>
        </w:rPr>
        <w:t>Global SHAP is used for importance magnitude (mean absolute SHAP) only. Local signed SHAP explains which transformed features raised or lowered an individual prediction. Logistic Regression coefficients provide model-direction diagnostics in the transformed feature space. None of these outputs are treated as causal evidence.</w:t>
      </w:r>
    </w:p>
    <w:p>
      <w:pPr>
        <w:jc w:val="center"/>
      </w:pPr>
      <w:r>
        <w:drawing>
          <wp:inline xmlns:a="http://schemas.openxmlformats.org/drawingml/2006/main" xmlns:pic="http://schemas.openxmlformats.org/drawingml/2006/picture">
            <wp:extent cx="5852160" cy="4681728"/>
            <wp:docPr id="9" name="Picture 9" descr="Horizontal bar chart of the top 20 global model features ranked by mean absolute SHAP importance." title="Student Risk Project Figure"/>
            <wp:cNvGraphicFramePr>
              <a:graphicFrameLocks noChangeAspect="1"/>
            </wp:cNvGraphicFramePr>
            <a:graphic>
              <a:graphicData uri="http://schemas.openxmlformats.org/drawingml/2006/picture">
                <pic:pic>
                  <pic:nvPicPr>
                    <pic:cNvPr id="0" name="shap_top20.png"/>
                    <pic:cNvPicPr/>
                  </pic:nvPicPr>
                  <pic:blipFill>
                    <a:blip r:embed="rId17"/>
                    <a:stretch>
                      <a:fillRect/>
                    </a:stretch>
                  </pic:blipFill>
                  <pic:spPr>
                    <a:xfrm>
                      <a:off x="0" y="0"/>
                      <a:ext cx="5852160" cy="4681728"/>
                    </a:xfrm>
                    <a:prstGeom prst="rect"/>
                  </pic:spPr>
                </pic:pic>
              </a:graphicData>
            </a:graphic>
          </wp:inline>
        </w:drawing>
      </w:r>
    </w:p>
    <w:p>
      <w:pPr>
        <w:pStyle w:val="Caption"/>
        <w:jc w:val="center"/>
      </w:pPr>
      <w:r>
        <w:rPr>
          <w:rFonts w:ascii="Noto Sans" w:hAnsi="Noto Sans" w:eastAsia="Noto Sans"/>
          <w:i/>
          <w:color w:val="667085"/>
          <w:sz w:val="17"/>
        </w:rPr>
        <w:t>Figure 8. Global mean |SHAP| feature importance.</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D3557"/>
            <w:vAlign w:val="center"/>
            <w:tcMar>
              <w:top w:w="80" w:type="dxa"/>
              <w:start w:w="100" w:type="dxa"/>
              <w:bottom w:w="80" w:type="dxa"/>
              <w:end w:w="100" w:type="dxa"/>
            </w:tcMar>
          </w:tcPr>
          <w:p>
            <w:r>
              <w:rPr>
                <w:rFonts w:ascii="Noto Sans" w:hAnsi="Noto Sans" w:eastAsia="Noto Sans"/>
                <w:b/>
                <w:color w:val="FFFFFF"/>
                <w:sz w:val="18"/>
              </w:rPr>
              <w:t>Top source feature</w:t>
            </w:r>
          </w:p>
        </w:tc>
        <w:tc>
          <w:tcPr>
            <w:tcW w:type="dxa" w:w="5083"/>
            <w:shd w:fill="1D3557"/>
            <w:vAlign w:val="center"/>
            <w:tcMar>
              <w:top w:w="80" w:type="dxa"/>
              <w:start w:w="100" w:type="dxa"/>
              <w:bottom w:w="80" w:type="dxa"/>
              <w:end w:w="100" w:type="dxa"/>
            </w:tcMar>
          </w:tcPr>
          <w:p>
            <w:r>
              <w:rPr>
                <w:rFonts w:ascii="Noto Sans" w:hAnsi="Noto Sans" w:eastAsia="Noto Sans"/>
                <w:b/>
                <w:color w:val="FFFFFF"/>
                <w:sz w:val="18"/>
              </w:rPr>
              <w:t>Mean |SHAP|</w:t>
            </w:r>
          </w:p>
        </w:tc>
      </w:tr>
      <w:tr>
        <w:tc>
          <w:tcPr>
            <w:tcW w:type="dxa" w:w="5083"/>
            <w:tcMar>
              <w:top w:w="80" w:type="dxa"/>
              <w:start w:w="100" w:type="dxa"/>
              <w:bottom w:w="80" w:type="dxa"/>
              <w:end w:w="100" w:type="dxa"/>
            </w:tcMar>
          </w:tcPr>
          <w:p>
            <w:r>
              <w:rPr>
                <w:rFonts w:ascii="Noto Sans" w:hAnsi="Noto Sans" w:eastAsia="Noto Sans"/>
                <w:sz w:val="17"/>
              </w:rPr>
              <w:t>assessment_weight_completed_28d</w:t>
            </w:r>
          </w:p>
        </w:tc>
        <w:tc>
          <w:tcPr>
            <w:tcW w:type="dxa" w:w="5083"/>
            <w:tcMar>
              <w:top w:w="80" w:type="dxa"/>
              <w:start w:w="100" w:type="dxa"/>
              <w:bottom w:w="80" w:type="dxa"/>
              <w:end w:w="100" w:type="dxa"/>
            </w:tcMar>
          </w:tcPr>
          <w:p>
            <w:r>
              <w:rPr>
                <w:rFonts w:ascii="Noto Sans" w:hAnsi="Noto Sans" w:eastAsia="Noto Sans"/>
                <w:sz w:val="17"/>
              </w:rPr>
              <w:t>0.362</w:t>
            </w:r>
          </w:p>
        </w:tc>
      </w:tr>
      <w:tr>
        <w:tc>
          <w:tcPr>
            <w:tcW w:type="dxa" w:w="5083"/>
            <w:tcMar>
              <w:top w:w="80" w:type="dxa"/>
              <w:start w:w="100" w:type="dxa"/>
              <w:bottom w:w="80" w:type="dxa"/>
              <w:end w:w="100" w:type="dxa"/>
            </w:tcMar>
            <w:shd w:fill="F8FAFC"/>
          </w:tcPr>
          <w:p>
            <w:r>
              <w:rPr>
                <w:rFonts w:ascii="Noto Sans" w:hAnsi="Noto Sans" w:eastAsia="Noto Sans"/>
                <w:sz w:val="17"/>
              </w:rPr>
              <w:t>weighted_assessment_score_28d</w:t>
            </w:r>
          </w:p>
        </w:tc>
        <w:tc>
          <w:tcPr>
            <w:tcW w:type="dxa" w:w="5083"/>
            <w:tcMar>
              <w:top w:w="80" w:type="dxa"/>
              <w:start w:w="100" w:type="dxa"/>
              <w:bottom w:w="80" w:type="dxa"/>
              <w:end w:w="100" w:type="dxa"/>
            </w:tcMar>
            <w:shd w:fill="F8FAFC"/>
          </w:tcPr>
          <w:p>
            <w:r>
              <w:rPr>
                <w:rFonts w:ascii="Noto Sans" w:hAnsi="Noto Sans" w:eastAsia="Noto Sans"/>
                <w:sz w:val="17"/>
              </w:rPr>
              <w:t>0.342</w:t>
            </w:r>
          </w:p>
        </w:tc>
      </w:tr>
      <w:tr>
        <w:tc>
          <w:tcPr>
            <w:tcW w:type="dxa" w:w="5083"/>
            <w:tcMar>
              <w:top w:w="80" w:type="dxa"/>
              <w:start w:w="100" w:type="dxa"/>
              <w:bottom w:w="80" w:type="dxa"/>
              <w:end w:w="100" w:type="dxa"/>
            </w:tcMar>
          </w:tcPr>
          <w:p>
            <w:r>
              <w:rPr>
                <w:rFonts w:ascii="Noto Sans" w:hAnsi="Noto Sans" w:eastAsia="Noto Sans"/>
                <w:sz w:val="17"/>
              </w:rPr>
              <w:t>active_days_28d</w:t>
            </w:r>
          </w:p>
        </w:tc>
        <w:tc>
          <w:tcPr>
            <w:tcW w:type="dxa" w:w="5083"/>
            <w:tcMar>
              <w:top w:w="80" w:type="dxa"/>
              <w:start w:w="100" w:type="dxa"/>
              <w:bottom w:w="80" w:type="dxa"/>
              <w:end w:w="100" w:type="dxa"/>
            </w:tcMar>
          </w:tcPr>
          <w:p>
            <w:r>
              <w:rPr>
                <w:rFonts w:ascii="Noto Sans" w:hAnsi="Noto Sans" w:eastAsia="Noto Sans"/>
                <w:sz w:val="17"/>
              </w:rPr>
              <w:t>0.249</w:t>
            </w:r>
          </w:p>
        </w:tc>
      </w:tr>
      <w:tr>
        <w:tc>
          <w:tcPr>
            <w:tcW w:type="dxa" w:w="5083"/>
            <w:tcMar>
              <w:top w:w="80" w:type="dxa"/>
              <w:start w:w="100" w:type="dxa"/>
              <w:bottom w:w="80" w:type="dxa"/>
              <w:end w:w="100" w:type="dxa"/>
            </w:tcMar>
            <w:shd w:fill="F8FAFC"/>
          </w:tcPr>
          <w:p>
            <w:r>
              <w:rPr>
                <w:rFonts w:ascii="Noto Sans" w:hAnsi="Noto Sans" w:eastAsia="Noto Sans"/>
                <w:sz w:val="17"/>
              </w:rPr>
              <w:t>assessment_weight_due_28d</w:t>
            </w:r>
          </w:p>
        </w:tc>
        <w:tc>
          <w:tcPr>
            <w:tcW w:type="dxa" w:w="5083"/>
            <w:tcMar>
              <w:top w:w="80" w:type="dxa"/>
              <w:start w:w="100" w:type="dxa"/>
              <w:bottom w:w="80" w:type="dxa"/>
              <w:end w:w="100" w:type="dxa"/>
            </w:tcMar>
            <w:shd w:fill="F8FAFC"/>
          </w:tcPr>
          <w:p>
            <w:r>
              <w:rPr>
                <w:rFonts w:ascii="Noto Sans" w:hAnsi="Noto Sans" w:eastAsia="Noto Sans"/>
                <w:sz w:val="17"/>
              </w:rPr>
              <w:t>0.231</w:t>
            </w:r>
          </w:p>
        </w:tc>
      </w:tr>
      <w:tr>
        <w:tc>
          <w:tcPr>
            <w:tcW w:type="dxa" w:w="5083"/>
            <w:tcMar>
              <w:top w:w="80" w:type="dxa"/>
              <w:start w:w="100" w:type="dxa"/>
              <w:bottom w:w="80" w:type="dxa"/>
              <w:end w:w="100" w:type="dxa"/>
            </w:tcMar>
          </w:tcPr>
          <w:p>
            <w:r>
              <w:rPr>
                <w:rFonts w:ascii="Noto Sans" w:hAnsi="Noto Sans" w:eastAsia="Noto Sans"/>
                <w:sz w:val="17"/>
              </w:rPr>
              <w:t>unique_sites_28d</w:t>
            </w:r>
          </w:p>
        </w:tc>
        <w:tc>
          <w:tcPr>
            <w:tcW w:type="dxa" w:w="5083"/>
            <w:tcMar>
              <w:top w:w="80" w:type="dxa"/>
              <w:start w:w="100" w:type="dxa"/>
              <w:bottom w:w="80" w:type="dxa"/>
              <w:end w:w="100" w:type="dxa"/>
            </w:tcMar>
          </w:tcPr>
          <w:p>
            <w:r>
              <w:rPr>
                <w:rFonts w:ascii="Noto Sans" w:hAnsi="Noto Sans" w:eastAsia="Noto Sans"/>
                <w:sz w:val="17"/>
              </w:rPr>
              <w:t>0.223</w:t>
            </w:r>
          </w:p>
        </w:tc>
      </w:tr>
      <w:tr>
        <w:tc>
          <w:tcPr>
            <w:tcW w:type="dxa" w:w="5083"/>
            <w:tcMar>
              <w:top w:w="80" w:type="dxa"/>
              <w:start w:w="100" w:type="dxa"/>
              <w:bottom w:w="80" w:type="dxa"/>
              <w:end w:w="100" w:type="dxa"/>
            </w:tcMar>
            <w:shd w:fill="F8FAFC"/>
          </w:tcPr>
          <w:p>
            <w:r>
              <w:rPr>
                <w:rFonts w:ascii="Noto Sans" w:hAnsi="Noto Sans" w:eastAsia="Noto Sans"/>
                <w:sz w:val="17"/>
              </w:rPr>
              <w:t>assessment_completion_rate_28d</w:t>
            </w:r>
          </w:p>
        </w:tc>
        <w:tc>
          <w:tcPr>
            <w:tcW w:type="dxa" w:w="5083"/>
            <w:tcMar>
              <w:top w:w="80" w:type="dxa"/>
              <w:start w:w="100" w:type="dxa"/>
              <w:bottom w:w="80" w:type="dxa"/>
              <w:end w:w="100" w:type="dxa"/>
            </w:tcMar>
            <w:shd w:fill="F8FAFC"/>
          </w:tcPr>
          <w:p>
            <w:r>
              <w:rPr>
                <w:rFonts w:ascii="Noto Sans" w:hAnsi="Noto Sans" w:eastAsia="Noto Sans"/>
                <w:sz w:val="17"/>
              </w:rPr>
              <w:t>0.195</w:t>
            </w:r>
          </w:p>
        </w:tc>
      </w:tr>
      <w:tr>
        <w:tc>
          <w:tcPr>
            <w:tcW w:type="dxa" w:w="5083"/>
            <w:tcMar>
              <w:top w:w="80" w:type="dxa"/>
              <w:start w:w="100" w:type="dxa"/>
              <w:bottom w:w="80" w:type="dxa"/>
              <w:end w:w="100" w:type="dxa"/>
            </w:tcMar>
          </w:tcPr>
          <w:p>
            <w:r>
              <w:rPr>
                <w:rFonts w:ascii="Noto Sans" w:hAnsi="Noto Sans" w:eastAsia="Noto Sans"/>
                <w:sz w:val="17"/>
              </w:rPr>
              <w:t>code_module</w:t>
            </w:r>
          </w:p>
        </w:tc>
        <w:tc>
          <w:tcPr>
            <w:tcW w:type="dxa" w:w="5083"/>
            <w:tcMar>
              <w:top w:w="80" w:type="dxa"/>
              <w:start w:w="100" w:type="dxa"/>
              <w:bottom w:w="80" w:type="dxa"/>
              <w:end w:w="100" w:type="dxa"/>
            </w:tcMar>
          </w:tcPr>
          <w:p>
            <w:r>
              <w:rPr>
                <w:rFonts w:ascii="Noto Sans" w:hAnsi="Noto Sans" w:eastAsia="Noto Sans"/>
                <w:sz w:val="17"/>
              </w:rPr>
              <w:t>0.193</w:t>
            </w:r>
          </w:p>
        </w:tc>
      </w:tr>
      <w:tr>
        <w:tc>
          <w:tcPr>
            <w:tcW w:type="dxa" w:w="5083"/>
            <w:tcMar>
              <w:top w:w="80" w:type="dxa"/>
              <w:start w:w="100" w:type="dxa"/>
              <w:bottom w:w="80" w:type="dxa"/>
              <w:end w:w="100" w:type="dxa"/>
            </w:tcMar>
            <w:shd w:fill="F8FAFC"/>
          </w:tcPr>
          <w:p>
            <w:r>
              <w:rPr>
                <w:rFonts w:ascii="Noto Sans" w:hAnsi="Noto Sans" w:eastAsia="Noto Sans"/>
                <w:sz w:val="17"/>
              </w:rPr>
              <w:t>late_submissions_28d</w:t>
            </w:r>
          </w:p>
        </w:tc>
        <w:tc>
          <w:tcPr>
            <w:tcW w:type="dxa" w:w="5083"/>
            <w:tcMar>
              <w:top w:w="80" w:type="dxa"/>
              <w:start w:w="100" w:type="dxa"/>
              <w:bottom w:w="80" w:type="dxa"/>
              <w:end w:w="100" w:type="dxa"/>
            </w:tcMar>
            <w:shd w:fill="F8FAFC"/>
          </w:tcPr>
          <w:p>
            <w:r>
              <w:rPr>
                <w:rFonts w:ascii="Noto Sans" w:hAnsi="Noto Sans" w:eastAsia="Noto Sans"/>
                <w:sz w:val="17"/>
              </w:rPr>
              <w:t>0.192</w:t>
            </w:r>
          </w:p>
        </w:tc>
      </w:tr>
    </w:tbl>
    <w:p>
      <w:pPr>
        <w:pStyle w:val="Heading1"/>
      </w:pPr>
      <w:r>
        <w:rPr>
          <w:rFonts w:ascii="Noto Sans" w:hAnsi="Noto Sans" w:eastAsia="Noto Sans"/>
          <w:b/>
          <w:color w:val="1D3557"/>
          <w:sz w:val="36"/>
        </w:rPr>
        <w:t>12. Recommendation Engine</w:t>
      </w:r>
    </w:p>
    <w:p>
      <w:pPr>
        <w:spacing w:after="100" w:line="269" w:lineRule="auto"/>
      </w:pPr>
      <w:r>
        <w:rPr>
          <w:rFonts w:ascii="Noto Sans" w:hAnsi="Noto Sans" w:eastAsia="Noto Sans"/>
          <w:sz w:val="21"/>
        </w:rPr>
        <w:t>Recommendations are generated from explicit rules over actionable academic and engagement signals rather than from sensitive demographics. Examples include missed assessments, low early scores, recent inactivity, low recent engagement, declining engagement, and previous-attempt history.</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D3557"/>
            <w:vAlign w:val="center"/>
            <w:tcMar>
              <w:top w:w="80" w:type="dxa"/>
              <w:start w:w="100" w:type="dxa"/>
              <w:bottom w:w="80" w:type="dxa"/>
              <w:end w:w="100" w:type="dxa"/>
            </w:tcMar>
          </w:tcPr>
          <w:p>
            <w:r>
              <w:rPr>
                <w:rFonts w:ascii="Noto Sans" w:hAnsi="Noto Sans" w:eastAsia="Noto Sans"/>
                <w:b/>
                <w:color w:val="FFFFFF"/>
                <w:sz w:val="18"/>
              </w:rPr>
              <w:t>Trigger</w:t>
            </w:r>
          </w:p>
        </w:tc>
        <w:tc>
          <w:tcPr>
            <w:tcW w:type="dxa" w:w="5083"/>
            <w:shd w:fill="1D3557"/>
            <w:vAlign w:val="center"/>
            <w:tcMar>
              <w:top w:w="80" w:type="dxa"/>
              <w:start w:w="100" w:type="dxa"/>
              <w:bottom w:w="80" w:type="dxa"/>
              <w:end w:w="100" w:type="dxa"/>
            </w:tcMar>
          </w:tcPr>
          <w:p>
            <w:r>
              <w:rPr>
                <w:rFonts w:ascii="Noto Sans" w:hAnsi="Noto Sans" w:eastAsia="Noto Sans"/>
                <w:b/>
                <w:color w:val="FFFFFF"/>
                <w:sz w:val="18"/>
              </w:rPr>
              <w:t>Example supportive action</w:t>
            </w:r>
          </w:p>
        </w:tc>
      </w:tr>
      <w:tr>
        <w:tc>
          <w:tcPr>
            <w:tcW w:type="dxa" w:w="5083"/>
            <w:tcMar>
              <w:top w:w="80" w:type="dxa"/>
              <w:start w:w="100" w:type="dxa"/>
              <w:bottom w:w="80" w:type="dxa"/>
              <w:end w:w="100" w:type="dxa"/>
            </w:tcMar>
          </w:tcPr>
          <w:p>
            <w:r>
              <w:rPr>
                <w:rFonts w:ascii="Noto Sans" w:hAnsi="Noto Sans" w:eastAsia="Noto Sans"/>
                <w:sz w:val="17"/>
              </w:rPr>
              <w:t>Missed early assessment</w:t>
            </w:r>
          </w:p>
        </w:tc>
        <w:tc>
          <w:tcPr>
            <w:tcW w:type="dxa" w:w="5083"/>
            <w:tcMar>
              <w:top w:w="80" w:type="dxa"/>
              <w:start w:w="100" w:type="dxa"/>
              <w:bottom w:w="80" w:type="dxa"/>
              <w:end w:w="100" w:type="dxa"/>
            </w:tcMar>
          </w:tcPr>
          <w:p>
            <w:r>
              <w:rPr>
                <w:rFonts w:ascii="Noto Sans" w:hAnsi="Noto Sans" w:eastAsia="Noto Sans"/>
                <w:sz w:val="17"/>
              </w:rPr>
              <w:t>Review missed/overdue assessments and agree on a catch-up plan.</w:t>
            </w:r>
          </w:p>
        </w:tc>
      </w:tr>
      <w:tr>
        <w:tc>
          <w:tcPr>
            <w:tcW w:type="dxa" w:w="5083"/>
            <w:tcMar>
              <w:top w:w="80" w:type="dxa"/>
              <w:start w:w="100" w:type="dxa"/>
              <w:bottom w:w="80" w:type="dxa"/>
              <w:end w:w="100" w:type="dxa"/>
            </w:tcMar>
            <w:shd w:fill="F8FAFC"/>
          </w:tcPr>
          <w:p>
            <w:r>
              <w:rPr>
                <w:rFonts w:ascii="Noto Sans" w:hAnsi="Noto Sans" w:eastAsia="Noto Sans"/>
                <w:sz w:val="17"/>
              </w:rPr>
              <w:t>Low early assessment score</w:t>
            </w:r>
          </w:p>
        </w:tc>
        <w:tc>
          <w:tcPr>
            <w:tcW w:type="dxa" w:w="5083"/>
            <w:tcMar>
              <w:top w:w="80" w:type="dxa"/>
              <w:start w:w="100" w:type="dxa"/>
              <w:bottom w:w="80" w:type="dxa"/>
              <w:end w:w="100" w:type="dxa"/>
            </w:tcMar>
            <w:shd w:fill="F8FAFC"/>
          </w:tcPr>
          <w:p>
            <w:r>
              <w:rPr>
                <w:rFonts w:ascii="Noto Sans" w:hAnsi="Noto Sans" w:eastAsia="Noto Sans"/>
                <w:sz w:val="17"/>
              </w:rPr>
              <w:t>Schedule targeted academic review on covered topics.</w:t>
            </w:r>
          </w:p>
        </w:tc>
      </w:tr>
      <w:tr>
        <w:tc>
          <w:tcPr>
            <w:tcW w:type="dxa" w:w="5083"/>
            <w:tcMar>
              <w:top w:w="80" w:type="dxa"/>
              <w:start w:w="100" w:type="dxa"/>
              <w:bottom w:w="80" w:type="dxa"/>
              <w:end w:w="100" w:type="dxa"/>
            </w:tcMar>
          </w:tcPr>
          <w:p>
            <w:r>
              <w:rPr>
                <w:rFonts w:ascii="Noto Sans" w:hAnsi="Noto Sans" w:eastAsia="Noto Sans"/>
                <w:sz w:val="17"/>
              </w:rPr>
              <w:t>Recent inactivity</w:t>
            </w:r>
          </w:p>
        </w:tc>
        <w:tc>
          <w:tcPr>
            <w:tcW w:type="dxa" w:w="5083"/>
            <w:tcMar>
              <w:top w:w="80" w:type="dxa"/>
              <w:start w:w="100" w:type="dxa"/>
              <w:bottom w:w="80" w:type="dxa"/>
              <w:end w:w="100" w:type="dxa"/>
            </w:tcMar>
          </w:tcPr>
          <w:p>
            <w:r>
              <w:rPr>
                <w:rFonts w:ascii="Noto Sans" w:hAnsi="Noto Sans" w:eastAsia="Noto Sans"/>
                <w:sz w:val="17"/>
              </w:rPr>
              <w:t>Use a supportive check-in to re-engage with current learning activities.</w:t>
            </w:r>
          </w:p>
        </w:tc>
      </w:tr>
      <w:tr>
        <w:tc>
          <w:tcPr>
            <w:tcW w:type="dxa" w:w="5083"/>
            <w:tcMar>
              <w:top w:w="80" w:type="dxa"/>
              <w:start w:w="100" w:type="dxa"/>
              <w:bottom w:w="80" w:type="dxa"/>
              <w:end w:w="100" w:type="dxa"/>
            </w:tcMar>
            <w:shd w:fill="F8FAFC"/>
          </w:tcPr>
          <w:p>
            <w:r>
              <w:rPr>
                <w:rFonts w:ascii="Noto Sans" w:hAnsi="Noto Sans" w:eastAsia="Noto Sans"/>
                <w:sz w:val="17"/>
              </w:rPr>
              <w:t>Low recent engagement</w:t>
            </w:r>
          </w:p>
        </w:tc>
        <w:tc>
          <w:tcPr>
            <w:tcW w:type="dxa" w:w="5083"/>
            <w:tcMar>
              <w:top w:w="80" w:type="dxa"/>
              <w:start w:w="100" w:type="dxa"/>
              <w:bottom w:w="80" w:type="dxa"/>
              <w:end w:w="100" w:type="dxa"/>
            </w:tcMar>
            <w:shd w:fill="F8FAFC"/>
          </w:tcPr>
          <w:p>
            <w:r>
              <w:rPr>
                <w:rFonts w:ascii="Noto Sans" w:hAnsi="Noto Sans" w:eastAsia="Noto Sans"/>
                <w:sz w:val="17"/>
              </w:rPr>
              <w:t>Encourage a short, regular weekly study schedule and monitor activity.</w:t>
            </w:r>
          </w:p>
        </w:tc>
      </w:tr>
      <w:tr>
        <w:tc>
          <w:tcPr>
            <w:tcW w:type="dxa" w:w="5083"/>
            <w:tcMar>
              <w:top w:w="80" w:type="dxa"/>
              <w:start w:w="100" w:type="dxa"/>
              <w:bottom w:w="80" w:type="dxa"/>
              <w:end w:w="100" w:type="dxa"/>
            </w:tcMar>
          </w:tcPr>
          <w:p>
            <w:r>
              <w:rPr>
                <w:rFonts w:ascii="Noto Sans" w:hAnsi="Noto Sans" w:eastAsia="Noto Sans"/>
                <w:sz w:val="17"/>
              </w:rPr>
              <w:t>Declining engagement</w:t>
            </w:r>
          </w:p>
        </w:tc>
        <w:tc>
          <w:tcPr>
            <w:tcW w:type="dxa" w:w="5083"/>
            <w:tcMar>
              <w:top w:w="80" w:type="dxa"/>
              <w:start w:w="100" w:type="dxa"/>
              <w:bottom w:w="80" w:type="dxa"/>
              <w:end w:w="100" w:type="dxa"/>
            </w:tcMar>
          </w:tcPr>
          <w:p>
            <w:r>
              <w:rPr>
                <w:rFonts w:ascii="Noto Sans" w:hAnsi="Noto Sans" w:eastAsia="Noto Sans"/>
                <w:sz w:val="17"/>
              </w:rPr>
              <w:t>Check for barriers and agree on a recovery plan.</w:t>
            </w:r>
          </w:p>
        </w:tc>
      </w:tr>
    </w:tbl>
    <w:p>
      <w:pPr>
        <w:pStyle w:val="Heading1"/>
      </w:pPr>
      <w:r>
        <w:rPr>
          <w:rFonts w:ascii="Noto Sans" w:hAnsi="Noto Sans" w:eastAsia="Noto Sans"/>
          <w:b/>
          <w:color w:val="1D3557"/>
          <w:sz w:val="36"/>
        </w:rPr>
        <w:t>13. Fairness and Sensitive-Feature Audit</w:t>
      </w:r>
    </w:p>
    <w:p>
      <w:pPr>
        <w:spacing w:after="100" w:line="269" w:lineRule="auto"/>
      </w:pPr>
      <w:r>
        <w:rPr>
          <w:rFonts w:ascii="Noto Sans" w:hAnsi="Noto Sans" w:eastAsia="Noto Sans"/>
          <w:sz w:val="21"/>
        </w:rPr>
        <w:t>The project reports subgroup precision, recall, false-positive rate, accuracy, and prevalence for selected demographic groups. Small groups (n&lt;200) are flagged because their estimates are unstable. A separate development-only ablation removes gender, age, disability, socioeconomic band, highest education, and region to quantify the predictive-performance trade-off.</w:t>
      </w:r>
    </w:p>
    <w:p>
      <w:pPr>
        <w:jc w:val="center"/>
      </w:pPr>
      <w:r>
        <w:drawing>
          <wp:inline xmlns:a="http://schemas.openxmlformats.org/drawingml/2006/main" xmlns:pic="http://schemas.openxmlformats.org/drawingml/2006/picture">
            <wp:extent cx="5760720" cy="3216580"/>
            <wp:docPr id="10" name="Picture 10" descr="Horizontal bar chart of false-positive rates for selected gender and disability subgroups, with group sample sizes." title="Student Risk Project Figure"/>
            <wp:cNvGraphicFramePr>
              <a:graphicFrameLocks noChangeAspect="1"/>
            </wp:cNvGraphicFramePr>
            <a:graphic>
              <a:graphicData uri="http://schemas.openxmlformats.org/drawingml/2006/picture">
                <pic:pic>
                  <pic:nvPicPr>
                    <pic:cNvPr id="0" name="fairness_selected_groups.png"/>
                    <pic:cNvPicPr/>
                  </pic:nvPicPr>
                  <pic:blipFill>
                    <a:blip r:embed="rId18"/>
                    <a:stretch>
                      <a:fillRect/>
                    </a:stretch>
                  </pic:blipFill>
                  <pic:spPr>
                    <a:xfrm>
                      <a:off x="0" y="0"/>
                      <a:ext cx="5760720" cy="3216580"/>
                    </a:xfrm>
                    <a:prstGeom prst="rect"/>
                  </pic:spPr>
                </pic:pic>
              </a:graphicData>
            </a:graphic>
          </wp:inline>
        </w:drawing>
      </w:r>
    </w:p>
    <w:p>
      <w:pPr>
        <w:pStyle w:val="Caption"/>
        <w:jc w:val="center"/>
      </w:pPr>
      <w:r>
        <w:rPr>
          <w:rFonts w:ascii="Noto Sans" w:hAnsi="Noto Sans" w:eastAsia="Noto Sans"/>
          <w:i/>
          <w:color w:val="667085"/>
          <w:sz w:val="17"/>
        </w:rPr>
        <w:t>Figure 9. Selected subgroup false-positive rates. Differences require human interpretation and do not by themselves prove discrimination.</w:t>
      </w:r>
    </w:p>
    <w:tbl>
      <w:tblPr>
        <w:tblStyle w:val="TableGrid"/>
        <w:tblW w:type="auto" w:w="0"/>
        <w:jc w:val="center"/>
        <w:tblLayout w:type="autofit"/>
        <w:tblLook w:firstColumn="1" w:firstRow="1" w:lastColumn="0" w:lastRow="0" w:noHBand="0" w:noVBand="1" w:val="04A0"/>
      </w:tblPr>
      <w:tblGrid>
        <w:gridCol w:w="2541"/>
        <w:gridCol w:w="2541"/>
        <w:gridCol w:w="2541"/>
        <w:gridCol w:w="2541"/>
      </w:tblGrid>
      <w:tr>
        <w:trPr>
          <w:tblHeader w:val="true"/>
        </w:trPr>
        <w:tc>
          <w:tcPr>
            <w:tcW w:type="dxa" w:w="2541"/>
            <w:shd w:fill="1D3557"/>
            <w:vAlign w:val="center"/>
            <w:tcMar>
              <w:top w:w="80" w:type="dxa"/>
              <w:start w:w="100" w:type="dxa"/>
              <w:bottom w:w="80" w:type="dxa"/>
              <w:end w:w="100" w:type="dxa"/>
            </w:tcMar>
          </w:tcPr>
          <w:p>
            <w:r>
              <w:rPr>
                <w:rFonts w:ascii="Noto Sans" w:hAnsi="Noto Sans" w:eastAsia="Noto Sans"/>
                <w:b/>
                <w:color w:val="FFFFFF"/>
                <w:sz w:val="18"/>
              </w:rPr>
              <w:t>Variant</w:t>
            </w:r>
          </w:p>
        </w:tc>
        <w:tc>
          <w:tcPr>
            <w:tcW w:type="dxa" w:w="2541"/>
            <w:shd w:fill="1D3557"/>
            <w:vAlign w:val="center"/>
            <w:tcMar>
              <w:top w:w="80" w:type="dxa"/>
              <w:start w:w="100" w:type="dxa"/>
              <w:bottom w:w="80" w:type="dxa"/>
              <w:end w:w="100" w:type="dxa"/>
            </w:tcMar>
          </w:tcPr>
          <w:p>
            <w:r>
              <w:rPr>
                <w:rFonts w:ascii="Noto Sans" w:hAnsi="Noto Sans" w:eastAsia="Noto Sans"/>
                <w:b/>
                <w:color w:val="FFFFFF"/>
                <w:sz w:val="18"/>
              </w:rPr>
              <w:t>CV F1</w:t>
            </w:r>
          </w:p>
        </w:tc>
        <w:tc>
          <w:tcPr>
            <w:tcW w:type="dxa" w:w="2541"/>
            <w:shd w:fill="1D3557"/>
            <w:vAlign w:val="center"/>
            <w:tcMar>
              <w:top w:w="80" w:type="dxa"/>
              <w:start w:w="100" w:type="dxa"/>
              <w:bottom w:w="80" w:type="dxa"/>
              <w:end w:w="100" w:type="dxa"/>
            </w:tcMar>
          </w:tcPr>
          <w:p>
            <w:r>
              <w:rPr>
                <w:rFonts w:ascii="Noto Sans" w:hAnsi="Noto Sans" w:eastAsia="Noto Sans"/>
                <w:b/>
                <w:color w:val="FFFFFF"/>
                <w:sz w:val="18"/>
              </w:rPr>
              <w:t>CV ROC-AUC</w:t>
            </w:r>
          </w:p>
        </w:tc>
        <w:tc>
          <w:tcPr>
            <w:tcW w:type="dxa" w:w="2541"/>
            <w:shd w:fill="1D3557"/>
            <w:vAlign w:val="center"/>
            <w:tcMar>
              <w:top w:w="80" w:type="dxa"/>
              <w:start w:w="100" w:type="dxa"/>
              <w:bottom w:w="80" w:type="dxa"/>
              <w:end w:w="100" w:type="dxa"/>
            </w:tcMar>
          </w:tcPr>
          <w:p>
            <w:r>
              <w:rPr>
                <w:rFonts w:ascii="Noto Sans" w:hAnsi="Noto Sans" w:eastAsia="Noto Sans"/>
                <w:b/>
                <w:color w:val="FFFFFF"/>
                <w:sz w:val="18"/>
              </w:rPr>
              <w:t>CV PR-AUC</w:t>
            </w:r>
          </w:p>
        </w:tc>
      </w:tr>
      <w:tr>
        <w:tc>
          <w:tcPr>
            <w:tcW w:type="dxa" w:w="2541"/>
            <w:tcMar>
              <w:top w:w="80" w:type="dxa"/>
              <w:start w:w="100" w:type="dxa"/>
              <w:bottom w:w="80" w:type="dxa"/>
              <w:end w:w="100" w:type="dxa"/>
            </w:tcMar>
          </w:tcPr>
          <w:p>
            <w:r>
              <w:rPr>
                <w:rFonts w:ascii="Noto Sans" w:hAnsi="Noto Sans" w:eastAsia="Noto Sans"/>
                <w:sz w:val="17"/>
              </w:rPr>
              <w:t>all_features</w:t>
            </w:r>
          </w:p>
        </w:tc>
        <w:tc>
          <w:tcPr>
            <w:tcW w:type="dxa" w:w="2541"/>
            <w:tcMar>
              <w:top w:w="80" w:type="dxa"/>
              <w:start w:w="100" w:type="dxa"/>
              <w:bottom w:w="80" w:type="dxa"/>
              <w:end w:w="100" w:type="dxa"/>
            </w:tcMar>
          </w:tcPr>
          <w:p>
            <w:r>
              <w:rPr>
                <w:rFonts w:ascii="Noto Sans" w:hAnsi="Noto Sans" w:eastAsia="Noto Sans"/>
                <w:sz w:val="17"/>
              </w:rPr>
              <w:t>0.670</w:t>
            </w:r>
          </w:p>
        </w:tc>
        <w:tc>
          <w:tcPr>
            <w:tcW w:type="dxa" w:w="2541"/>
            <w:tcMar>
              <w:top w:w="80" w:type="dxa"/>
              <w:start w:w="100" w:type="dxa"/>
              <w:bottom w:w="80" w:type="dxa"/>
              <w:end w:w="100" w:type="dxa"/>
            </w:tcMar>
          </w:tcPr>
          <w:p>
            <w:r>
              <w:rPr>
                <w:rFonts w:ascii="Noto Sans" w:hAnsi="Noto Sans" w:eastAsia="Noto Sans"/>
                <w:sz w:val="17"/>
              </w:rPr>
              <w:t>0.785</w:t>
            </w:r>
          </w:p>
        </w:tc>
        <w:tc>
          <w:tcPr>
            <w:tcW w:type="dxa" w:w="2541"/>
            <w:tcMar>
              <w:top w:w="80" w:type="dxa"/>
              <w:start w:w="100" w:type="dxa"/>
              <w:bottom w:w="80" w:type="dxa"/>
              <w:end w:w="100" w:type="dxa"/>
            </w:tcMar>
          </w:tcPr>
          <w:p>
            <w:r>
              <w:rPr>
                <w:rFonts w:ascii="Noto Sans" w:hAnsi="Noto Sans" w:eastAsia="Noto Sans"/>
                <w:sz w:val="17"/>
              </w:rPr>
              <w:t>0.763</w:t>
            </w:r>
          </w:p>
        </w:tc>
      </w:tr>
      <w:tr>
        <w:tc>
          <w:tcPr>
            <w:tcW w:type="dxa" w:w="2541"/>
            <w:tcMar>
              <w:top w:w="80" w:type="dxa"/>
              <w:start w:w="100" w:type="dxa"/>
              <w:bottom w:w="80" w:type="dxa"/>
              <w:end w:w="100" w:type="dxa"/>
            </w:tcMar>
            <w:shd w:fill="F8FAFC"/>
          </w:tcPr>
          <w:p>
            <w:r>
              <w:rPr>
                <w:rFonts w:ascii="Noto Sans" w:hAnsi="Noto Sans" w:eastAsia="Noto Sans"/>
                <w:sz w:val="17"/>
              </w:rPr>
              <w:t>no_sensitive_demographics</w:t>
            </w:r>
          </w:p>
        </w:tc>
        <w:tc>
          <w:tcPr>
            <w:tcW w:type="dxa" w:w="2541"/>
            <w:tcMar>
              <w:top w:w="80" w:type="dxa"/>
              <w:start w:w="100" w:type="dxa"/>
              <w:bottom w:w="80" w:type="dxa"/>
              <w:end w:w="100" w:type="dxa"/>
            </w:tcMar>
            <w:shd w:fill="F8FAFC"/>
          </w:tcPr>
          <w:p>
            <w:r>
              <w:rPr>
                <w:rFonts w:ascii="Noto Sans" w:hAnsi="Noto Sans" w:eastAsia="Noto Sans"/>
                <w:sz w:val="17"/>
              </w:rPr>
              <w:t>0.659</w:t>
            </w:r>
          </w:p>
        </w:tc>
        <w:tc>
          <w:tcPr>
            <w:tcW w:type="dxa" w:w="2541"/>
            <w:tcMar>
              <w:top w:w="80" w:type="dxa"/>
              <w:start w:w="100" w:type="dxa"/>
              <w:bottom w:w="80" w:type="dxa"/>
              <w:end w:w="100" w:type="dxa"/>
            </w:tcMar>
            <w:shd w:fill="F8FAFC"/>
          </w:tcPr>
          <w:p>
            <w:r>
              <w:rPr>
                <w:rFonts w:ascii="Noto Sans" w:hAnsi="Noto Sans" w:eastAsia="Noto Sans"/>
                <w:sz w:val="17"/>
              </w:rPr>
              <w:t>0.774</w:t>
            </w:r>
          </w:p>
        </w:tc>
        <w:tc>
          <w:tcPr>
            <w:tcW w:type="dxa" w:w="2541"/>
            <w:tcMar>
              <w:top w:w="80" w:type="dxa"/>
              <w:start w:w="100" w:type="dxa"/>
              <w:bottom w:w="80" w:type="dxa"/>
              <w:end w:w="100" w:type="dxa"/>
            </w:tcMar>
            <w:shd w:fill="F8FAFC"/>
          </w:tcPr>
          <w:p>
            <w:r>
              <w:rPr>
                <w:rFonts w:ascii="Noto Sans" w:hAnsi="Noto Sans" w:eastAsia="Noto Sans"/>
                <w:sz w:val="17"/>
              </w:rPr>
              <w:t>0.753</w:t>
            </w:r>
          </w:p>
        </w:tc>
      </w:tr>
    </w:tbl>
    <w:p>
      <w:pPr>
        <w:pStyle w:val="Heading1"/>
      </w:pPr>
      <w:r>
        <w:rPr>
          <w:rFonts w:ascii="Noto Sans" w:hAnsi="Noto Sans" w:eastAsia="Noto Sans"/>
          <w:b/>
          <w:color w:val="1D3557"/>
          <w:sz w:val="36"/>
        </w:rPr>
        <w:t>14. Deep-Learning Extension</w:t>
      </w:r>
    </w:p>
    <w:p>
      <w:pPr>
        <w:spacing w:after="100" w:line="269" w:lineRule="auto"/>
      </w:pPr>
      <w:r>
        <w:rPr>
          <w:rFonts w:ascii="Noto Sans" w:hAnsi="Noto Sans" w:eastAsia="Noto Sans"/>
          <w:sz w:val="21"/>
        </w:rPr>
        <w:t>A scikit-learn MLP is evaluated as a development-only 3-fold group-aware extension. It does not re-select the primary model. An optional Keras script demonstrates Dense layers, Batch Normalization, Dropout, Adam, binary cross-entropy, Early Stopping, and an explicit group-aware development validation split.</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D3557"/>
            <w:vAlign w:val="center"/>
            <w:tcMar>
              <w:top w:w="80" w:type="dxa"/>
              <w:start w:w="100" w:type="dxa"/>
              <w:bottom w:w="80" w:type="dxa"/>
              <w:end w:w="100" w:type="dxa"/>
            </w:tcMar>
          </w:tcPr>
          <w:p>
            <w:r>
              <w:rPr>
                <w:rFonts w:ascii="Noto Sans" w:hAnsi="Noto Sans" w:eastAsia="Noto Sans"/>
                <w:b/>
                <w:color w:val="FFFFFF"/>
                <w:sz w:val="18"/>
              </w:rPr>
              <w:t>ANN metric</w:t>
            </w:r>
          </w:p>
        </w:tc>
        <w:tc>
          <w:tcPr>
            <w:tcW w:type="dxa" w:w="5083"/>
            <w:shd w:fill="1D3557"/>
            <w:vAlign w:val="center"/>
            <w:tcMar>
              <w:top w:w="80" w:type="dxa"/>
              <w:start w:w="100" w:type="dxa"/>
              <w:bottom w:w="80" w:type="dxa"/>
              <w:end w:w="100" w:type="dxa"/>
            </w:tcMar>
          </w:tcPr>
          <w:p>
            <w:r>
              <w:rPr>
                <w:rFonts w:ascii="Noto Sans" w:hAnsi="Noto Sans" w:eastAsia="Noto Sans"/>
                <w:b/>
                <w:color w:val="FFFFFF"/>
                <w:sz w:val="18"/>
              </w:rPr>
              <w:t>Development CV value</w:t>
            </w:r>
          </w:p>
        </w:tc>
      </w:tr>
      <w:tr>
        <w:tc>
          <w:tcPr>
            <w:tcW w:type="dxa" w:w="5083"/>
            <w:tcMar>
              <w:top w:w="80" w:type="dxa"/>
              <w:start w:w="100" w:type="dxa"/>
              <w:bottom w:w="80" w:type="dxa"/>
              <w:end w:w="100" w:type="dxa"/>
            </w:tcMar>
          </w:tcPr>
          <w:p>
            <w:r>
              <w:rPr>
                <w:rFonts w:ascii="Noto Sans" w:hAnsi="Noto Sans" w:eastAsia="Noto Sans"/>
                <w:sz w:val="17"/>
              </w:rPr>
              <w:t>Accuracy</w:t>
            </w:r>
          </w:p>
        </w:tc>
        <w:tc>
          <w:tcPr>
            <w:tcW w:type="dxa" w:w="5083"/>
            <w:tcMar>
              <w:top w:w="80" w:type="dxa"/>
              <w:start w:w="100" w:type="dxa"/>
              <w:bottom w:w="80" w:type="dxa"/>
              <w:end w:w="100" w:type="dxa"/>
            </w:tcMar>
          </w:tcPr>
          <w:p>
            <w:r>
              <w:rPr>
                <w:rFonts w:ascii="Noto Sans" w:hAnsi="Noto Sans" w:eastAsia="Noto Sans"/>
                <w:sz w:val="17"/>
              </w:rPr>
              <w:t>0.700</w:t>
            </w:r>
          </w:p>
        </w:tc>
      </w:tr>
      <w:tr>
        <w:tc>
          <w:tcPr>
            <w:tcW w:type="dxa" w:w="5083"/>
            <w:tcMar>
              <w:top w:w="80" w:type="dxa"/>
              <w:start w:w="100" w:type="dxa"/>
              <w:bottom w:w="80" w:type="dxa"/>
              <w:end w:w="100" w:type="dxa"/>
            </w:tcMar>
            <w:shd w:fill="F8FAFC"/>
          </w:tcPr>
          <w:p>
            <w:r>
              <w:rPr>
                <w:rFonts w:ascii="Noto Sans" w:hAnsi="Noto Sans" w:eastAsia="Noto Sans"/>
                <w:sz w:val="17"/>
              </w:rPr>
              <w:t>Recall</w:t>
            </w:r>
          </w:p>
        </w:tc>
        <w:tc>
          <w:tcPr>
            <w:tcW w:type="dxa" w:w="5083"/>
            <w:tcMar>
              <w:top w:w="80" w:type="dxa"/>
              <w:start w:w="100" w:type="dxa"/>
              <w:bottom w:w="80" w:type="dxa"/>
              <w:end w:w="100" w:type="dxa"/>
            </w:tcMar>
            <w:shd w:fill="F8FAFC"/>
          </w:tcPr>
          <w:p>
            <w:r>
              <w:rPr>
                <w:rFonts w:ascii="Noto Sans" w:hAnsi="Noto Sans" w:eastAsia="Noto Sans"/>
                <w:sz w:val="17"/>
              </w:rPr>
              <w:t>0.593</w:t>
            </w:r>
          </w:p>
        </w:tc>
      </w:tr>
      <w:tr>
        <w:tc>
          <w:tcPr>
            <w:tcW w:type="dxa" w:w="5083"/>
            <w:tcMar>
              <w:top w:w="80" w:type="dxa"/>
              <w:start w:w="100" w:type="dxa"/>
              <w:bottom w:w="80" w:type="dxa"/>
              <w:end w:w="100" w:type="dxa"/>
            </w:tcMar>
          </w:tcPr>
          <w:p>
            <w:r>
              <w:rPr>
                <w:rFonts w:ascii="Noto Sans" w:hAnsi="Noto Sans" w:eastAsia="Noto Sans"/>
                <w:sz w:val="17"/>
              </w:rPr>
              <w:t>F1</w:t>
            </w:r>
          </w:p>
        </w:tc>
        <w:tc>
          <w:tcPr>
            <w:tcW w:type="dxa" w:w="5083"/>
            <w:tcMar>
              <w:top w:w="80" w:type="dxa"/>
              <w:start w:w="100" w:type="dxa"/>
              <w:bottom w:w="80" w:type="dxa"/>
              <w:end w:w="100" w:type="dxa"/>
            </w:tcMar>
          </w:tcPr>
          <w:p>
            <w:r>
              <w:rPr>
                <w:rFonts w:ascii="Noto Sans" w:hAnsi="Noto Sans" w:eastAsia="Noto Sans"/>
                <w:sz w:val="17"/>
              </w:rPr>
              <w:t>0.636</w:t>
            </w:r>
          </w:p>
        </w:tc>
      </w:tr>
      <w:tr>
        <w:tc>
          <w:tcPr>
            <w:tcW w:type="dxa" w:w="5083"/>
            <w:tcMar>
              <w:top w:w="80" w:type="dxa"/>
              <w:start w:w="100" w:type="dxa"/>
              <w:bottom w:w="80" w:type="dxa"/>
              <w:end w:w="100" w:type="dxa"/>
            </w:tcMar>
            <w:shd w:fill="F8FAFC"/>
          </w:tcPr>
          <w:p>
            <w:r>
              <w:rPr>
                <w:rFonts w:ascii="Noto Sans" w:hAnsi="Noto Sans" w:eastAsia="Noto Sans"/>
                <w:sz w:val="17"/>
              </w:rPr>
              <w:t>ROC-AUC</w:t>
            </w:r>
          </w:p>
        </w:tc>
        <w:tc>
          <w:tcPr>
            <w:tcW w:type="dxa" w:w="5083"/>
            <w:tcMar>
              <w:top w:w="80" w:type="dxa"/>
              <w:start w:w="100" w:type="dxa"/>
              <w:bottom w:w="80" w:type="dxa"/>
              <w:end w:w="100" w:type="dxa"/>
            </w:tcMar>
            <w:shd w:fill="F8FAFC"/>
          </w:tcPr>
          <w:p>
            <w:r>
              <w:rPr>
                <w:rFonts w:ascii="Noto Sans" w:hAnsi="Noto Sans" w:eastAsia="Noto Sans"/>
                <w:sz w:val="17"/>
              </w:rPr>
              <w:t>0.760</w:t>
            </w:r>
          </w:p>
        </w:tc>
      </w:tr>
      <w:tr>
        <w:tc>
          <w:tcPr>
            <w:tcW w:type="dxa" w:w="5083"/>
            <w:tcMar>
              <w:top w:w="80" w:type="dxa"/>
              <w:start w:w="100" w:type="dxa"/>
              <w:bottom w:w="80" w:type="dxa"/>
              <w:end w:w="100" w:type="dxa"/>
            </w:tcMar>
          </w:tcPr>
          <w:p>
            <w:r>
              <w:rPr>
                <w:rFonts w:ascii="Noto Sans" w:hAnsi="Noto Sans" w:eastAsia="Noto Sans"/>
                <w:sz w:val="17"/>
              </w:rPr>
              <w:t>PR-AUC</w:t>
            </w:r>
          </w:p>
        </w:tc>
        <w:tc>
          <w:tcPr>
            <w:tcW w:type="dxa" w:w="5083"/>
            <w:tcMar>
              <w:top w:w="80" w:type="dxa"/>
              <w:start w:w="100" w:type="dxa"/>
              <w:bottom w:w="80" w:type="dxa"/>
              <w:end w:w="100" w:type="dxa"/>
            </w:tcMar>
          </w:tcPr>
          <w:p>
            <w:r>
              <w:rPr>
                <w:rFonts w:ascii="Noto Sans" w:hAnsi="Noto Sans" w:eastAsia="Noto Sans"/>
                <w:sz w:val="17"/>
              </w:rPr>
              <w:t>0.739</w:t>
            </w:r>
          </w:p>
        </w:tc>
      </w:tr>
    </w:tbl>
    <w:p>
      <w:pPr>
        <w:spacing w:after="100" w:line="269" w:lineRule="auto"/>
      </w:pPr>
      <w:r>
        <w:rPr>
          <w:rFonts w:ascii="Noto Sans" w:hAnsi="Noto Sans" w:eastAsia="Noto Sans"/>
          <w:sz w:val="21"/>
        </w:rPr>
        <w:t>The ANN does not outperform the selected Logistic Regression in the current experiment. This is a scientifically useful result: deep learning is not guaranteed to dominate on medium-sized structured tabular data.</w:t>
      </w:r>
    </w:p>
    <w:p>
      <w:pPr>
        <w:pStyle w:val="Heading1"/>
      </w:pPr>
      <w:r>
        <w:rPr>
          <w:rFonts w:ascii="Noto Sans" w:hAnsi="Noto Sans" w:eastAsia="Noto Sans"/>
          <w:b/>
          <w:color w:val="1D3557"/>
          <w:sz w:val="36"/>
        </w:rPr>
        <w:t>15. Progress Monitoring and Demo Dashboard</w:t>
      </w:r>
    </w:p>
    <w:p>
      <w:pPr>
        <w:spacing w:after="100" w:line="269" w:lineRule="auto"/>
      </w:pPr>
      <w:r>
        <w:t>The project includes a four-week engagement/progress snapshot and a Day-28 risk estimate. The local demo dashboard allows the user to browse and sort evaluation students, inspect Week-1-to-Week-4 activity, view early assessment signals, read recommendations, compute and inspect an on-demand local SHAP explanation for any selected evaluation enrollment, view model/fairness summaries, and execute the saved preprocessing + calibrated model bundle live for a selected processed row.</w:t>
      </w:r>
    </w:p>
    <w:p>
      <w:pPr>
        <w:jc w:val="center"/>
      </w:pPr>
      <w:r>
        <w:drawing>
          <wp:inline xmlns:a="http://schemas.openxmlformats.org/drawingml/2006/main" xmlns:pic="http://schemas.openxmlformats.org/drawingml/2006/picture">
            <wp:extent cx="6217920" cy="3666761"/>
            <wp:docPr id="11" name="Picture 11" descr="Screenshot of the local Student Risk Intelligence dashboard showing cohort counts, selected-student probability, four-week engagement, support recommendations, and model analytics." title="Student Risk Project Figure"/>
            <wp:cNvGraphicFramePr>
              <a:graphicFrameLocks noChangeAspect="1"/>
            </wp:cNvGraphicFramePr>
            <a:graphic>
              <a:graphicData uri="http://schemas.openxmlformats.org/drawingml/2006/picture">
                <pic:pic>
                  <pic:nvPicPr>
                    <pic:cNvPr id="0" name="dashboard_preview.png"/>
                    <pic:cNvPicPr/>
                  </pic:nvPicPr>
                  <pic:blipFill>
                    <a:blip r:embed="rId19"/>
                    <a:stretch>
                      <a:fillRect/>
                    </a:stretch>
                  </pic:blipFill>
                  <pic:spPr>
                    <a:xfrm>
                      <a:off x="0" y="0"/>
                      <a:ext cx="6217920" cy="3666761"/>
                    </a:xfrm>
                    <a:prstGeom prst="rect"/>
                  </pic:spPr>
                </pic:pic>
              </a:graphicData>
            </a:graphic>
          </wp:inline>
        </w:drawing>
      </w:r>
    </w:p>
    <w:p>
      <w:pPr>
        <w:pStyle w:val="Caption"/>
        <w:jc w:val="center"/>
      </w:pPr>
      <w:r>
        <w:rPr>
          <w:rFonts w:ascii="Noto Sans" w:hAnsi="Noto Sans" w:eastAsia="Noto Sans"/>
          <w:i/>
          <w:color w:val="667085"/>
          <w:sz w:val="17"/>
        </w:rPr>
        <w:t>Figure 10. Local demo dashboard.</w:t>
      </w:r>
    </w:p>
    <w:p>
      <w:pPr>
        <w:spacing w:after="100" w:line="269" w:lineRule="auto"/>
      </w:pPr>
      <w:r>
        <w:rPr>
          <w:rFonts w:ascii="Noto Sans" w:hAnsi="Noto Sans" w:eastAsia="Noto Sans"/>
          <w:sz w:val="21"/>
        </w:rPr>
        <w:t>The current progress component monitors engagement and academic signals over four weeks; it does not yet produce a separate risk score every week. A future extension can train multiple prediction points (for example Day 14, Day 28, Day 42, and Day 56) to create a true longitudinal risk trajectory.</w:t>
      </w:r>
    </w:p>
    <w:p>
      <w:pPr>
        <w:pStyle w:val="Heading1"/>
      </w:pPr>
      <w:r>
        <w:rPr>
          <w:rFonts w:ascii="Noto Sans" w:hAnsi="Noto Sans" w:eastAsia="Noto Sans"/>
          <w:b/>
          <w:color w:val="1D3557"/>
          <w:sz w:val="36"/>
        </w:rPr>
        <w:t>16. Reproducibility and Deployment</w:t>
      </w:r>
    </w:p>
    <w:p>
      <w:pPr>
        <w:spacing w:after="100" w:line="269" w:lineRule="auto"/>
      </w:pPr>
      <w:r>
        <w:rPr>
          <w:rFonts w:ascii="Noto Sans" w:hAnsi="Noto Sans" w:eastAsia="Noto Sans"/>
          <w:sz w:val="21"/>
        </w:rPr>
        <w:t>The saved final bundle stores preprocessing, the selected estimator, probability calibrator, risk thresholds, feature schema, prediction point, and recommendation configuration. The project also ships an inference CLI, exact tested core package versions, SHA-256 manifest, smoke-test input/output, and a validator that recomputes final metrics and checks split/SHAP/inference consistency.</w:t>
      </w:r>
    </w:p>
    <w:p>
      <w:pPr>
        <w:spacing w:after="120"/>
      </w:pPr>
      <w:r>
        <w:t>Final QA gates include: reproducibility validator PASS; zero student overlap across the persisted split; live-inference smoke reproduction; dashboard API health checks; document/slide visual QA; and SHA-256 integrity manifests for the core and complete submission package.</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5083"/>
            <w:shd w:fill="1D3557"/>
            <w:vAlign w:val="center"/>
            <w:tcMar>
              <w:top w:w="80" w:type="dxa"/>
              <w:start w:w="100" w:type="dxa"/>
              <w:bottom w:w="80" w:type="dxa"/>
              <w:end w:w="100" w:type="dxa"/>
            </w:tcMar>
          </w:tcPr>
          <w:p>
            <w:r>
              <w:rPr>
                <w:rFonts w:ascii="Noto Sans" w:hAnsi="Noto Sans" w:eastAsia="Noto Sans"/>
                <w:b/>
                <w:color w:val="FFFFFF"/>
                <w:sz w:val="18"/>
              </w:rPr>
              <w:t>Artifact</w:t>
            </w:r>
          </w:p>
        </w:tc>
        <w:tc>
          <w:tcPr>
            <w:tcW w:type="dxa" w:w="5083"/>
            <w:shd w:fill="1D3557"/>
            <w:vAlign w:val="center"/>
            <w:tcMar>
              <w:top w:w="80" w:type="dxa"/>
              <w:start w:w="100" w:type="dxa"/>
              <w:bottom w:w="80" w:type="dxa"/>
              <w:end w:w="100" w:type="dxa"/>
            </w:tcMar>
          </w:tcPr>
          <w:p>
            <w:r>
              <w:rPr>
                <w:rFonts w:ascii="Noto Sans" w:hAnsi="Noto Sans" w:eastAsia="Noto Sans"/>
                <w:b/>
                <w:color w:val="FFFFFF"/>
                <w:sz w:val="18"/>
              </w:rPr>
              <w:t>Purpose</w:t>
            </w:r>
          </w:p>
        </w:tc>
      </w:tr>
      <w:tr>
        <w:tc>
          <w:tcPr>
            <w:tcW w:type="dxa" w:w="5083"/>
            <w:tcMar>
              <w:top w:w="80" w:type="dxa"/>
              <w:start w:w="100" w:type="dxa"/>
              <w:bottom w:w="80" w:type="dxa"/>
              <w:end w:w="100" w:type="dxa"/>
            </w:tcMar>
          </w:tcPr>
          <w:p>
            <w:r>
              <w:rPr>
                <w:rFonts w:ascii="Noto Sans" w:hAnsi="Noto Sans" w:eastAsia="Noto Sans"/>
                <w:sz w:val="17"/>
              </w:rPr>
              <w:t>reports/final/final_risk_bundle.joblib</w:t>
            </w:r>
          </w:p>
        </w:tc>
        <w:tc>
          <w:tcPr>
            <w:tcW w:type="dxa" w:w="5083"/>
            <w:tcMar>
              <w:top w:w="80" w:type="dxa"/>
              <w:start w:w="100" w:type="dxa"/>
              <w:bottom w:w="80" w:type="dxa"/>
              <w:end w:w="100" w:type="dxa"/>
            </w:tcMar>
          </w:tcPr>
          <w:p>
            <w:r>
              <w:rPr>
                <w:rFonts w:ascii="Noto Sans" w:hAnsi="Noto Sans" w:eastAsia="Noto Sans"/>
                <w:sz w:val="17"/>
              </w:rPr>
              <w:t>Saved preprocessing + base model + calibrator + thresholds + schema</w:t>
            </w:r>
          </w:p>
        </w:tc>
      </w:tr>
      <w:tr>
        <w:tc>
          <w:tcPr>
            <w:tcW w:type="dxa" w:w="5083"/>
            <w:tcMar>
              <w:top w:w="80" w:type="dxa"/>
              <w:start w:w="100" w:type="dxa"/>
              <w:bottom w:w="80" w:type="dxa"/>
              <w:end w:w="100" w:type="dxa"/>
            </w:tcMar>
            <w:shd w:fill="F8FAFC"/>
          </w:tcPr>
          <w:p>
            <w:r>
              <w:rPr>
                <w:rFonts w:ascii="Noto Sans" w:hAnsi="Noto Sans" w:eastAsia="Noto Sans"/>
                <w:sz w:val="17"/>
              </w:rPr>
              <w:t>src/predict_risk.py</w:t>
            </w:r>
          </w:p>
        </w:tc>
        <w:tc>
          <w:tcPr>
            <w:tcW w:type="dxa" w:w="5083"/>
            <w:tcMar>
              <w:top w:w="80" w:type="dxa"/>
              <w:start w:w="100" w:type="dxa"/>
              <w:bottom w:w="80" w:type="dxa"/>
              <w:end w:w="100" w:type="dxa"/>
            </w:tcMar>
            <w:shd w:fill="F8FAFC"/>
          </w:tcPr>
          <w:p>
            <w:r>
              <w:rPr>
                <w:rFonts w:ascii="Noto Sans" w:hAnsi="Noto Sans" w:eastAsia="Noto Sans"/>
                <w:sz w:val="17"/>
              </w:rPr>
              <w:t>Batch inference CLI</w:t>
            </w:r>
          </w:p>
        </w:tc>
      </w:tr>
      <w:tr>
        <w:tc>
          <w:tcPr>
            <w:tcW w:type="dxa" w:w="5083"/>
            <w:tcMar>
              <w:top w:w="80" w:type="dxa"/>
              <w:start w:w="100" w:type="dxa"/>
              <w:bottom w:w="80" w:type="dxa"/>
              <w:end w:w="100" w:type="dxa"/>
            </w:tcMar>
          </w:tcPr>
          <w:p>
            <w:r>
              <w:rPr>
                <w:rFonts w:ascii="Noto Sans" w:hAnsi="Noto Sans" w:eastAsia="Noto Sans"/>
                <w:sz w:val="17"/>
              </w:rPr>
              <w:t>src/validate_project.py</w:t>
            </w:r>
          </w:p>
        </w:tc>
        <w:tc>
          <w:tcPr>
            <w:tcW w:type="dxa" w:w="5083"/>
            <w:tcMar>
              <w:top w:w="80" w:type="dxa"/>
              <w:start w:w="100" w:type="dxa"/>
              <w:bottom w:w="80" w:type="dxa"/>
              <w:end w:w="100" w:type="dxa"/>
            </w:tcMar>
          </w:tcPr>
          <w:p>
            <w:r>
              <w:rPr>
                <w:rFonts w:ascii="Noto Sans" w:hAnsi="Noto Sans" w:eastAsia="Noto Sans"/>
                <w:sz w:val="17"/>
              </w:rPr>
              <w:t>Project integrity and reproducibility validation</w:t>
            </w:r>
          </w:p>
        </w:tc>
      </w:tr>
      <w:tr>
        <w:tc>
          <w:tcPr>
            <w:tcW w:type="dxa" w:w="5083"/>
            <w:tcMar>
              <w:top w:w="80" w:type="dxa"/>
              <w:start w:w="100" w:type="dxa"/>
              <w:bottom w:w="80" w:type="dxa"/>
              <w:end w:w="100" w:type="dxa"/>
            </w:tcMar>
            <w:shd w:fill="F8FAFC"/>
          </w:tcPr>
          <w:p>
            <w:r>
              <w:rPr>
                <w:rFonts w:ascii="Noto Sans" w:hAnsi="Noto Sans" w:eastAsia="Noto Sans"/>
                <w:sz w:val="17"/>
              </w:rPr>
              <w:t>requirements-lock.txt</w:t>
            </w:r>
          </w:p>
        </w:tc>
        <w:tc>
          <w:tcPr>
            <w:tcW w:type="dxa" w:w="5083"/>
            <w:tcMar>
              <w:top w:w="80" w:type="dxa"/>
              <w:start w:w="100" w:type="dxa"/>
              <w:bottom w:w="80" w:type="dxa"/>
              <w:end w:w="100" w:type="dxa"/>
            </w:tcMar>
            <w:shd w:fill="F8FAFC"/>
          </w:tcPr>
          <w:p>
            <w:r>
              <w:rPr>
                <w:rFonts w:ascii="Noto Sans" w:hAnsi="Noto Sans" w:eastAsia="Noto Sans"/>
                <w:sz w:val="17"/>
              </w:rPr>
              <w:t>Exact tested core environment</w:t>
            </w:r>
          </w:p>
        </w:tc>
      </w:tr>
      <w:tr>
        <w:tc>
          <w:tcPr>
            <w:tcW w:type="dxa" w:w="5083"/>
            <w:tcMar>
              <w:top w:w="80" w:type="dxa"/>
              <w:start w:w="100" w:type="dxa"/>
              <w:bottom w:w="80" w:type="dxa"/>
              <w:end w:w="100" w:type="dxa"/>
            </w:tcMar>
          </w:tcPr>
          <w:p>
            <w:r>
              <w:rPr>
                <w:rFonts w:ascii="Noto Sans" w:hAnsi="Noto Sans" w:eastAsia="Noto Sans"/>
                <w:sz w:val="17"/>
              </w:rPr>
              <w:t>SHA256_MANIFEST.txt</w:t>
            </w:r>
          </w:p>
        </w:tc>
        <w:tc>
          <w:tcPr>
            <w:tcW w:type="dxa" w:w="5083"/>
            <w:tcMar>
              <w:top w:w="80" w:type="dxa"/>
              <w:start w:w="100" w:type="dxa"/>
              <w:bottom w:w="80" w:type="dxa"/>
              <w:end w:w="100" w:type="dxa"/>
            </w:tcMar>
          </w:tcPr>
          <w:p>
            <w:r>
              <w:rPr>
                <w:rFonts w:ascii="Noto Sans" w:hAnsi="Noto Sans" w:eastAsia="Noto Sans"/>
                <w:sz w:val="17"/>
              </w:rPr>
              <w:t>Package integrity hashes</w:t>
            </w:r>
          </w:p>
        </w:tc>
      </w:tr>
      <w:tr>
        <w:tc>
          <w:tcPr>
            <w:tcW w:type="dxa" w:w="5083"/>
            <w:tcMar>
              <w:top w:w="80" w:type="dxa"/>
              <w:start w:w="100" w:type="dxa"/>
              <w:bottom w:w="80" w:type="dxa"/>
              <w:end w:w="100" w:type="dxa"/>
            </w:tcMar>
            <w:shd w:fill="F8FAFC"/>
          </w:tcPr>
          <w:p>
            <w:r>
              <w:rPr>
                <w:rFonts w:ascii="Noto Sans" w:hAnsi="Noto Sans" w:eastAsia="Noto Sans"/>
                <w:sz w:val="17"/>
              </w:rPr>
              <w:t>demo/app.py</w:t>
            </w:r>
          </w:p>
        </w:tc>
        <w:tc>
          <w:tcPr>
            <w:tcW w:type="dxa" w:w="5083"/>
            <w:tcMar>
              <w:top w:w="80" w:type="dxa"/>
              <w:start w:w="100" w:type="dxa"/>
              <w:bottom w:w="80" w:type="dxa"/>
              <w:end w:w="100" w:type="dxa"/>
            </w:tcMar>
            <w:shd w:fill="F8FAFC"/>
          </w:tcPr>
          <w:p>
            <w:r>
              <w:rPr>
                <w:rFonts w:ascii="Noto Sans" w:hAnsi="Noto Sans" w:eastAsia="Noto Sans"/>
                <w:sz w:val="17"/>
              </w:rPr>
              <w:t>Local dashboard server with live inference</w:t>
            </w:r>
          </w:p>
        </w:tc>
      </w:tr>
    </w:tbl>
    <w:p>
      <w:pPr>
        <w:pStyle w:val="Heading1"/>
      </w:pPr>
      <w:r>
        <w:rPr>
          <w:rFonts w:ascii="Noto Sans" w:hAnsi="Noto Sans" w:eastAsia="Noto Sans"/>
          <w:b/>
          <w:color w:val="1D3557"/>
          <w:sz w:val="36"/>
        </w:rPr>
        <w:t>17. Limitations and Responsible Use</w:t>
      </w:r>
    </w:p>
    <w:p>
      <w:pPr>
        <w:pStyle w:val="ListBullet"/>
        <w:spacing w:after="60"/>
      </w:pPr>
      <w:r>
        <w:rPr>
          <w:rFonts w:ascii="Noto Sans" w:hAnsi="Noto Sans" w:eastAsia="Noto Sans"/>
          <w:sz w:val="20"/>
        </w:rPr>
        <w:t>OULAD reflects a particular UK distance-learning context; external or future-cohort validation is required before use elsewhere.</w:t>
      </w:r>
    </w:p>
    <w:p>
      <w:pPr>
        <w:pStyle w:val="ListBullet"/>
        <w:spacing w:after="60"/>
      </w:pPr>
      <w:r>
        <w:rPr>
          <w:rFonts w:ascii="Noto Sans" w:hAnsi="Noto Sans" w:eastAsia="Noto Sans"/>
          <w:sz w:val="20"/>
        </w:rPr>
        <w:t>Earlier project iteration viewed holdout diagnostics; the packaged evaluation holdout is locked for the current pipeline but is not a pristine external test.</w:t>
      </w:r>
    </w:p>
    <w:p>
      <w:pPr>
        <w:pStyle w:val="ListBullet"/>
        <w:spacing w:after="60"/>
      </w:pPr>
      <w:r>
        <w:rPr>
          <w:rFonts w:ascii="Noto Sans" w:hAnsi="Noto Sans" w:eastAsia="Noto Sans"/>
          <w:sz w:val="20"/>
        </w:rPr>
        <w:t>Risk is predictive association, not diagnosis or causation.</w:t>
      </w:r>
    </w:p>
    <w:p>
      <w:pPr>
        <w:pStyle w:val="ListBullet"/>
        <w:spacing w:after="60"/>
      </w:pPr>
      <w:r>
        <w:rPr>
          <w:rFonts w:ascii="Noto Sans" w:hAnsi="Noto Sans" w:eastAsia="Noto Sans"/>
          <w:sz w:val="20"/>
        </w:rPr>
        <w:t>A lower-risk classification does not guarantee success, and a higher-risk alert does not guarantee failure/withdrawal.</w:t>
      </w:r>
    </w:p>
    <w:p>
      <w:pPr>
        <w:pStyle w:val="ListBullet"/>
        <w:spacing w:after="60"/>
      </w:pPr>
      <w:r>
        <w:rPr>
          <w:rFonts w:ascii="Noto Sans" w:hAnsi="Noto Sans" w:eastAsia="Noto Sans"/>
          <w:sz w:val="20"/>
        </w:rPr>
        <w:t>The recall-focused threshold generates a material false-positive support workload.</w:t>
      </w:r>
    </w:p>
    <w:p>
      <w:pPr>
        <w:pStyle w:val="ListBullet"/>
        <w:spacing w:after="60"/>
      </w:pPr>
      <w:r>
        <w:rPr>
          <w:rFonts w:ascii="Noto Sans" w:hAnsi="Noto Sans" w:eastAsia="Noto Sans"/>
          <w:sz w:val="20"/>
        </w:rPr>
        <w:t>Demographic and socioeconomic variables may encode historical disparities; subgroup metrics must be reviewed alongside operational impact.</w:t>
      </w:r>
    </w:p>
    <w:p>
      <w:pPr>
        <w:pStyle w:val="ListBullet"/>
        <w:spacing w:after="60"/>
      </w:pPr>
      <w:r>
        <w:rPr>
          <w:rFonts w:ascii="Noto Sans" w:hAnsi="Noto Sans" w:eastAsia="Noto Sans"/>
          <w:sz w:val="20"/>
        </w:rPr>
        <w:t>The system is intended for supportive human-reviewed outreach, not autonomous grading, admissions, discipline, or exclusion.</w:t>
      </w:r>
    </w:p>
    <w:p>
      <w:pPr>
        <w:pStyle w:val="Heading1"/>
      </w:pPr>
      <w:r>
        <w:rPr>
          <w:rFonts w:ascii="Noto Sans" w:hAnsi="Noto Sans" w:eastAsia="Noto Sans"/>
          <w:b/>
          <w:color w:val="1D3557"/>
          <w:sz w:val="36"/>
        </w:rPr>
        <w:t>18. Conclusion</w:t>
      </w:r>
    </w:p>
    <w:p>
      <w:pPr>
        <w:spacing w:after="100" w:line="269" w:lineRule="auto"/>
      </w:pPr>
      <w:r>
        <w:rPr>
          <w:rFonts w:ascii="Noto Sans" w:hAnsi="Noto Sans" w:eastAsia="Noto Sans"/>
          <w:sz w:val="21"/>
        </w:rPr>
        <w:t>The project demonstrates a complete, course-aligned machine-learning workflow: problem definition, EDA, leakage prevention, feature engineering, preprocessing, classical model comparison, group-aware cross-validation, hyperparameter tuning, calibration, evaluation, explainability, recommendations, fairness auditing, a neural-network extension, reproducibility controls, and a working demo dashboard. The selected Logistic Regression model achieves strong ranking performance and high recall at the chosen support-oriented operating point while remaining comparatively interpretable.</w:t>
      </w:r>
    </w:p>
    <w:tbl>
      <w:tblPr>
        <w:tblW w:type="auto" w:w="0"/>
        <w:jc w:val="center"/>
        <w:tblLayout w:type="autofit"/>
        <w:tblLook w:firstColumn="1" w:firstRow="1" w:lastColumn="0" w:lastRow="0" w:noHBand="0" w:noVBand="1" w:val="04A0"/>
      </w:tblPr>
      <w:tblGrid>
        <w:gridCol w:w="10166"/>
      </w:tblGrid>
      <w:tr>
        <w:trPr>
          <w:tblHeader w:val="true"/>
        </w:trPr>
        <w:tc>
          <w:tcPr>
            <w:tcW w:type="dxa" w:w="10166"/>
            <w:shd w:fill="F7F9FC"/>
            <w:tcMar>
              <w:top w:w="120" w:type="dxa"/>
              <w:start w:w="140" w:type="dxa"/>
              <w:bottom w:w="120" w:type="dxa"/>
              <w:end w:w="140" w:type="dxa"/>
            </w:tcMar>
          </w:tcPr>
          <w:p>
            <w:r>
              <w:rPr>
                <w:rFonts w:ascii="Noto Sans" w:hAnsi="Noto Sans" w:eastAsia="Noto Sans"/>
                <w:b/>
                <w:color w:val="1F9D8A"/>
                <w:sz w:val="20"/>
              </w:rPr>
              <w:t xml:space="preserve">Final message  </w:t>
            </w:r>
            <w:r>
              <w:rPr>
                <w:rFonts w:ascii="Noto Sans" w:hAnsi="Noto Sans" w:eastAsia="Noto Sans"/>
                <w:color w:val="172033"/>
                <w:sz w:val="19"/>
              </w:rPr>
              <w:t>The strongest contribution is not a single accuracy number. It is the disciplined design of an early-warning workflow that respects time, student identity, leakage boundaries, uncertainty, explainability, and human intervention.</w:t>
            </w:r>
          </w:p>
        </w:tc>
      </w:tr>
    </w:tbl>
    <w:p>
      <w:pPr>
        <w:spacing w:after="0"/>
      </w:pPr>
    </w:p>
    <w:p>
      <w:pPr>
        <w:pStyle w:val="Heading1"/>
      </w:pPr>
      <w:r>
        <w:rPr>
          <w:rFonts w:ascii="Noto Sans" w:hAnsi="Noto Sans" w:eastAsia="Noto Sans"/>
          <w:b/>
          <w:color w:val="1D3557"/>
          <w:sz w:val="36"/>
        </w:rPr>
        <w:t>References</w:t>
      </w:r>
    </w:p>
    <w:p>
      <w:pPr>
        <w:spacing w:after="80" w:line="269" w:lineRule="auto"/>
        <w:ind w:left="317" w:hanging="317"/>
      </w:pPr>
      <w:r>
        <w:rPr>
          <w:rFonts w:ascii="Noto Sans" w:hAnsi="Noto Sans" w:eastAsia="Noto Sans"/>
          <w:sz w:val="21"/>
        </w:rPr>
        <w:t>[1] Kuzilek, J., Hlosta, M., &amp; Zdrahal, Z. (2017). Open University Learning Analytics dataset. Scientific Data, 4, 170171. https://doi.org/10.1038/sdata.2017.171</w:t>
      </w:r>
    </w:p>
    <w:p>
      <w:pPr>
        <w:spacing w:after="80" w:line="269" w:lineRule="auto"/>
        <w:ind w:left="317" w:hanging="317"/>
      </w:pPr>
      <w:r>
        <w:rPr>
          <w:rFonts w:ascii="Noto Sans" w:hAnsi="Noto Sans" w:eastAsia="Noto Sans"/>
          <w:sz w:val="21"/>
        </w:rPr>
        <w:t>[2] Pedregosa, F., et al. (2011). Scikit-learn: Machine Learning in Python. Journal of Machine Learning Research, 12, 2825–2830.</w:t>
      </w:r>
    </w:p>
    <w:p>
      <w:pPr>
        <w:spacing w:after="80" w:line="269" w:lineRule="auto"/>
        <w:ind w:left="317" w:hanging="317"/>
      </w:pPr>
      <w:r>
        <w:rPr>
          <w:rFonts w:ascii="Noto Sans" w:hAnsi="Noto Sans" w:eastAsia="Noto Sans"/>
          <w:sz w:val="21"/>
        </w:rPr>
        <w:t>[3] Lundberg, S. M., &amp; Lee, S.-I. (2017). A Unified Approach to Interpreting Model Predictions. Advances in Neural Information Processing Systems 30.</w:t>
      </w:r>
    </w:p>
    <w:p>
      <w:pPr>
        <w:spacing w:after="80" w:line="269" w:lineRule="auto"/>
        <w:ind w:left="317" w:hanging="317"/>
      </w:pPr>
      <w:r>
        <w:rPr>
          <w:rFonts w:ascii="Noto Sans" w:hAnsi="Noto Sans" w:eastAsia="Noto Sans"/>
          <w:sz w:val="21"/>
        </w:rPr>
        <w:t>[4] Scikit-learn documentation. Model evaluation, cross-validation, LogisticRegression, calibration, preprocessing, and pipelines. https://scikit-learn.org/</w:t>
      </w:r>
    </w:p>
    <w:p>
      <w:pPr>
        <w:spacing w:after="80" w:line="269" w:lineRule="auto"/>
        <w:ind w:left="317" w:hanging="317"/>
      </w:pPr>
      <w:r>
        <w:rPr>
          <w:rFonts w:ascii="Noto Sans" w:hAnsi="Noto Sans" w:eastAsia="Noto Sans"/>
          <w:sz w:val="21"/>
        </w:rPr>
        <w:t>[5] SHAP documentation. Model-agnostic and linear explainers. https://shap.readthedocs.io/</w:t>
      </w:r>
    </w:p>
    <w:p>
      <w:pPr>
        <w:pStyle w:val="Heading1"/>
      </w:pPr>
      <w:r>
        <w:rPr>
          <w:rFonts w:ascii="Noto Sans" w:hAnsi="Noto Sans" w:eastAsia="Noto Sans"/>
          <w:b/>
          <w:color w:val="1D3557"/>
          <w:sz w:val="36"/>
        </w:rPr>
        <w:t>Appendix A — Reproduction Commands</w:t>
      </w:r>
    </w:p>
    <w:p>
      <w:pPr>
        <w:pStyle w:val="NoSpacing"/>
      </w:pPr>
      <w:r>
        <w:rPr>
          <w:rFonts w:ascii="DejaVu Sans Mono" w:hAnsi="DejaVu Sans Mono" w:eastAsia="DejaVu Sans Mono"/>
          <w:color w:val="344054"/>
          <w:sz w:val="15"/>
        </w:rPr>
        <w:t>python src\build_day28_dataset.py "path\to\archive.zip" --output data\processed\student_risk_day28.csv --report reports\day28_dataset_summary.json --dictionary reports\feature_dictionary.csv</w:t>
      </w:r>
    </w:p>
    <w:p>
      <w:pPr>
        <w:pStyle w:val="NoSpacing"/>
      </w:pPr>
      <w:r>
        <w:rPr>
          <w:rFonts w:ascii="DejaVu Sans Mono" w:hAnsi="DejaVu Sans Mono" w:eastAsia="DejaVu Sans Mono"/>
          <w:color w:val="344054"/>
          <w:sz w:val="15"/>
        </w:rPr>
        <w:t>python src\run_eda.py data\processed\student_risk_day28.csv reports\tuning\locked_split_manifest.csv reports\eda</w:t>
      </w:r>
    </w:p>
    <w:p>
      <w:pPr>
        <w:pStyle w:val="NoSpacing"/>
      </w:pPr>
      <w:r>
        <w:rPr>
          <w:rFonts w:ascii="DejaVu Sans Mono" w:hAnsi="DejaVu Sans Mono" w:eastAsia="DejaVu Sans Mono"/>
          <w:color w:val="344054"/>
          <w:sz w:val="15"/>
        </w:rPr>
        <w:t>python src\train_baselines.py data\processed\student_risk_day28.csv reports\tuning\locked_split_manifest.csv reports\baselines</w:t>
      </w:r>
    </w:p>
    <w:p>
      <w:pPr>
        <w:pStyle w:val="NoSpacing"/>
      </w:pPr>
      <w:r>
        <w:rPr>
          <w:rFonts w:ascii="DejaVu Sans Mono" w:hAnsi="DejaVu Sans Mono" w:eastAsia="DejaVu Sans Mono"/>
          <w:color w:val="344054"/>
          <w:sz w:val="15"/>
        </w:rPr>
        <w:t>python src\tune_models.py data\processed\student_risk_day28.csv reports\tuning</w:t>
      </w:r>
    </w:p>
    <w:p>
      <w:pPr>
        <w:pStyle w:val="NoSpacing"/>
      </w:pPr>
      <w:r>
        <w:rPr>
          <w:rFonts w:ascii="DejaVu Sans Mono" w:hAnsi="DejaVu Sans Mono" w:eastAsia="DejaVu Sans Mono"/>
          <w:color w:val="344054"/>
          <w:sz w:val="15"/>
        </w:rPr>
        <w:t>python src\finalize_model.py data\processed\student_risk_day28.csv reports\tuning reports\final</w:t>
      </w:r>
    </w:p>
    <w:p>
      <w:pPr>
        <w:pStyle w:val="NoSpacing"/>
      </w:pPr>
      <w:r>
        <w:rPr>
          <w:rFonts w:ascii="DejaVu Sans Mono" w:hAnsi="DejaVu Sans Mono" w:eastAsia="DejaVu Sans Mono"/>
          <w:color w:val="344054"/>
          <w:sz w:val="15"/>
        </w:rPr>
        <w:t>python src\validate_project.py</w:t>
      </w:r>
    </w:p>
    <w:p>
      <w:pPr>
        <w:pStyle w:val="NoSpacing"/>
      </w:pPr>
      <w:r>
        <w:rPr>
          <w:rFonts w:ascii="DejaVu Sans Mono" w:hAnsi="DejaVu Sans Mono" w:eastAsia="DejaVu Sans Mono"/>
          <w:color w:val="344054"/>
          <w:sz w:val="15"/>
        </w:rPr>
        <w:t>py demo\app.py</w:t>
      </w:r>
    </w:p>
    <w:p>
      <w:pPr>
        <w:pStyle w:val="Heading1"/>
      </w:pPr>
      <w:r>
        <w:rPr>
          <w:rFonts w:ascii="Noto Sans" w:hAnsi="Noto Sans" w:eastAsia="Noto Sans"/>
          <w:b/>
          <w:color w:val="1D3557"/>
          <w:sz w:val="36"/>
        </w:rPr>
        <w:t>Appendix B — Viva-Ready Key Points</w:t>
      </w:r>
    </w:p>
    <w:p>
      <w:pPr>
        <w:pStyle w:val="ListBullet"/>
        <w:spacing w:after="60"/>
      </w:pPr>
      <w:r>
        <w:rPr>
          <w:rFonts w:ascii="Noto Sans" w:hAnsi="Noto Sans" w:eastAsia="Noto Sans"/>
          <w:sz w:val="20"/>
        </w:rPr>
        <w:t>This is binary classification because the target is At Risk vs Not At Risk.</w:t>
      </w:r>
    </w:p>
    <w:p>
      <w:pPr>
        <w:pStyle w:val="ListBullet"/>
        <w:spacing w:after="60"/>
      </w:pPr>
      <w:r>
        <w:rPr>
          <w:rFonts w:ascii="Noto Sans" w:hAnsi="Noto Sans" w:eastAsia="Noto Sans"/>
          <w:sz w:val="20"/>
        </w:rPr>
        <w:t>Day 28 is the fixed prediction point; future activity/assessment information is excluded.</w:t>
      </w:r>
    </w:p>
    <w:p>
      <w:pPr>
        <w:pStyle w:val="ListBullet"/>
        <w:spacing w:after="60"/>
      </w:pPr>
      <w:r>
        <w:rPr>
          <w:rFonts w:ascii="Noto Sans" w:hAnsi="Noto Sans" w:eastAsia="Noto Sans"/>
          <w:sz w:val="20"/>
        </w:rPr>
        <w:t>Student IDs are not predictive inputs; they are grouping keys that prevent cross-split identity leakage.</w:t>
      </w:r>
    </w:p>
    <w:p>
      <w:pPr>
        <w:pStyle w:val="ListBullet"/>
        <w:spacing w:after="60"/>
      </w:pPr>
      <w:r>
        <w:rPr>
          <w:rFonts w:ascii="Noto Sans" w:hAnsi="Noto Sans" w:eastAsia="Noto Sans"/>
          <w:sz w:val="20"/>
        </w:rPr>
        <w:t>Scaling matters for Logistic Regression and SVM; Random Forest is scale-insensitive.</w:t>
      </w:r>
    </w:p>
    <w:p>
      <w:pPr>
        <w:pStyle w:val="ListBullet"/>
        <w:spacing w:after="60"/>
      </w:pPr>
      <w:r>
        <w:rPr>
          <w:rFonts w:ascii="Noto Sans" w:hAnsi="Noto Sans" w:eastAsia="Noto Sans"/>
          <w:sz w:val="20"/>
        </w:rPr>
        <w:t>Recall is important because false negatives mean missing students who later become at risk.</w:t>
      </w:r>
    </w:p>
    <w:p>
      <w:pPr>
        <w:pStyle w:val="ListBullet"/>
        <w:spacing w:after="60"/>
      </w:pPr>
      <w:r>
        <w:rPr>
          <w:rFonts w:ascii="Noto Sans" w:hAnsi="Noto Sans" w:eastAsia="Noto Sans"/>
          <w:sz w:val="20"/>
        </w:rPr>
        <w:t>Accuracy alone would not capture the intervention trade-off.</w:t>
      </w:r>
    </w:p>
    <w:p>
      <w:pPr>
        <w:pStyle w:val="ListBullet"/>
        <w:spacing w:after="60"/>
      </w:pPr>
      <w:r>
        <w:rPr>
          <w:rFonts w:ascii="Noto Sans" w:hAnsi="Noto Sans" w:eastAsia="Noto Sans"/>
          <w:sz w:val="20"/>
        </w:rPr>
        <w:t>The final model is selected by development CV, not by the locked evaluation metrics.</w:t>
      </w:r>
    </w:p>
    <w:p>
      <w:pPr>
        <w:pStyle w:val="ListBullet"/>
        <w:spacing w:after="60"/>
      </w:pPr>
      <w:r>
        <w:rPr>
          <w:rFonts w:ascii="Noto Sans" w:hAnsi="Noto Sans" w:eastAsia="Noto Sans"/>
          <w:sz w:val="20"/>
        </w:rPr>
        <w:t>SHAP explains model behavior; it does not prove why a student will fail or withdraw.</w:t>
      </w:r>
    </w:p>
    <w:p>
      <w:pPr>
        <w:pStyle w:val="ListBullet"/>
        <w:spacing w:after="60"/>
      </w:pPr>
      <w:r>
        <w:rPr>
          <w:rFonts w:ascii="Noto Sans" w:hAnsi="Noto Sans" w:eastAsia="Noto Sans"/>
          <w:sz w:val="20"/>
        </w:rPr>
        <w:t>Recommendations use actionable academic/engagement signals and require human review.</w:t>
      </w:r>
    </w:p>
    <w:p>
      <w:pPr>
        <w:pStyle w:val="ListBullet"/>
        <w:spacing w:after="60"/>
      </w:pPr>
      <w:r>
        <w:rPr>
          <w:rFonts w:ascii="Noto Sans" w:hAnsi="Noto Sans" w:eastAsia="Noto Sans"/>
          <w:sz w:val="20"/>
        </w:rPr>
        <w:t>Deep learning was tested, but the simpler model generalized better in the current structured-data experiment.</w:t>
      </w:r>
    </w:p>
    <w:sectPr w:rsidR="00FC693F" w:rsidRPr="0006063C" w:rsidSect="00034616">
      <w:footerReference w:type="default" r:id="rId9"/>
      <w:pgSz w:w="12240" w:h="15840"/>
      <w:pgMar w:top="936"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w:hAnsi="Noto Sans"/>
        <w:color w:val="66738C"/>
        <w:sz w:val="16"/>
      </w:rPr>
      <w:t xml:space="preserve">Intelligent Student Academic Progress Monitoring &amp; Early Risk Prediction  ·  Page </w:t>
    </w:r>
    <w:r>
      <w:rPr>
        <w:rFonts w:ascii="Noto Sans" w:hAnsi="Noto Sans"/>
        <w:color w:val="66738C"/>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w:hAnsi="Noto Sans" w:eastAsia="Noto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Noto Sans" w:hAnsi="Noto Sans"/>
      <w:b/>
      <w:bCs/>
      <w:color w:val="203D63"/>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Noto Sans" w:hAnsi="Noto Sans"/>
      <w:b/>
      <w:bCs/>
      <w:color w:val="203D63"/>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160"/>
      <w:jc w:val="center"/>
    </w:pPr>
    <w:rPr>
      <w:rFonts w:ascii="Noto Sans" w:hAnsi="Noto Sans"/>
      <w:b w:val="0"/>
      <w:bCs/>
      <w:i/>
      <w:color w:val="66738C"/>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