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color w:val="1F406B"/>
          <w:sz w:val="52"/>
        </w:rPr>
        <w:t>Project Trajectory Audit</w:t>
      </w:r>
    </w:p>
    <w:p>
      <w:pPr>
        <w:spacing w:after="40"/>
      </w:pPr>
      <w:r>
        <w:rPr>
          <w:b w:val="0"/>
          <w:i w:val="0"/>
          <w:color w:val="5A5A5A"/>
          <w:sz w:val="26"/>
        </w:rPr>
        <w:t>SCADA-Based Wind Turbine Gearbox Condition Monitoring</w:t>
      </w:r>
    </w:p>
    <w:p>
      <w:pPr>
        <w:spacing w:after="320"/>
      </w:pPr>
      <w:r>
        <w:rPr>
          <w:b w:val="0"/>
          <w:i/>
          <w:color w:val="5A5A5A"/>
          <w:sz w:val="22"/>
        </w:rPr>
        <w:t>Commit range 7df11f9 → 592d890  ·  what changed, why it was needed, and whether the research questions were answered</w:t>
      </w:r>
    </w:p>
    <w:tbl>
      <w:tblPr>
        <w:tblStyle w:val="TableGrid"/>
        <w:tblW w:type="auto" w:w="0"/>
        <w:jc w:val="center"/>
        <w:tblLook w:firstColumn="1" w:firstRow="1" w:lastColumn="0" w:lastRow="0" w:noHBand="0" w:noVBand="1" w:val="04A0"/>
      </w:tblPr>
      <w:tblGrid>
        <w:gridCol w:w="4586"/>
        <w:gridCol w:w="4586"/>
      </w:tblGrid>
      <w:tr>
        <w:tc>
          <w:tcPr>
            <w:tcW w:type="dxa" w:w="2304"/>
            <w:shd w:val="clear" w:fill="1F406B"/>
          </w:tcPr>
          <w:p>
            <w:pPr>
              <w:spacing w:after="20" w:before="20"/>
            </w:pPr>
            <w:r/>
            <w:r>
              <w:rPr>
                <w:b/>
                <w:color w:val="FFFFFF"/>
                <w:sz w:val="18"/>
              </w:rPr>
              <w:t>Field</w:t>
            </w:r>
          </w:p>
        </w:tc>
        <w:tc>
          <w:tcPr>
            <w:tcW w:type="dxa" w:w="6768"/>
            <w:shd w:val="clear" w:fill="1F406B"/>
          </w:tcPr>
          <w:p>
            <w:pPr>
              <w:spacing w:after="20" w:before="20"/>
            </w:pPr>
            <w:r/>
            <w:r>
              <w:rPr>
                <w:b/>
                <w:color w:val="FFFFFF"/>
                <w:sz w:val="18"/>
              </w:rPr>
              <w:t>Value</w:t>
            </w:r>
          </w:p>
        </w:tc>
      </w:tr>
      <w:tr>
        <w:tc>
          <w:tcPr>
            <w:tcW w:type="dxa" w:w="2304"/>
          </w:tcPr>
          <w:p>
            <w:pPr>
              <w:spacing w:after="20" w:before="20"/>
            </w:pPr>
            <w:r/>
            <w:r>
              <w:rPr>
                <w:sz w:val="18"/>
              </w:rPr>
              <w:t>Repository</w:t>
            </w:r>
          </w:p>
        </w:tc>
        <w:tc>
          <w:tcPr>
            <w:tcW w:type="dxa" w:w="6768"/>
          </w:tcPr>
          <w:p>
            <w:pPr>
              <w:spacing w:after="20" w:before="20"/>
            </w:pPr>
            <w:r/>
            <w:r>
              <w:rPr>
                <w:sz w:val="18"/>
              </w:rPr>
              <w:t>wind-gearbox-diagnostics (branch: implementation)</w:t>
            </w:r>
          </w:p>
        </w:tc>
      </w:tr>
      <w:tr>
        <w:tc>
          <w:tcPr>
            <w:tcW w:type="dxa" w:w="2304"/>
            <w:shd w:val="clear" w:fill="F1F4F8"/>
          </w:tcPr>
          <w:p>
            <w:pPr>
              <w:spacing w:after="20" w:before="20"/>
            </w:pPr>
            <w:r/>
            <w:r>
              <w:rPr>
                <w:sz w:val="18"/>
              </w:rPr>
              <w:t>Audit range</w:t>
            </w:r>
          </w:p>
        </w:tc>
        <w:tc>
          <w:tcPr>
            <w:tcW w:type="dxa" w:w="6768"/>
            <w:shd w:val="clear" w:fill="F1F4F8"/>
          </w:tcPr>
          <w:p>
            <w:pPr>
              <w:spacing w:after="20" w:before="20"/>
            </w:pPr>
            <w:r/>
            <w:r>
              <w:rPr>
                <w:sz w:val="18"/>
              </w:rPr>
              <w:t>7df11f9 (ADR-027 outcome) .. 592d890 (HEAD)</w:t>
            </w:r>
          </w:p>
        </w:tc>
      </w:tr>
      <w:tr>
        <w:tc>
          <w:tcPr>
            <w:tcW w:type="dxa" w:w="2304"/>
          </w:tcPr>
          <w:p>
            <w:pPr>
              <w:spacing w:after="20" w:before="20"/>
            </w:pPr>
            <w:r/>
            <w:r>
              <w:rPr>
                <w:sz w:val="18"/>
              </w:rPr>
              <w:t>Commits in range</w:t>
            </w:r>
          </w:p>
        </w:tc>
        <w:tc>
          <w:tcPr>
            <w:tcW w:type="dxa" w:w="6768"/>
          </w:tcPr>
          <w:p>
            <w:pPr>
              <w:spacing w:after="20" w:before="20"/>
            </w:pPr>
            <w:r/>
            <w:r>
              <w:rPr>
                <w:sz w:val="18"/>
              </w:rPr>
              <w:t>24</w:t>
            </w:r>
          </w:p>
        </w:tc>
      </w:tr>
      <w:tr>
        <w:tc>
          <w:tcPr>
            <w:tcW w:type="dxa" w:w="2304"/>
            <w:shd w:val="clear" w:fill="F1F4F8"/>
          </w:tcPr>
          <w:p>
            <w:pPr>
              <w:spacing w:after="20" w:before="20"/>
            </w:pPr>
            <w:r/>
            <w:r>
              <w:rPr>
                <w:sz w:val="18"/>
              </w:rPr>
              <w:t>Change surface</w:t>
            </w:r>
          </w:p>
        </w:tc>
        <w:tc>
          <w:tcPr>
            <w:tcW w:type="dxa" w:w="6768"/>
            <w:shd w:val="clear" w:fill="F1F4F8"/>
          </w:tcPr>
          <w:p>
            <w:pPr>
              <w:spacing w:after="20" w:before="20"/>
            </w:pPr>
            <w:r/>
            <w:r>
              <w:rPr>
                <w:sz w:val="18"/>
              </w:rPr>
              <w:t>60 files, +19,854 / −197 lines</w:t>
            </w:r>
          </w:p>
        </w:tc>
      </w:tr>
      <w:tr>
        <w:tc>
          <w:tcPr>
            <w:tcW w:type="dxa" w:w="2304"/>
          </w:tcPr>
          <w:p>
            <w:pPr>
              <w:spacing w:after="20" w:before="20"/>
            </w:pPr>
            <w:r/>
            <w:r>
              <w:rPr>
                <w:sz w:val="18"/>
              </w:rPr>
              <w:t>Report date</w:t>
            </w:r>
          </w:p>
        </w:tc>
        <w:tc>
          <w:tcPr>
            <w:tcW w:type="dxa" w:w="6768"/>
          </w:tcPr>
          <w:p>
            <w:pPr>
              <w:spacing w:after="20" w:before="20"/>
            </w:pPr>
            <w:r/>
            <w:r>
              <w:rPr>
                <w:sz w:val="18"/>
              </w:rPr>
              <w:t>2026-08-19 (revision 2)</w:t>
            </w:r>
          </w:p>
        </w:tc>
      </w:tr>
      <w:tr>
        <w:tc>
          <w:tcPr>
            <w:tcW w:type="dxa" w:w="2304"/>
            <w:shd w:val="clear" w:fill="F1F4F8"/>
          </w:tcPr>
          <w:p>
            <w:pPr>
              <w:spacing w:after="20" w:before="20"/>
            </w:pPr>
            <w:r/>
            <w:r>
              <w:rPr>
                <w:sz w:val="18"/>
              </w:rPr>
              <w:t>Reference experiment</w:t>
            </w:r>
          </w:p>
        </w:tc>
        <w:tc>
          <w:tcPr>
            <w:tcW w:type="dxa" w:w="6768"/>
            <w:shd w:val="clear" w:fill="F1F4F8"/>
          </w:tcPr>
          <w:p>
            <w:pPr>
              <w:spacing w:after="20" w:before="20"/>
            </w:pPr>
            <w:r/>
            <w:r>
              <w:rPr>
                <w:sz w:val="18"/>
              </w:rPr>
              <w:t>EXP-20260818-001 — reproduces EXACT MATCH</w:t>
            </w:r>
          </w:p>
        </w:tc>
      </w:tr>
      <w:tr>
        <w:tc>
          <w:tcPr>
            <w:tcW w:type="dxa" w:w="2304"/>
          </w:tcPr>
          <w:p>
            <w:pPr>
              <w:spacing w:after="20" w:before="20"/>
            </w:pPr>
            <w:r/>
            <w:r>
              <w:rPr>
                <w:sz w:val="18"/>
              </w:rPr>
              <w:t>Comparison experiment</w:t>
            </w:r>
          </w:p>
        </w:tc>
        <w:tc>
          <w:tcPr>
            <w:tcW w:type="dxa" w:w="6768"/>
          </w:tcPr>
          <w:p>
            <w:pPr>
              <w:spacing w:after="20" w:before="20"/>
            </w:pPr>
            <w:r/>
            <w:r>
              <w:rPr>
                <w:sz w:val="18"/>
              </w:rPr>
              <w:t>EXP-20260817-001 (first run under corrected methodology)</w:t>
            </w:r>
          </w:p>
        </w:tc>
      </w:tr>
      <w:tr>
        <w:tc>
          <w:tcPr>
            <w:tcW w:type="dxa" w:w="2304"/>
            <w:shd w:val="clear" w:fill="F1F4F8"/>
          </w:tcPr>
          <w:p>
            <w:pPr>
              <w:spacing w:after="20" w:before="20"/>
            </w:pPr>
            <w:r/>
            <w:r>
              <w:rPr>
                <w:sz w:val="18"/>
              </w:rPr>
              <w:t>Governance state</w:t>
            </w:r>
          </w:p>
        </w:tc>
        <w:tc>
          <w:tcPr>
            <w:tcW w:type="dxa" w:w="6768"/>
            <w:shd w:val="clear" w:fill="F1F4F8"/>
          </w:tcPr>
          <w:p>
            <w:pPr>
              <w:spacing w:after="20" w:before="20"/>
            </w:pPr>
            <w:r/>
            <w:r>
              <w:rPr>
                <w:sz w:val="18"/>
              </w:rPr>
              <w:t>48 ADRs, 36 LIM entries</w:t>
            </w:r>
          </w:p>
        </w:tc>
      </w:tr>
      <w:tr>
        <w:tc>
          <w:tcPr>
            <w:tcW w:type="dxa" w:w="2304"/>
          </w:tcPr>
          <w:p>
            <w:pPr>
              <w:spacing w:after="20" w:before="20"/>
            </w:pPr>
            <w:r/>
            <w:r>
              <w:rPr>
                <w:sz w:val="18"/>
              </w:rPr>
              <w:t>Evidence basis</w:t>
            </w:r>
          </w:p>
        </w:tc>
        <w:tc>
          <w:tcPr>
            <w:tcW w:type="dxa" w:w="6768"/>
          </w:tcPr>
          <w:p>
            <w:pPr>
              <w:spacing w:after="20" w:before="20"/>
            </w:pPr>
            <w:r/>
            <w:r>
              <w:rPr>
                <w:sz w:val="18"/>
              </w:rPr>
              <w:t>Repository artifacts only. No number in this report is estimated, reconstructed or inferred.</w:t>
            </w:r>
          </w:p>
        </w:tc>
      </w:tr>
    </w:tbl>
    <w:p>
      <w:pPr>
        <w:spacing w:after="40"/>
      </w:pPr>
    </w:p>
    <w:p/>
    <w:tbl>
      <w:tblPr>
        <w:tblStyle w:val="TableGrid"/>
        <w:tblW w:type="auto" w:w="0"/>
        <w:tblLook w:firstColumn="1" w:firstRow="1" w:lastColumn="0" w:lastRow="0" w:noHBand="0" w:noVBand="1" w:val="04A0"/>
      </w:tblPr>
      <w:tblGrid>
        <w:gridCol w:w="9173"/>
      </w:tblGrid>
      <w:tr>
        <w:tc>
          <w:tcPr>
            <w:tcW w:type="dxa" w:w="9173"/>
            <w:shd w:val="clear" w:fill="EEF3F9"/>
          </w:tcPr>
          <w:p>
            <w:r/>
            <w:r>
              <w:rPr>
                <w:b/>
                <w:color w:val="1F406B"/>
                <w:sz w:val="19"/>
              </w:rPr>
              <w:t>What changed in revision 2</w:t>
            </w:r>
          </w:p>
          <w:p>
            <w:pPr>
              <w:spacing w:after="40"/>
            </w:pPr>
            <w:r>
              <w:rPr>
                <w:sz w:val="19"/>
              </w:rPr>
              <w:t>Revision 1 (2026-08-18) recorded that RQ2 had no citable result and that the unfiltered-slice reversal was unexplained. Both have since been addressed: the matched-false-alarm sweep was re-run under the corrected denominator (ADR-048) and every figure is now reported split by operating regime (ADR-047). One hypothesis advanced in revision 1 — that Chesterman's dual criterion would reframe the unfiltered-slice reversal favourably — was implemented, measured, and REFUTED (LIM-035). That refutation is reported here in full rather than removed.</w:t>
            </w:r>
          </w:p>
        </w:tc>
      </w:tr>
    </w:tbl>
    <w:p>
      <w:pPr>
        <w:spacing w:after="40"/>
      </w:pPr>
    </w:p>
    <w:p/>
    <w:tbl>
      <w:tblPr>
        <w:tblStyle w:val="TableGrid"/>
        <w:tblW w:type="auto" w:w="0"/>
        <w:tblLook w:firstColumn="1" w:firstRow="1" w:lastColumn="0" w:lastRow="0" w:noHBand="0" w:noVBand="1" w:val="04A0"/>
      </w:tblPr>
      <w:tblGrid>
        <w:gridCol w:w="9173"/>
      </w:tblGrid>
      <w:tr>
        <w:tc>
          <w:tcPr>
            <w:tcW w:type="dxa" w:w="9173"/>
            <w:shd w:val="clear" w:fill="EEF3F9"/>
          </w:tcPr>
          <w:p>
            <w:r/>
            <w:r>
              <w:rPr>
                <w:b/>
                <w:color w:val="1F406B"/>
                <w:sz w:val="19"/>
              </w:rPr>
              <w:t>How to read this report</w:t>
            </w:r>
          </w:p>
          <w:p>
            <w:pPr>
              <w:spacing w:after="40"/>
            </w:pPr>
            <w:r>
              <w:rPr>
                <w:sz w:val="19"/>
              </w:rPr>
              <w:t>Claims are tagged FACT (read directly from a repository artifact or from git), INFERENCE (a conclusion the author of this report draws from stated facts, with the reasoning shown), or UNKNOWN (not determinable from the repository). Where a previously recorded project claim is contradicted by measurement, the contradiction is stated explicitly rather than smoothed over.</w:t>
            </w:r>
          </w:p>
        </w:tc>
      </w:tr>
    </w:tbl>
    <w:p>
      <w:pPr>
        <w:spacing w:after="40"/>
      </w:pPr>
    </w:p>
    <w:p>
      <w:r>
        <w:br w:type="page"/>
      </w:r>
    </w:p>
    <w:p>
      <w:pPr>
        <w:pStyle w:val="Heading1"/>
      </w:pPr>
      <w:r>
        <w:t>1. Executive summary</w:t>
      </w:r>
    </w:p>
    <w:p>
      <w:r>
        <w:rPr>
          <w:b w:val="0"/>
          <w:i w:val="0"/>
          <w:sz w:val="22"/>
        </w:rPr>
        <w:t>The 24 commits in this range did not build new science. They audited, corrected and instrumented science that already existed — and in doing so they falsified two of the project's three research premises using the project's own data.</w:t>
      </w:r>
    </w:p>
    <w:p>
      <w:pPr>
        <w:pStyle w:val="Heading2"/>
      </w:pPr>
      <w:r>
        <w:t>1.1 The single most important finding</w:t>
      </w:r>
    </w:p>
    <w:p>
      <w:r>
        <w:rPr>
          <w:b/>
          <w:i w:val="0"/>
        </w:rPr>
        <w:t xml:space="preserve">The preprocessing pipeline did not change at all. </w:t>
      </w:r>
      <w:r>
        <w:rPr>
          <w:b w:val="0"/>
          <w:i w:val="0"/>
        </w:rPr>
        <w:t xml:space="preserve">Ten of the modules that define ingestion, cleaning, mapping, schema, validation, provenance, residual computation and normalisation are </w:t>
      </w:r>
      <w:r>
        <w:rPr>
          <w:b/>
          <w:i w:val="0"/>
        </w:rPr>
        <w:t>byte-identical</w:t>
      </w:r>
      <w:r>
        <w:rPr>
          <w:b w:val="0"/>
          <w:i w:val="0"/>
        </w:rPr>
        <w:t xml:space="preserve"> between 7df11f9 and HEAD. The split dates, the data span and the ordered cleaning operations are identical. What changed was </w:t>
      </w:r>
      <w:r>
        <w:rPr>
          <w:b w:val="0"/>
          <w:i/>
        </w:rPr>
        <w:t>how the project measures and reports what the pipeline produces</w:t>
      </w:r>
      <w:r>
        <w:rPr>
          <w:b w:val="0"/>
          <w:i w:val="0"/>
        </w:rPr>
        <w:t>, plus exactly one change to model selection (ADR-030) and the addition of a second baseline model (ADR-032).</w:t>
      </w:r>
    </w:p>
    <w:p>
      <w:pPr>
        <w:pStyle w:val="Heading2"/>
      </w:pPr>
      <w:r>
        <w:t>1.2 Verdicts at a glance</w:t>
      </w:r>
    </w:p>
    <w:tbl>
      <w:tblPr>
        <w:tblStyle w:val="TableGrid"/>
        <w:tblW w:type="auto" w:w="0"/>
        <w:jc w:val="center"/>
        <w:tblLook w:firstColumn="1" w:firstRow="1" w:lastColumn="0" w:lastRow="0" w:noHBand="0" w:noVBand="1" w:val="04A0"/>
      </w:tblPr>
      <w:tblGrid>
        <w:gridCol w:w="3058"/>
        <w:gridCol w:w="3058"/>
        <w:gridCol w:w="3058"/>
      </w:tblGrid>
      <w:tr>
        <w:tc>
          <w:tcPr>
            <w:tcW w:type="dxa" w:w="2736"/>
            <w:shd w:val="clear" w:fill="1F406B"/>
          </w:tcPr>
          <w:p>
            <w:pPr>
              <w:spacing w:after="20" w:before="20"/>
            </w:pPr>
            <w:r/>
            <w:r>
              <w:rPr>
                <w:b/>
                <w:color w:val="FFFFFF"/>
                <w:sz w:val="16"/>
              </w:rPr>
              <w:t>Question / objective</w:t>
            </w:r>
          </w:p>
        </w:tc>
        <w:tc>
          <w:tcPr>
            <w:tcW w:type="dxa" w:w="2160"/>
            <w:shd w:val="clear" w:fill="1F406B"/>
          </w:tcPr>
          <w:p>
            <w:pPr>
              <w:spacing w:after="20" w:before="20"/>
            </w:pPr>
            <w:r/>
            <w:r>
              <w:rPr>
                <w:b/>
                <w:color w:val="FFFFFF"/>
                <w:sz w:val="16"/>
              </w:rPr>
              <w:t>Verdict</w:t>
            </w:r>
          </w:p>
        </w:tc>
        <w:tc>
          <w:tcPr>
            <w:tcW w:type="dxa" w:w="4176"/>
            <w:shd w:val="clear" w:fill="1F406B"/>
          </w:tcPr>
          <w:p>
            <w:pPr>
              <w:spacing w:after="20" w:before="20"/>
            </w:pPr>
            <w:r/>
            <w:r>
              <w:rPr>
                <w:b/>
                <w:color w:val="FFFFFF"/>
                <w:sz w:val="16"/>
              </w:rPr>
              <w:t>Single strongest reason</w:t>
            </w:r>
          </w:p>
        </w:tc>
      </w:tr>
      <w:tr>
        <w:tc>
          <w:tcPr>
            <w:tcW w:type="dxa" w:w="2736"/>
          </w:tcPr>
          <w:p>
            <w:pPr>
              <w:spacing w:after="20" w:before="20"/>
            </w:pPr>
            <w:r/>
            <w:r>
              <w:rPr>
                <w:sz w:val="16"/>
              </w:rPr>
              <w:t>RQ1 — Does a multi-target NBM represent healthy behaviour more accurately than linear references?</w:t>
            </w:r>
          </w:p>
        </w:tc>
        <w:tc>
          <w:tcPr>
            <w:tcW w:type="dxa" w:w="2160"/>
          </w:tcPr>
          <w:p>
            <w:pPr>
              <w:spacing w:after="20" w:before="20"/>
            </w:pPr>
            <w:r/>
            <w:r>
              <w:rPr>
                <w:b/>
                <w:color w:val="1B5E20"/>
                <w:sz w:val="16"/>
              </w:rPr>
              <w:t>ANSWERED — affirmative, and strengthened by the remediation</w:t>
            </w:r>
          </w:p>
        </w:tc>
        <w:tc>
          <w:tcPr>
            <w:tcW w:type="dxa" w:w="4176"/>
          </w:tcPr>
          <w:p>
            <w:pPr>
              <w:spacing w:after="20" w:before="20"/>
            </w:pPr>
            <w:r/>
            <w:r>
              <w:rPr>
                <w:sz w:val="16"/>
              </w:rPr>
              <w:t>Panel-bootstrap CIs are now disjoint on the oil target (thesis [2.6390, 2.7476] vs baseline [2.8546, 2.9876]); per-turbine DM favours the thesis model 6/6 on bearing and 5/6 on oil against BOTH baselines.</w:t>
            </w:r>
          </w:p>
        </w:tc>
      </w:tr>
      <w:tr>
        <w:tc>
          <w:tcPr>
            <w:tcW w:type="dxa" w:w="2736"/>
            <w:shd w:val="clear" w:fill="F1F4F8"/>
          </w:tcPr>
          <w:p>
            <w:pPr>
              <w:spacing w:after="20" w:before="20"/>
            </w:pPr>
            <w:r/>
            <w:r>
              <w:rPr>
                <w:sz w:val="16"/>
              </w:rPr>
              <w:t>RQ2 — Does coordinated two-channel detection outperform single-channel at matched false-alarm rates?</w:t>
            </w:r>
          </w:p>
        </w:tc>
        <w:tc>
          <w:tcPr>
            <w:tcW w:type="dxa" w:w="2160"/>
            <w:shd w:val="clear" w:fill="F1F4F8"/>
          </w:tcPr>
          <w:p>
            <w:pPr>
              <w:spacing w:after="20" w:before="20"/>
            </w:pPr>
            <w:r/>
            <w:r>
              <w:rPr>
                <w:b/>
                <w:color w:val="8A5A00"/>
                <w:sz w:val="16"/>
              </w:rPr>
              <w:t>MEASURED and NEGATIVE — but still not an answer to RQ2 as posed</w:t>
            </w:r>
          </w:p>
        </w:tc>
        <w:tc>
          <w:tcPr>
            <w:tcW w:type="dxa" w:w="4176"/>
            <w:shd w:val="clear" w:fill="F1F4F8"/>
          </w:tcPr>
          <w:p>
            <w:pPr>
              <w:spacing w:after="20" w:before="20"/>
            </w:pPr>
            <w:r/>
            <w:r>
              <w:rPr>
                <w:sz w:val="16"/>
              </w:rPr>
              <w:t>The sweep now exists under the corrected denominator (ADR-048): predominantly NOT MET, 6 of 22 evaluable pairs, and the 'met' verdicts vanish entirely at literature-anchored persistence. But at r = 0.932–0.952 a 1-of-2 and a 2-of-2 rule fire on nearly the same rows, so the sweep measures the CHANNELS, not the rule.</w:t>
            </w:r>
          </w:p>
        </w:tc>
      </w:tr>
      <w:tr>
        <w:tc>
          <w:tcPr>
            <w:tcW w:type="dxa" w:w="2736"/>
          </w:tcPr>
          <w:p>
            <w:pPr>
              <w:spacing w:after="20" w:before="20"/>
            </w:pPr>
            <w:r/>
            <w:r>
              <w:rPr>
                <w:sz w:val="16"/>
              </w:rPr>
              <w:t>RQ3 — Does FMEA-informed interpretation produce plausible diagnostic output?</w:t>
            </w:r>
          </w:p>
        </w:tc>
        <w:tc>
          <w:tcPr>
            <w:tcW w:type="dxa" w:w="2160"/>
          </w:tcPr>
          <w:p>
            <w:pPr>
              <w:spacing w:after="20" w:before="20"/>
            </w:pPr>
            <w:r/>
            <w:r>
              <w:rPr>
                <w:b/>
                <w:color w:val="9B1C1C"/>
                <w:sz w:val="16"/>
              </w:rPr>
              <w:t>NOT ANSWERED, and not answerable on this dataset as posed</w:t>
            </w:r>
          </w:p>
        </w:tc>
        <w:tc>
          <w:tcPr>
            <w:tcW w:type="dxa" w:w="4176"/>
          </w:tcPr>
          <w:p>
            <w:pPr>
              <w:spacing w:after="20" w:before="20"/>
            </w:pPr>
            <w:r/>
            <w:r>
              <w:rPr>
                <w:sz w:val="16"/>
              </w:rPr>
              <w:t>n = 1 labelled event; the single matched detection has direction −1 (LOW) on a fault whose signature is a temperature rise; the FMEA interpreter matched no rule.</w:t>
            </w:r>
          </w:p>
        </w:tc>
      </w:tr>
      <w:tr>
        <w:tc>
          <w:tcPr>
            <w:tcW w:type="dxa" w:w="2736"/>
            <w:shd w:val="clear" w:fill="F1F4F8"/>
          </w:tcPr>
          <w:p>
            <w:pPr>
              <w:spacing w:after="20" w:before="20"/>
            </w:pPr>
            <w:r/>
            <w:r>
              <w:rPr>
                <w:sz w:val="16"/>
              </w:rPr>
              <w:t>O1 — Healthy dataset with causal separation</w:t>
            </w:r>
          </w:p>
        </w:tc>
        <w:tc>
          <w:tcPr>
            <w:tcW w:type="dxa" w:w="2160"/>
            <w:shd w:val="clear" w:fill="F1F4F8"/>
          </w:tcPr>
          <w:p>
            <w:pPr>
              <w:spacing w:after="20" w:before="20"/>
            </w:pPr>
            <w:r/>
            <w:r>
              <w:rPr>
                <w:b/>
                <w:color w:val="1B5E20"/>
                <w:sz w:val="16"/>
              </w:rPr>
              <w:t>ACHIEVED</w:t>
            </w:r>
          </w:p>
        </w:tc>
        <w:tc>
          <w:tcPr>
            <w:tcW w:type="dxa" w:w="4176"/>
            <w:shd w:val="clear" w:fill="F1F4F8"/>
          </w:tcPr>
          <w:p>
            <w:pPr>
              <w:spacing w:after="20" w:before="20"/>
            </w:pPr>
            <w:r/>
            <w:r>
              <w:rPr>
                <w:sz w:val="16"/>
              </w:rPr>
              <w:t>Zero cross-split key overlap verified on real artifacts; eight structural guards.</w:t>
            </w:r>
          </w:p>
        </w:tc>
      </w:tr>
      <w:tr>
        <w:tc>
          <w:tcPr>
            <w:tcW w:type="dxa" w:w="2736"/>
          </w:tcPr>
          <w:p>
            <w:pPr>
              <w:spacing w:after="20" w:before="20"/>
            </w:pPr>
            <w:r/>
            <w:r>
              <w:rPr>
                <w:sz w:val="16"/>
              </w:rPr>
              <w:t>O2 — Multi-target NBM with RMSE/MAE/R²/bias</w:t>
            </w:r>
          </w:p>
        </w:tc>
        <w:tc>
          <w:tcPr>
            <w:tcW w:type="dxa" w:w="2160"/>
          </w:tcPr>
          <w:p>
            <w:pPr>
              <w:spacing w:after="20" w:before="20"/>
            </w:pPr>
            <w:r/>
            <w:r>
              <w:rPr>
                <w:b/>
                <w:color w:val="1B5E20"/>
                <w:sz w:val="16"/>
              </w:rPr>
              <w:t>ACHIEVED</w:t>
            </w:r>
          </w:p>
        </w:tc>
        <w:tc>
          <w:tcPr>
            <w:tcW w:type="dxa" w:w="4176"/>
          </w:tcPr>
          <w:p>
            <w:pPr>
              <w:spacing w:after="20" w:before="20"/>
            </w:pPr>
            <w:r/>
            <w:r>
              <w:rPr>
                <w:sz w:val="16"/>
              </w:rPr>
              <w:t>All four metrics produced per target per model per period, now with panel CIs.</w:t>
            </w:r>
          </w:p>
        </w:tc>
      </w:tr>
      <w:tr>
        <w:tc>
          <w:tcPr>
            <w:tcW w:type="dxa" w:w="2736"/>
            <w:shd w:val="clear" w:fill="F1F4F8"/>
          </w:tcPr>
          <w:p>
            <w:pPr>
              <w:spacing w:after="20" w:before="20"/>
            </w:pPr>
            <w:r/>
            <w:r>
              <w:rPr>
                <w:sz w:val="16"/>
              </w:rPr>
              <w:t>O3 — Residual streams</w:t>
            </w:r>
          </w:p>
        </w:tc>
        <w:tc>
          <w:tcPr>
            <w:tcW w:type="dxa" w:w="2160"/>
            <w:shd w:val="clear" w:fill="F1F4F8"/>
          </w:tcPr>
          <w:p>
            <w:pPr>
              <w:spacing w:after="20" w:before="20"/>
            </w:pPr>
            <w:r/>
            <w:r>
              <w:rPr>
                <w:b/>
                <w:color w:val="1B5E20"/>
                <w:sz w:val="16"/>
              </w:rPr>
              <w:t>ACHIEVED</w:t>
            </w:r>
          </w:p>
        </w:tc>
        <w:tc>
          <w:tcPr>
            <w:tcW w:type="dxa" w:w="4176"/>
            <w:shd w:val="clear" w:fill="F1F4F8"/>
          </w:tcPr>
          <w:p>
            <w:pPr>
              <w:spacing w:after="20" w:before="20"/>
            </w:pPr>
            <w:r/>
            <w:r>
              <w:rPr>
                <w:sz w:val="16"/>
              </w:rPr>
              <w:t>Residual parquet artifacts for all three partitions, with normalisation stats.</w:t>
            </w:r>
          </w:p>
        </w:tc>
      </w:tr>
      <w:tr>
        <w:tc>
          <w:tcPr>
            <w:tcW w:type="dxa" w:w="2736"/>
          </w:tcPr>
          <w:p>
            <w:pPr>
              <w:spacing w:after="20" w:before="20"/>
            </w:pPr>
            <w:r/>
            <w:r>
              <w:rPr>
                <w:sz w:val="16"/>
              </w:rPr>
              <w:t>O4 — Interpretation assessed via lead time and false-alarm rate</w:t>
            </w:r>
          </w:p>
        </w:tc>
        <w:tc>
          <w:tcPr>
            <w:tcW w:type="dxa" w:w="2160"/>
          </w:tcPr>
          <w:p>
            <w:pPr>
              <w:spacing w:after="20" w:before="20"/>
            </w:pPr>
            <w:r/>
            <w:r>
              <w:rPr>
                <w:b/>
                <w:color w:val="9B1C1C"/>
                <w:sz w:val="16"/>
              </w:rPr>
              <w:t>NOT ACHIEVED</w:t>
            </w:r>
          </w:p>
        </w:tc>
        <w:tc>
          <w:tcPr>
            <w:tcW w:type="dxa" w:w="4176"/>
          </w:tcPr>
          <w:p>
            <w:pPr>
              <w:spacing w:after="20" w:before="20"/>
            </w:pPr>
            <w:r/>
            <w:r>
              <w:rPr>
                <w:sz w:val="16"/>
              </w:rPr>
              <w:t>The lead time points the wrong way physically, and the false-alarm rate is dominated by regime mismatch (LIM-034), not by detector behaviour.</w:t>
            </w:r>
          </w:p>
        </w:tc>
      </w:tr>
    </w:tbl>
    <w:p>
      <w:pPr>
        <w:spacing w:after="40"/>
      </w:pPr>
    </w:p>
    <w:p>
      <w:pPr>
        <w:pStyle w:val="Heading2"/>
      </w:pPr>
      <w:r>
        <w:t>1.3 The one-sentence answer</w:t>
      </w:r>
    </w:p>
    <w:tbl>
      <w:tblPr>
        <w:tblStyle w:val="TableGrid"/>
        <w:tblW w:type="auto" w:w="0"/>
        <w:tblLook w:firstColumn="1" w:firstRow="1" w:lastColumn="0" w:lastRow="0" w:noHBand="0" w:noVBand="1" w:val="04A0"/>
      </w:tblPr>
      <w:tblGrid>
        <w:gridCol w:w="9173"/>
      </w:tblGrid>
      <w:tr>
        <w:tc>
          <w:tcPr>
            <w:tcW w:type="dxa" w:w="9173"/>
            <w:shd w:val="clear" w:fill="EEF3F9"/>
          </w:tcPr>
          <w:p>
            <w:r/>
            <w:r>
              <w:rPr>
                <w:b/>
                <w:color w:val="1F406B"/>
                <w:sz w:val="19"/>
              </w:rPr>
              <w:t>Did the project succeed?</w:t>
            </w:r>
          </w:p>
          <w:p>
            <w:pPr>
              <w:spacing w:after="40"/>
            </w:pPr>
            <w:r>
              <w:rPr>
                <w:sz w:val="19"/>
              </w:rPr>
              <w:t>Partially, and honestly. It succeeded at RQ1 and at objectives O1–O3: a tuned gradient-boosted normal behaviour model demonstrably and robustly represents healthy gearbox thermal behaviour better than both an OLS and an Elastic Net reference — and that ordering is now confirmed to hold WITHIN the operating regime the model was fitted on, which is the only place it claims to hold. It did not succeed at RQ3 or O4, and its RQ2 result is a correctly-computed negative about the CHANNELS rather than an answer about the coordination rule. The reason is not sloppiness. This dataset cannot support those questions as posed: the two thermal channels are collinear at r ≈ 0.95, there is one labelled event and it belongs to a failure mode the project's own literature review calls non-thermal, and 17.9% of the monitoring stream asks the model about operating states it was never fitted on. The project's own instrumentation established every one of those facts.</w:t>
            </w:r>
          </w:p>
        </w:tc>
      </w:tr>
    </w:tbl>
    <w:p>
      <w:pPr>
        <w:spacing w:after="40"/>
      </w:pPr>
    </w:p>
    <w:p>
      <w:r>
        <w:br w:type="page"/>
      </w:r>
    </w:p>
    <w:p>
      <w:pPr>
        <w:pStyle w:val="Heading1"/>
      </w:pPr>
      <w:r>
        <w:t>2. Scope and method of this audit</w:t>
      </w:r>
    </w:p>
    <w:p>
      <w:pPr>
        <w:pStyle w:val="Heading2"/>
      </w:pPr>
      <w:r>
        <w:t>2.1 Why this range</w:t>
      </w:r>
    </w:p>
    <w:p>
      <w:r>
        <w:rPr>
          <w:b w:val="0"/>
          <w:i w:val="0"/>
        </w:rPr>
        <w:t xml:space="preserve">7df11f9 is the </w:t>
      </w:r>
      <w:r>
        <w:rPr>
          <w:b/>
          <w:i w:val="0"/>
        </w:rPr>
        <w:t>ADR-027 outcome</w:t>
      </w:r>
      <w:r>
        <w:rPr>
          <w:b w:val="0"/>
          <w:i w:val="0"/>
        </w:rPr>
        <w:t xml:space="preserve"> commit — the exact repository state that the independent methodology review examined. The range 7df11f9..HEAD is therefore precisely “everything the project has done since it submitted itself for methodological scrutiny”. That makes it the correct unit for a trajectory audit: it isolates the corrective era from the construction era.</w:t>
      </w:r>
    </w:p>
    <w:p>
      <w:pPr>
        <w:pStyle w:val="Heading2"/>
      </w:pPr>
      <w:r>
        <w:t>2.2 What was examined</w:t>
      </w:r>
    </w:p>
    <w:p>
      <w:pPr>
        <w:pStyle w:val="ListBullet"/>
        <w:spacing w:after="60"/>
        <w:ind w:left="360"/>
      </w:pPr>
      <w:r>
        <w:rPr>
          <w:b/>
        </w:rPr>
        <w:t xml:space="preserve">Git: </w:t>
      </w:r>
      <w:r>
        <w:t>every commit message and diff in the range, by file;</w:t>
      </w:r>
    </w:p>
    <w:p>
      <w:pPr>
        <w:pStyle w:val="ListBullet"/>
        <w:spacing w:after="60"/>
        <w:ind w:left="360"/>
      </w:pPr>
      <w:r>
        <w:rPr>
          <w:b/>
        </w:rPr>
        <w:t xml:space="preserve">Code: </w:t>
      </w:r>
      <w:r>
        <w:t>byte-level comparison (git diff --quiet) of each pipeline module between the two endpoints;</w:t>
      </w:r>
    </w:p>
    <w:p>
      <w:pPr>
        <w:pStyle w:val="ListBullet"/>
        <w:spacing w:after="60"/>
        <w:ind w:left="360"/>
      </w:pPr>
      <w:r>
        <w:rPr>
          <w:b/>
        </w:rPr>
        <w:t xml:space="preserve">Artifacts: </w:t>
      </w:r>
      <w:r>
        <w:t>metadata.json, metrics.json, first_run_summary.json, condition_diagnostics.json, robustness_suite.json, event001_diagnostic.txt from the stored experiments;</w:t>
      </w:r>
    </w:p>
    <w:p>
      <w:pPr>
        <w:pStyle w:val="ListBullet"/>
        <w:spacing w:after="60"/>
        <w:ind w:left="360"/>
      </w:pPr>
      <w:r>
        <w:rPr>
          <w:b/>
        </w:rPr>
        <w:t xml:space="preserve">Governance: </w:t>
      </w:r>
      <w:r>
        <w:t>DECISIONS.md (46 ADRs), LIMITATIONS.md (34 entries), METHODOLOGY_REVIEW.md, EXPERIMENT_PROTOCOL.md.</w:t>
      </w:r>
    </w:p>
    <w:p>
      <w:pPr>
        <w:pStyle w:val="Heading2"/>
      </w:pPr>
      <w:r>
        <w:t>2.3 What was not examined</w:t>
      </w:r>
    </w:p>
    <w:p>
      <w:r>
        <w:rPr>
          <w:b w:val="0"/>
          <w:i w:val="0"/>
        </w:rPr>
        <w:t>The raw Kelmarsh CSV holdings were not re-downloaded or re-checksummed for this report; dataset identity is taken from the recorded provenance block. The frontend, if any, was out of scope. No claim in this report depends on either.</w:t>
      </w:r>
    </w:p>
    <w:p>
      <w:r>
        <w:br w:type="page"/>
      </w:r>
    </w:p>
    <w:p>
      <w:pPr>
        <w:pStyle w:val="Heading1"/>
      </w:pPr>
      <w:r>
        <w:t>3. The trajectory, commit by commit</w:t>
      </w:r>
    </w:p>
    <w:p>
      <w:r>
        <w:rPr>
          <w:b w:val="0"/>
          <w:i/>
          <w:color w:val="5A5A5A"/>
        </w:rPr>
        <w:t>The 24 commits fall into eight purposeful phases. They are not chronologically tidy — several phases interleave — but the intent behind each commit is unambiguous from its diff and its ADR reference.</w:t>
      </w:r>
    </w:p>
    <w:p>
      <w:pPr>
        <w:pStyle w:val="Heading2"/>
      </w:pPr>
      <w:r>
        <w:t>Phase 1 — Freeze the protocol</w:t>
      </w:r>
    </w:p>
    <w:tbl>
      <w:tblPr>
        <w:tblStyle w:val="TableGrid"/>
        <w:tblW w:type="auto" w:w="0"/>
        <w:jc w:val="center"/>
        <w:tblLook w:firstColumn="1" w:firstRow="1" w:lastColumn="0" w:lastRow="0" w:noHBand="0" w:noVBand="1" w:val="04A0"/>
      </w:tblPr>
      <w:tblGrid>
        <w:gridCol w:w="4586"/>
        <w:gridCol w:w="4586"/>
      </w:tblGrid>
      <w:tr>
        <w:tc>
          <w:tcPr>
            <w:tcW w:type="dxa" w:w="1224"/>
            <w:shd w:val="clear" w:fill="1F406B"/>
          </w:tcPr>
          <w:p>
            <w:pPr>
              <w:spacing w:after="20" w:before="20"/>
            </w:pPr>
            <w:r/>
            <w:r>
              <w:rPr>
                <w:b/>
                <w:color w:val="FFFFFF"/>
                <w:sz w:val="16"/>
              </w:rPr>
              <w:t>Commit</w:t>
            </w:r>
          </w:p>
        </w:tc>
        <w:tc>
          <w:tcPr>
            <w:tcW w:type="dxa" w:w="7848"/>
            <w:shd w:val="clear" w:fill="1F406B"/>
          </w:tcPr>
          <w:p>
            <w:pPr>
              <w:spacing w:after="20" w:before="20"/>
            </w:pPr>
            <w:r/>
            <w:r>
              <w:rPr>
                <w:b/>
                <w:color w:val="FFFFFF"/>
                <w:sz w:val="16"/>
              </w:rPr>
              <w:t>Subject</w:t>
            </w:r>
          </w:p>
        </w:tc>
      </w:tr>
      <w:tr>
        <w:tc>
          <w:tcPr>
            <w:tcW w:type="dxa" w:w="1224"/>
          </w:tcPr>
          <w:p>
            <w:pPr>
              <w:spacing w:after="20" w:before="20"/>
            </w:pPr>
            <w:r/>
            <w:r>
              <w:rPr>
                <w:sz w:val="16"/>
              </w:rPr>
              <w:t>4227472</w:t>
            </w:r>
          </w:p>
        </w:tc>
        <w:tc>
          <w:tcPr>
            <w:tcW w:type="dxa" w:w="7848"/>
          </w:tcPr>
          <w:p>
            <w:pPr>
              <w:spacing w:after="20" w:before="20"/>
            </w:pPr>
            <w:r/>
            <w:r>
              <w:rPr>
                <w:sz w:val="16"/>
              </w:rPr>
              <w:t>Methodology review vs 2023-2026 literature; frozen experiment protocol</w:t>
            </w:r>
          </w:p>
        </w:tc>
      </w:tr>
    </w:tbl>
    <w:p>
      <w:pPr>
        <w:spacing w:after="40"/>
      </w:pPr>
    </w:p>
    <w:p>
      <w:pPr>
        <w:spacing w:after="80"/>
      </w:pPr>
      <w:r>
        <w:rPr>
          <w:b/>
          <w:i w:val="0"/>
          <w:color w:val="1F406B"/>
        </w:rPr>
        <w:t xml:space="preserve">Contribution. </w:t>
      </w:r>
      <w:r>
        <w:rPr>
          <w:b w:val="0"/>
          <w:i w:val="0"/>
        </w:rPr>
        <w:t>Adjudicated 33 methodological steps against 2023–2026 literature and produced METHODOLOGY_REVIEW.md (351 lines) plus EXPERIMENT_PROTOCOL.md (179 lines), which declares a minimum experiment matrix and seven numbered proposals (P-1..P-7).</w:t>
      </w:r>
    </w:p>
    <w:p>
      <w:pPr>
        <w:spacing w:after="80"/>
      </w:pPr>
      <w:r>
        <w:rPr>
          <w:b/>
          <w:i w:val="0"/>
          <w:color w:val="1F406B"/>
        </w:rPr>
        <w:t xml:space="preserve">Relevance to the research questions. </w:t>
      </w:r>
      <w:r>
        <w:rPr>
          <w:b w:val="0"/>
          <w:i w:val="0"/>
        </w:rPr>
        <w:t>Before this commit nothing in the repository stated which pipeline components were NOT the object of study. Without that statement, a “model comparison” is silently a pipeline comparison, because the thesis model and the baseline differ in more than the learner. The protocol also pre-committed the B3 fleet-median arm as something “an examiner will ask about” — a prediction that later proved correct and unfavourable.</w:t>
      </w:r>
    </w:p>
    <w:p>
      <w:pPr>
        <w:spacing w:after="200"/>
      </w:pPr>
      <w:r>
        <w:rPr>
          <w:b/>
          <w:i w:val="0"/>
          <w:color w:val="1F406B"/>
        </w:rPr>
        <w:t xml:space="preserve">Why it was needed. </w:t>
      </w:r>
      <w:r>
        <w:rPr>
          <w:b w:val="0"/>
          <w:i w:val="0"/>
        </w:rPr>
        <w:t>It created the standard everything after it is measured against. Every later ADR in the range cites it.</w:t>
      </w:r>
    </w:p>
    <w:p>
      <w:pPr>
        <w:pStyle w:val="Heading2"/>
      </w:pPr>
      <w:r>
        <w:t>Phase 2 — Measure the unmeasured premises</w:t>
      </w:r>
    </w:p>
    <w:tbl>
      <w:tblPr>
        <w:tblStyle w:val="TableGrid"/>
        <w:tblW w:type="auto" w:w="0"/>
        <w:jc w:val="center"/>
        <w:tblLook w:firstColumn="1" w:firstRow="1" w:lastColumn="0" w:lastRow="0" w:noHBand="0" w:noVBand="1" w:val="04A0"/>
      </w:tblPr>
      <w:tblGrid>
        <w:gridCol w:w="4586"/>
        <w:gridCol w:w="4586"/>
      </w:tblGrid>
      <w:tr>
        <w:tc>
          <w:tcPr>
            <w:tcW w:type="dxa" w:w="1224"/>
            <w:shd w:val="clear" w:fill="1F406B"/>
          </w:tcPr>
          <w:p>
            <w:pPr>
              <w:spacing w:after="20" w:before="20"/>
            </w:pPr>
            <w:r/>
            <w:r>
              <w:rPr>
                <w:b/>
                <w:color w:val="FFFFFF"/>
                <w:sz w:val="16"/>
              </w:rPr>
              <w:t>Commit</w:t>
            </w:r>
          </w:p>
        </w:tc>
        <w:tc>
          <w:tcPr>
            <w:tcW w:type="dxa" w:w="7848"/>
            <w:shd w:val="clear" w:fill="1F406B"/>
          </w:tcPr>
          <w:p>
            <w:pPr>
              <w:spacing w:after="20" w:before="20"/>
            </w:pPr>
            <w:r/>
            <w:r>
              <w:rPr>
                <w:b/>
                <w:color w:val="FFFFFF"/>
                <w:sz w:val="16"/>
              </w:rPr>
              <w:t>Subject</w:t>
            </w:r>
          </w:p>
        </w:tc>
      </w:tr>
      <w:tr>
        <w:tc>
          <w:tcPr>
            <w:tcW w:type="dxa" w:w="1224"/>
          </w:tcPr>
          <w:p>
            <w:pPr>
              <w:spacing w:after="20" w:before="20"/>
            </w:pPr>
            <w:r/>
            <w:r>
              <w:rPr>
                <w:sz w:val="16"/>
              </w:rPr>
              <w:t>1f93f9f</w:t>
            </w:r>
          </w:p>
        </w:tc>
        <w:tc>
          <w:tcPr>
            <w:tcW w:type="dxa" w:w="7848"/>
          </w:tcPr>
          <w:p>
            <w:pPr>
              <w:spacing w:after="20" w:before="20"/>
            </w:pPr>
            <w:r/>
            <w:r>
              <w:rPr>
                <w:sz w:val="16"/>
              </w:rPr>
              <w:t>add residual diagnostics: cross-target correlation and per-turbine statistics</w:t>
            </w:r>
          </w:p>
        </w:tc>
      </w:tr>
      <w:tr>
        <w:tc>
          <w:tcPr>
            <w:tcW w:type="dxa" w:w="1224"/>
            <w:shd w:val="clear" w:fill="F1F4F8"/>
          </w:tcPr>
          <w:p>
            <w:pPr>
              <w:spacing w:after="20" w:before="20"/>
            </w:pPr>
            <w:r/>
            <w:r>
              <w:rPr>
                <w:sz w:val="16"/>
              </w:rPr>
              <w:t>d674ee3</w:t>
            </w:r>
          </w:p>
        </w:tc>
        <w:tc>
          <w:tcPr>
            <w:tcW w:type="dxa" w:w="7848"/>
            <w:shd w:val="clear" w:fill="F1F4F8"/>
          </w:tcPr>
          <w:p>
            <w:pPr>
              <w:spacing w:after="20" w:before="20"/>
            </w:pPr>
            <w:r/>
            <w:r>
              <w:rPr>
                <w:sz w:val="16"/>
              </w:rPr>
              <w:t>wire residual diagnostics into the pipeline and artifacts</w:t>
            </w:r>
          </w:p>
        </w:tc>
      </w:tr>
      <w:tr>
        <w:tc>
          <w:tcPr>
            <w:tcW w:type="dxa" w:w="1224"/>
          </w:tcPr>
          <w:p>
            <w:pPr>
              <w:spacing w:after="20" w:before="20"/>
            </w:pPr>
            <w:r/>
            <w:r>
              <w:rPr>
                <w:sz w:val="16"/>
              </w:rPr>
              <w:t>ade50ee</w:t>
            </w:r>
          </w:p>
        </w:tc>
        <w:tc>
          <w:tcPr>
            <w:tcW w:type="dxa" w:w="7848"/>
          </w:tcPr>
          <w:p>
            <w:pPr>
              <w:spacing w:after="20" w:before="20"/>
            </w:pPr>
            <w:r/>
            <w:r>
              <w:rPr>
                <w:sz w:val="16"/>
              </w:rPr>
              <w:t>add read-only exploratory data analysis script</w:t>
            </w:r>
          </w:p>
        </w:tc>
      </w:tr>
      <w:tr>
        <w:tc>
          <w:tcPr>
            <w:tcW w:type="dxa" w:w="1224"/>
            <w:shd w:val="clear" w:fill="F1F4F8"/>
          </w:tcPr>
          <w:p>
            <w:pPr>
              <w:spacing w:after="20" w:before="20"/>
            </w:pPr>
            <w:r/>
            <w:r>
              <w:rPr>
                <w:sz w:val="16"/>
              </w:rPr>
              <w:t>09df8ec</w:t>
            </w:r>
          </w:p>
        </w:tc>
        <w:tc>
          <w:tcPr>
            <w:tcW w:type="dxa" w:w="7848"/>
            <w:shd w:val="clear" w:fill="F1F4F8"/>
          </w:tcPr>
          <w:p>
            <w:pPr>
              <w:spacing w:after="20" w:before="20"/>
            </w:pPr>
            <w:r/>
            <w:r>
              <w:rPr>
                <w:sz w:val="16"/>
              </w:rPr>
              <w:t>close three gaps found on first reading of the governing specification</w:t>
            </w:r>
          </w:p>
        </w:tc>
      </w:tr>
      <w:tr>
        <w:tc>
          <w:tcPr>
            <w:tcW w:type="dxa" w:w="1224"/>
          </w:tcPr>
          <w:p>
            <w:pPr>
              <w:spacing w:after="20" w:before="20"/>
            </w:pPr>
            <w:r/>
            <w:r>
              <w:rPr>
                <w:sz w:val="16"/>
              </w:rPr>
              <w:t>aa9b46d</w:t>
            </w:r>
          </w:p>
        </w:tc>
        <w:tc>
          <w:tcPr>
            <w:tcW w:type="dxa" w:w="7848"/>
          </w:tcPr>
          <w:p>
            <w:pPr>
              <w:spacing w:after="20" w:before="20"/>
            </w:pPr>
            <w:r/>
            <w:r>
              <w:rPr>
                <w:sz w:val="16"/>
              </w:rPr>
              <w:t>ratify ADR-028..031; run PHASE 10 EDA on the full holdings</w:t>
            </w:r>
          </w:p>
        </w:tc>
      </w:tr>
      <w:tr>
        <w:tc>
          <w:tcPr>
            <w:tcW w:type="dxa" w:w="1224"/>
            <w:shd w:val="clear" w:fill="F1F4F8"/>
          </w:tcPr>
          <w:p>
            <w:pPr>
              <w:spacing w:after="20" w:before="20"/>
            </w:pPr>
            <w:r/>
            <w:r>
              <w:rPr>
                <w:sz w:val="16"/>
              </w:rPr>
              <w:t>0da36d4</w:t>
            </w:r>
          </w:p>
        </w:tc>
        <w:tc>
          <w:tcPr>
            <w:tcW w:type="dxa" w:w="7848"/>
            <w:shd w:val="clear" w:fill="F1F4F8"/>
          </w:tcPr>
          <w:p>
            <w:pPr>
              <w:spacing w:after="20" w:before="20"/>
            </w:pPr>
            <w:r/>
            <w:r>
              <w:rPr>
                <w:sz w:val="16"/>
              </w:rPr>
              <w:t>key EDA per-file records by relative path, not bare filename</w:t>
            </w:r>
          </w:p>
        </w:tc>
      </w:tr>
    </w:tbl>
    <w:p>
      <w:pPr>
        <w:spacing w:after="40"/>
      </w:pPr>
    </w:p>
    <w:p>
      <w:pPr>
        <w:spacing w:after="80"/>
      </w:pPr>
      <w:r>
        <w:rPr>
          <w:b/>
          <w:i w:val="0"/>
          <w:color w:val="1F406B"/>
        </w:rPr>
        <w:t xml:space="preserve">Contribution. </w:t>
      </w:r>
      <w:r>
        <w:rPr>
          <w:b w:val="0"/>
          <w:i w:val="0"/>
        </w:rPr>
        <w:t>Added backend/app/evaluation/residual_diagnostics.py (300 lines) computing cross-target Pearson correlation and per-turbine residual location/scale, and scripts/run_eda.py (564 lines) producing a 9,132-line evidence file over the full 2016–2021 holdings.</w:t>
      </w:r>
    </w:p>
    <w:p>
      <w:pPr>
        <w:spacing w:after="80"/>
      </w:pPr>
      <w:r>
        <w:rPr>
          <w:b/>
          <w:i w:val="0"/>
          <w:color w:val="1F406B"/>
        </w:rPr>
        <w:t xml:space="preserve">Relevance to the research questions. </w:t>
      </w:r>
      <w:r>
        <w:rPr>
          <w:b w:val="0"/>
          <w:i w:val="0"/>
        </w:rPr>
        <w:t>Two assumptions were carrying the entire thesis and neither had ever been measured: (a) that the two thermal channels carry non-redundant residual evidence — the whole premise of RQ2; and (b) that pooling residual statistics across six turbines is defensible. The measurement returned max |cross-target Pearson| = 0.9320 (training), 0.9345 (validation), 0.9519 (test), and max centre spread of 0.87–0.93 pooled scales.</w:t>
      </w:r>
    </w:p>
    <w:p>
      <w:pPr>
        <w:spacing w:after="200"/>
      </w:pPr>
      <w:r>
        <w:rPr>
          <w:b/>
          <w:i w:val="0"/>
          <w:color w:val="1F406B"/>
        </w:rPr>
        <w:t xml:space="preserve">Why it was needed. </w:t>
      </w:r>
      <w:r>
        <w:rPr>
          <w:b w:val="0"/>
          <w:i w:val="0"/>
        </w:rPr>
        <w:t>This is the highest-consequence work in the entire range. It falsified RQ2's premise from inside the project, before an examiner could do it from outside.</w:t>
      </w:r>
    </w:p>
    <w:p>
      <w:pPr>
        <w:pStyle w:val="Heading2"/>
      </w:pPr>
      <w:r>
        <w:t>Phase 3 — Fix the measuring instruments</w:t>
      </w:r>
    </w:p>
    <w:tbl>
      <w:tblPr>
        <w:tblStyle w:val="TableGrid"/>
        <w:tblW w:type="auto" w:w="0"/>
        <w:jc w:val="center"/>
        <w:tblLook w:firstColumn="1" w:firstRow="1" w:lastColumn="0" w:lastRow="0" w:noHBand="0" w:noVBand="1" w:val="04A0"/>
      </w:tblPr>
      <w:tblGrid>
        <w:gridCol w:w="4586"/>
        <w:gridCol w:w="4586"/>
      </w:tblGrid>
      <w:tr>
        <w:tc>
          <w:tcPr>
            <w:tcW w:type="dxa" w:w="1224"/>
            <w:shd w:val="clear" w:fill="1F406B"/>
          </w:tcPr>
          <w:p>
            <w:pPr>
              <w:spacing w:after="20" w:before="20"/>
            </w:pPr>
            <w:r/>
            <w:r>
              <w:rPr>
                <w:b/>
                <w:color w:val="FFFFFF"/>
                <w:sz w:val="16"/>
              </w:rPr>
              <w:t>Commit</w:t>
            </w:r>
          </w:p>
        </w:tc>
        <w:tc>
          <w:tcPr>
            <w:tcW w:type="dxa" w:w="7848"/>
            <w:shd w:val="clear" w:fill="1F406B"/>
          </w:tcPr>
          <w:p>
            <w:pPr>
              <w:spacing w:after="20" w:before="20"/>
            </w:pPr>
            <w:r/>
            <w:r>
              <w:rPr>
                <w:b/>
                <w:color w:val="FFFFFF"/>
                <w:sz w:val="16"/>
              </w:rPr>
              <w:t>Subject</w:t>
            </w:r>
          </w:p>
        </w:tc>
      </w:tr>
      <w:tr>
        <w:tc>
          <w:tcPr>
            <w:tcW w:type="dxa" w:w="1224"/>
          </w:tcPr>
          <w:p>
            <w:pPr>
              <w:spacing w:after="20" w:before="20"/>
            </w:pPr>
            <w:r/>
            <w:r>
              <w:rPr>
                <w:sz w:val="16"/>
              </w:rPr>
              <w:t>9cc7d79</w:t>
            </w:r>
          </w:p>
        </w:tc>
        <w:tc>
          <w:tcPr>
            <w:tcW w:type="dxa" w:w="7848"/>
          </w:tcPr>
          <w:p>
            <w:pPr>
              <w:spacing w:after="20" w:before="20"/>
            </w:pPr>
            <w:r/>
            <w:r>
              <w:rPr>
                <w:sz w:val="16"/>
              </w:rPr>
              <w:t>unify the false-alarm rate denominator on row-time (ADR-028)</w:t>
            </w:r>
          </w:p>
        </w:tc>
      </w:tr>
      <w:tr>
        <w:tc>
          <w:tcPr>
            <w:tcW w:type="dxa" w:w="1224"/>
            <w:shd w:val="clear" w:fill="F1F4F8"/>
          </w:tcPr>
          <w:p>
            <w:pPr>
              <w:spacing w:after="20" w:before="20"/>
            </w:pPr>
            <w:r/>
            <w:r>
              <w:rPr>
                <w:sz w:val="16"/>
              </w:rPr>
              <w:t>2c6fe0e</w:t>
            </w:r>
          </w:p>
        </w:tc>
        <w:tc>
          <w:tcPr>
            <w:tcW w:type="dxa" w:w="7848"/>
            <w:shd w:val="clear" w:fill="F1F4F8"/>
          </w:tcPr>
          <w:p>
            <w:pPr>
              <w:spacing w:after="20" w:before="20"/>
            </w:pPr>
            <w:r/>
            <w:r>
              <w:rPr>
                <w:sz w:val="16"/>
              </w:rPr>
              <w:t>add per-turbine Diebold-Mariano and autocorrelation-based HAC lag selection</w:t>
            </w:r>
          </w:p>
        </w:tc>
      </w:tr>
      <w:tr>
        <w:tc>
          <w:tcPr>
            <w:tcW w:type="dxa" w:w="1224"/>
          </w:tcPr>
          <w:p>
            <w:pPr>
              <w:spacing w:after="20" w:before="20"/>
            </w:pPr>
            <w:r/>
            <w:r>
              <w:rPr>
                <w:sz w:val="16"/>
              </w:rPr>
              <w:t>ceb954d</w:t>
            </w:r>
          </w:p>
        </w:tc>
        <w:tc>
          <w:tcPr>
            <w:tcW w:type="dxa" w:w="7848"/>
          </w:tcPr>
          <w:p>
            <w:pPr>
              <w:spacing w:after="20" w:before="20"/>
            </w:pPr>
            <w:r/>
            <w:r>
              <w:rPr>
                <w:sz w:val="16"/>
              </w:rPr>
              <w:t>rewire the RQ1 significance test to per-turbine DM (ADR/P-3)</w:t>
            </w:r>
          </w:p>
        </w:tc>
      </w:tr>
      <w:tr>
        <w:tc>
          <w:tcPr>
            <w:tcW w:type="dxa" w:w="1224"/>
            <w:shd w:val="clear" w:fill="F1F4F8"/>
          </w:tcPr>
          <w:p>
            <w:pPr>
              <w:spacing w:after="20" w:before="20"/>
            </w:pPr>
            <w:r/>
            <w:r>
              <w:rPr>
                <w:sz w:val="16"/>
              </w:rPr>
              <w:t>d53cf16</w:t>
            </w:r>
          </w:p>
        </w:tc>
        <w:tc>
          <w:tcPr>
            <w:tcW w:type="dxa" w:w="7848"/>
            <w:shd w:val="clear" w:fill="F1F4F8"/>
          </w:tcPr>
          <w:p>
            <w:pPr>
              <w:spacing w:after="20" w:before="20"/>
            </w:pPr>
            <w:r/>
            <w:r>
              <w:rPr>
                <w:sz w:val="16"/>
              </w:rPr>
              <w:t>extend the isolated/sustained boundary sweep to 12 and 20 samples (ADR-031)</w:t>
            </w:r>
          </w:p>
        </w:tc>
      </w:tr>
    </w:tbl>
    <w:p>
      <w:pPr>
        <w:spacing w:after="40"/>
      </w:pPr>
    </w:p>
    <w:p>
      <w:pPr>
        <w:spacing w:after="80"/>
      </w:pPr>
      <w:r>
        <w:rPr>
          <w:b/>
          <w:i w:val="0"/>
          <w:color w:val="1F406B"/>
        </w:rPr>
        <w:t xml:space="preserve">Contribution. </w:t>
      </w:r>
      <w:r>
        <w:rPr>
          <w:b w:val="0"/>
          <w:i w:val="0"/>
        </w:rPr>
        <w:t>ADR-028 put both arms of the false-alarm comparison on a single row-time denominator. ADR/P-3 replaced a pooled Diebold–Mariano test with a per-turbine test whose HAC lag is derived from the observed autocorrelation of each turbine's loss differential. ADR-031 extended the isolated/sustained boundary grid to literature-anchored values of 12 and 20 samples.</w:t>
      </w:r>
    </w:p>
    <w:p>
      <w:pPr>
        <w:spacing w:after="80"/>
      </w:pPr>
      <w:r>
        <w:rPr>
          <w:b/>
          <w:i w:val="0"/>
          <w:color w:val="1F406B"/>
        </w:rPr>
        <w:t xml:space="preserve">Relevance to the research questions. </w:t>
      </w:r>
      <w:r>
        <w:rPr>
          <w:b w:val="0"/>
          <w:i w:val="0"/>
        </w:rPr>
        <w:t>The false-alarm denominator defect meant the two arms of the headline RQ2 comparison were literally not measured in the same units — any difference between them was partly an artefact of arithmetic. The pooled DM test interleaves six turbines into one series, so neither the HAC correction nor the block bootstrap saw the dependence structure they assume. Selected HAC lags in the corrected version range from 48 to 124 samples per turbine, which is the size of the correction that was previously missing.</w:t>
      </w:r>
    </w:p>
    <w:p>
      <w:pPr>
        <w:spacing w:after="200"/>
      </w:pPr>
      <w:r>
        <w:rPr>
          <w:b/>
          <w:i w:val="0"/>
          <w:color w:val="1F406B"/>
        </w:rPr>
        <w:t xml:space="preserve">Why it was needed. </w:t>
      </w:r>
      <w:r>
        <w:rPr>
          <w:b w:val="0"/>
          <w:i w:val="0"/>
        </w:rPr>
        <w:t>Without Phase 3, no significance claim in the thesis would survive a competent statistician's reading. With it, the RQ1 claim became defensible — and, as Phase 7 showed, actually stronger.</w:t>
      </w:r>
    </w:p>
    <w:p>
      <w:pPr>
        <w:pStyle w:val="Heading2"/>
      </w:pPr>
      <w:r>
        <w:t>Phase 4 — Fix the selection design</w:t>
      </w:r>
    </w:p>
    <w:tbl>
      <w:tblPr>
        <w:tblStyle w:val="TableGrid"/>
        <w:tblW w:type="auto" w:w="0"/>
        <w:jc w:val="center"/>
        <w:tblLook w:firstColumn="1" w:firstRow="1" w:lastColumn="0" w:lastRow="0" w:noHBand="0" w:noVBand="1" w:val="04A0"/>
      </w:tblPr>
      <w:tblGrid>
        <w:gridCol w:w="4586"/>
        <w:gridCol w:w="4586"/>
      </w:tblGrid>
      <w:tr>
        <w:tc>
          <w:tcPr>
            <w:tcW w:type="dxa" w:w="1224"/>
            <w:shd w:val="clear" w:fill="1F406B"/>
          </w:tcPr>
          <w:p>
            <w:pPr>
              <w:spacing w:after="20" w:before="20"/>
            </w:pPr>
            <w:r/>
            <w:r>
              <w:rPr>
                <w:b/>
                <w:color w:val="FFFFFF"/>
                <w:sz w:val="16"/>
              </w:rPr>
              <w:t>Commit</w:t>
            </w:r>
          </w:p>
        </w:tc>
        <w:tc>
          <w:tcPr>
            <w:tcW w:type="dxa" w:w="7848"/>
            <w:shd w:val="clear" w:fill="1F406B"/>
          </w:tcPr>
          <w:p>
            <w:pPr>
              <w:spacing w:after="20" w:before="20"/>
            </w:pPr>
            <w:r/>
            <w:r>
              <w:rPr>
                <w:b/>
                <w:color w:val="FFFFFF"/>
                <w:sz w:val="16"/>
              </w:rPr>
              <w:t>Subject</w:t>
            </w:r>
          </w:p>
        </w:tc>
      </w:tr>
      <w:tr>
        <w:tc>
          <w:tcPr>
            <w:tcW w:type="dxa" w:w="1224"/>
          </w:tcPr>
          <w:p>
            <w:pPr>
              <w:spacing w:after="20" w:before="20"/>
            </w:pPr>
            <w:r/>
            <w:r>
              <w:rPr>
                <w:sz w:val="16"/>
              </w:rPr>
              <w:t>ce2010e</w:t>
            </w:r>
          </w:p>
        </w:tc>
        <w:tc>
          <w:tcPr>
            <w:tcW w:type="dxa" w:w="7848"/>
          </w:tcPr>
          <w:p>
            <w:pPr>
              <w:spacing w:after="20" w:before="20"/>
            </w:pPr>
            <w:r/>
            <w:r>
              <w:rPr>
                <w:sz w:val="16"/>
              </w:rPr>
              <w:t>separate model selection from threshold calibration (ADR-030)</w:t>
            </w:r>
          </w:p>
        </w:tc>
      </w:tr>
    </w:tbl>
    <w:p>
      <w:pPr>
        <w:spacing w:after="40"/>
      </w:pPr>
    </w:p>
    <w:p>
      <w:pPr>
        <w:spacing w:after="80"/>
      </w:pPr>
      <w:r>
        <w:rPr>
          <w:b/>
          <w:i w:val="0"/>
          <w:color w:val="1F406B"/>
        </w:rPr>
        <w:t xml:space="preserve">Contribution. </w:t>
      </w:r>
      <w:r>
        <w:rPr>
          <w:b w:val="0"/>
          <w:i w:val="0"/>
        </w:rPr>
        <w:t>Hyperparameter tuning was moved off the VALIDATION partition onto an inner chronological holdout carved from TRAIN (new function inner_chronological_holdout in backend/app/data/splitting.py), with a refit on the full TRAIN partition at the early-stopped iteration count.</w:t>
      </w:r>
    </w:p>
    <w:p>
      <w:pPr>
        <w:spacing w:after="80"/>
      </w:pPr>
      <w:r>
        <w:rPr>
          <w:b/>
          <w:i w:val="0"/>
          <w:color w:val="1F406B"/>
        </w:rPr>
        <w:t xml:space="preserve">Relevance to the research questions. </w:t>
      </w:r>
      <w:r>
        <w:rPr>
          <w:b w:val="0"/>
          <w:i w:val="0"/>
        </w:rPr>
        <w:t>This is the ONLY change to model training in the entire 22-commit range, and it is a leakage fix. Previously tune_model() scored candidates on partitions["validation"] while VALIDATION was simultaneously being used to calibrate EWMA control limits and to report selection-adjacent metrics. Detection thresholds were therefore being calibrated on data the model had been explicitly selected to fit well.</w:t>
      </w:r>
    </w:p>
    <w:p>
      <w:pPr>
        <w:spacing w:after="200"/>
      </w:pPr>
      <w:r>
        <w:rPr>
          <w:b/>
          <w:i w:val="0"/>
          <w:color w:val="1F406B"/>
        </w:rPr>
        <w:t xml:space="preserve">Why it was needed. </w:t>
      </w:r>
      <w:r>
        <w:rPr>
          <w:b w:val="0"/>
          <w:i w:val="0"/>
        </w:rPr>
        <w:t>Necessary for any defensible statement about generalisation. It is also why EXP-20260817-001 is not numerically comparable to pre-ADR-030 runs, and why a clean re-run was required.</w:t>
      </w:r>
    </w:p>
    <w:p>
      <w:pPr>
        <w:pStyle w:val="Heading2"/>
      </w:pPr>
      <w:r>
        <w:t>Phase 5 — Add the comparators the literature demands</w:t>
      </w:r>
    </w:p>
    <w:tbl>
      <w:tblPr>
        <w:tblStyle w:val="TableGrid"/>
        <w:tblW w:type="auto" w:w="0"/>
        <w:jc w:val="center"/>
        <w:tblLook w:firstColumn="1" w:firstRow="1" w:lastColumn="0" w:lastRow="0" w:noHBand="0" w:noVBand="1" w:val="04A0"/>
      </w:tblPr>
      <w:tblGrid>
        <w:gridCol w:w="4586"/>
        <w:gridCol w:w="4586"/>
      </w:tblGrid>
      <w:tr>
        <w:tc>
          <w:tcPr>
            <w:tcW w:type="dxa" w:w="1224"/>
            <w:shd w:val="clear" w:fill="1F406B"/>
          </w:tcPr>
          <w:p>
            <w:pPr>
              <w:spacing w:after="20" w:before="20"/>
            </w:pPr>
            <w:r/>
            <w:r>
              <w:rPr>
                <w:b/>
                <w:color w:val="FFFFFF"/>
                <w:sz w:val="16"/>
              </w:rPr>
              <w:t>Commit</w:t>
            </w:r>
          </w:p>
        </w:tc>
        <w:tc>
          <w:tcPr>
            <w:tcW w:type="dxa" w:w="7848"/>
            <w:shd w:val="clear" w:fill="1F406B"/>
          </w:tcPr>
          <w:p>
            <w:pPr>
              <w:spacing w:after="20" w:before="20"/>
            </w:pPr>
            <w:r/>
            <w:r>
              <w:rPr>
                <w:b/>
                <w:color w:val="FFFFFF"/>
                <w:sz w:val="16"/>
              </w:rPr>
              <w:t>Subject</w:t>
            </w:r>
          </w:p>
        </w:tc>
      </w:tr>
      <w:tr>
        <w:tc>
          <w:tcPr>
            <w:tcW w:type="dxa" w:w="1224"/>
          </w:tcPr>
          <w:p>
            <w:pPr>
              <w:spacing w:after="20" w:before="20"/>
            </w:pPr>
            <w:r/>
            <w:r>
              <w:rPr>
                <w:sz w:val="16"/>
              </w:rPr>
              <w:t>23f69b2</w:t>
            </w:r>
          </w:p>
        </w:tc>
        <w:tc>
          <w:tcPr>
            <w:tcW w:type="dxa" w:w="7848"/>
          </w:tcPr>
          <w:p>
            <w:pPr>
              <w:spacing w:after="20" w:before="20"/>
            </w:pPr>
            <w:r/>
            <w:r>
              <w:rPr>
                <w:sz w:val="16"/>
              </w:rPr>
              <w:t>ADR-032: admit multi-task Elastic Net as a second BASELINE</w:t>
            </w:r>
          </w:p>
        </w:tc>
      </w:tr>
      <w:tr>
        <w:tc>
          <w:tcPr>
            <w:tcW w:type="dxa" w:w="1224"/>
            <w:shd w:val="clear" w:fill="F1F4F8"/>
          </w:tcPr>
          <w:p>
            <w:pPr>
              <w:spacing w:after="20" w:before="20"/>
            </w:pPr>
            <w:r/>
            <w:r>
              <w:rPr>
                <w:sz w:val="16"/>
              </w:rPr>
              <w:t>8e8bec6</w:t>
            </w:r>
          </w:p>
        </w:tc>
        <w:tc>
          <w:tcPr>
            <w:tcW w:type="dxa" w:w="7848"/>
            <w:shd w:val="clear" w:fill="F1F4F8"/>
          </w:tcPr>
          <w:p>
            <w:pPr>
              <w:spacing w:after="20" w:before="20"/>
            </w:pPr>
            <w:r/>
            <w:r>
              <w:rPr>
                <w:sz w:val="16"/>
              </w:rPr>
              <w:t>wire the second baseline and the ADR-029 fleet arm into the pipeline</w:t>
            </w:r>
          </w:p>
        </w:tc>
      </w:tr>
      <w:tr>
        <w:tc>
          <w:tcPr>
            <w:tcW w:type="dxa" w:w="1224"/>
          </w:tcPr>
          <w:p>
            <w:pPr>
              <w:spacing w:after="20" w:before="20"/>
            </w:pPr>
            <w:r/>
            <w:r>
              <w:rPr>
                <w:sz w:val="16"/>
              </w:rPr>
              <w:t>898ae01</w:t>
            </w:r>
          </w:p>
        </w:tc>
        <w:tc>
          <w:tcPr>
            <w:tcW w:type="dxa" w:w="7848"/>
          </w:tcPr>
          <w:p>
            <w:pPr>
              <w:spacing w:after="20" w:before="20"/>
            </w:pPr>
            <w:r/>
            <w:r>
              <w:rPr>
                <w:sz w:val="16"/>
              </w:rPr>
              <w:t>add fleet-relative residuals as a registered ablation arm (ADR-029)</w:t>
            </w:r>
          </w:p>
        </w:tc>
      </w:tr>
    </w:tbl>
    <w:p>
      <w:pPr>
        <w:spacing w:after="40"/>
      </w:pPr>
    </w:p>
    <w:p>
      <w:pPr>
        <w:spacing w:after="80"/>
      </w:pPr>
      <w:r>
        <w:rPr>
          <w:b/>
          <w:i w:val="0"/>
          <w:color w:val="1F406B"/>
        </w:rPr>
        <w:t xml:space="preserve">Contribution. </w:t>
      </w:r>
      <w:r>
        <w:rPr>
          <w:b w:val="0"/>
          <w:i w:val="0"/>
        </w:rPr>
        <w:t>backend/app/models/elastic_net.py (241 lines) adds a multi-task Elastic Net as a second registered BASELINE; backend/app/residuals/fleet.py (168 lines) adds fleet-relative residuals as a registered, default-off ablation arm.</w:t>
      </w:r>
    </w:p>
    <w:p>
      <w:pPr>
        <w:spacing w:after="80"/>
      </w:pPr>
      <w:r>
        <w:rPr>
          <w:b/>
          <w:i w:val="0"/>
          <w:color w:val="1F406B"/>
        </w:rPr>
        <w:t xml:space="preserve">Relevance to the research questions. </w:t>
      </w:r>
      <w:r>
        <w:rPr>
          <w:b w:val="0"/>
          <w:i w:val="0"/>
        </w:rPr>
        <w:t>The pre-existing RQ1 claim was “beats the linear baseline” where that baseline was unregularised OLS. The literature the project itself cites recommends regularised linear models for this task. Without a regularised comparator the question “is the advantage non-linearity, or merely regularisation?” is unanswerable, and it is one an examiner will certainly ask.</w:t>
      </w:r>
    </w:p>
    <w:p>
      <w:pPr>
        <w:spacing w:after="200"/>
      </w:pPr>
      <w:r>
        <w:rPr>
          <w:b/>
          <w:i w:val="0"/>
          <w:color w:val="1F406B"/>
        </w:rPr>
        <w:t xml:space="preserve">Why it was needed. </w:t>
      </w:r>
      <w:r>
        <w:rPr>
          <w:b w:val="0"/>
          <w:i w:val="0"/>
        </w:rPr>
        <w:t>It converted a weak claim into a strong one. The thesis model beats Elastic Net 6/6 turbines on the bearing target with a weakest p-value of 8.88e−16, which localises the advantage to non-linearity.</w:t>
      </w:r>
    </w:p>
    <w:p>
      <w:pPr>
        <w:pStyle w:val="Heading2"/>
      </w:pPr>
      <w:r>
        <w:t>Phase 6 — Run, then diagnose what the run exposed</w:t>
      </w:r>
    </w:p>
    <w:tbl>
      <w:tblPr>
        <w:tblStyle w:val="TableGrid"/>
        <w:tblW w:type="auto" w:w="0"/>
        <w:jc w:val="center"/>
        <w:tblLook w:firstColumn="1" w:firstRow="1" w:lastColumn="0" w:lastRow="0" w:noHBand="0" w:noVBand="1" w:val="04A0"/>
      </w:tblPr>
      <w:tblGrid>
        <w:gridCol w:w="4586"/>
        <w:gridCol w:w="4586"/>
      </w:tblGrid>
      <w:tr>
        <w:tc>
          <w:tcPr>
            <w:tcW w:type="dxa" w:w="1224"/>
            <w:shd w:val="clear" w:fill="1F406B"/>
          </w:tcPr>
          <w:p>
            <w:pPr>
              <w:spacing w:after="20" w:before="20"/>
            </w:pPr>
            <w:r/>
            <w:r>
              <w:rPr>
                <w:b/>
                <w:color w:val="FFFFFF"/>
                <w:sz w:val="16"/>
              </w:rPr>
              <w:t>Commit</w:t>
            </w:r>
          </w:p>
        </w:tc>
        <w:tc>
          <w:tcPr>
            <w:tcW w:type="dxa" w:w="7848"/>
            <w:shd w:val="clear" w:fill="1F406B"/>
          </w:tcPr>
          <w:p>
            <w:pPr>
              <w:spacing w:after="20" w:before="20"/>
            </w:pPr>
            <w:r/>
            <w:r>
              <w:rPr>
                <w:b/>
                <w:color w:val="FFFFFF"/>
                <w:sz w:val="16"/>
              </w:rPr>
              <w:t>Subject</w:t>
            </w:r>
          </w:p>
        </w:tc>
      </w:tr>
      <w:tr>
        <w:tc>
          <w:tcPr>
            <w:tcW w:type="dxa" w:w="1224"/>
          </w:tcPr>
          <w:p>
            <w:pPr>
              <w:spacing w:after="20" w:before="20"/>
            </w:pPr>
            <w:r/>
            <w:r>
              <w:rPr>
                <w:sz w:val="16"/>
              </w:rPr>
              <w:t>4a4588d</w:t>
            </w:r>
          </w:p>
        </w:tc>
        <w:tc>
          <w:tcPr>
            <w:tcW w:type="dxa" w:w="7848"/>
          </w:tcPr>
          <w:p>
            <w:pPr>
              <w:spacing w:after="20" w:before="20"/>
            </w:pPr>
            <w:r/>
            <w:r>
              <w:rPr>
                <w:sz w:val="16"/>
              </w:rPr>
              <w:t>ADR-033: status duplication policy; ignore the local dataset copy</w:t>
            </w:r>
          </w:p>
        </w:tc>
      </w:tr>
      <w:tr>
        <w:tc>
          <w:tcPr>
            <w:tcW w:type="dxa" w:w="1224"/>
            <w:shd w:val="clear" w:fill="F1F4F8"/>
          </w:tcPr>
          <w:p>
            <w:pPr>
              <w:spacing w:after="20" w:before="20"/>
            </w:pPr>
            <w:r/>
            <w:r>
              <w:rPr>
                <w:sz w:val="16"/>
              </w:rPr>
              <w:t>18c9425</w:t>
            </w:r>
          </w:p>
        </w:tc>
        <w:tc>
          <w:tcPr>
            <w:tcW w:type="dxa" w:w="7848"/>
            <w:shd w:val="clear" w:fill="F1F4F8"/>
          </w:tcPr>
          <w:p>
            <w:pPr>
              <w:spacing w:after="20" w:before="20"/>
            </w:pPr>
            <w:r/>
            <w:r>
              <w:rPr>
                <w:sz w:val="16"/>
              </w:rPr>
              <w:t>EXP-20260817-001: first headline run under the corrected methodology</w:t>
            </w:r>
          </w:p>
        </w:tc>
      </w:tr>
      <w:tr>
        <w:tc>
          <w:tcPr>
            <w:tcW w:type="dxa" w:w="1224"/>
          </w:tcPr>
          <w:p>
            <w:pPr>
              <w:spacing w:after="20" w:before="20"/>
            </w:pPr>
            <w:r/>
            <w:r>
              <w:rPr>
                <w:sz w:val="16"/>
              </w:rPr>
              <w:t>96a3375</w:t>
            </w:r>
          </w:p>
        </w:tc>
        <w:tc>
          <w:tcPr>
            <w:tcW w:type="dxa" w:w="7848"/>
          </w:tcPr>
          <w:p>
            <w:pPr>
              <w:spacing w:after="20" w:before="20"/>
            </w:pPr>
            <w:r/>
            <w:r>
              <w:rPr>
                <w:sz w:val="16"/>
              </w:rPr>
              <w:t>ADR-034/035: diagnose the two defects EXP-20260817-001 exposed</w:t>
            </w:r>
          </w:p>
        </w:tc>
      </w:tr>
      <w:tr>
        <w:tc>
          <w:tcPr>
            <w:tcW w:type="dxa" w:w="1224"/>
            <w:shd w:val="clear" w:fill="F1F4F8"/>
          </w:tcPr>
          <w:p>
            <w:pPr>
              <w:spacing w:after="20" w:before="20"/>
            </w:pPr>
            <w:r/>
            <w:r>
              <w:rPr>
                <w:sz w:val="16"/>
              </w:rPr>
              <w:t>2084e3b</w:t>
            </w:r>
          </w:p>
        </w:tc>
        <w:tc>
          <w:tcPr>
            <w:tcW w:type="dxa" w:w="7848"/>
            <w:shd w:val="clear" w:fill="F1F4F8"/>
          </w:tcPr>
          <w:p>
            <w:pPr>
              <w:spacing w:after="20" w:before="20"/>
            </w:pPr>
            <w:r/>
            <w:r>
              <w:rPr>
                <w:sz w:val="16"/>
              </w:rPr>
              <w:t>link LIM-024 to the ADR-034 diagnosis</w:t>
            </w:r>
          </w:p>
        </w:tc>
      </w:tr>
    </w:tbl>
    <w:p>
      <w:pPr>
        <w:spacing w:after="40"/>
      </w:pPr>
    </w:p>
    <w:p>
      <w:pPr>
        <w:spacing w:after="80"/>
      </w:pPr>
      <w:r>
        <w:rPr>
          <w:b/>
          <w:i w:val="0"/>
          <w:color w:val="1F406B"/>
        </w:rPr>
        <w:t xml:space="preserve">Contribution. </w:t>
      </w:r>
      <w:r>
        <w:rPr>
          <w:b w:val="0"/>
          <w:i w:val="0"/>
        </w:rPr>
        <w:t>The first full headline run under the corrected methodology, followed immediately by two diagnostic ADRs. ADR-034 quantitatively attributes the 60× in-control false-alarm inflation to serial correlation in the residual stream. ADR-035 records that at r ≈ 0.95 the coordination premise is dead.</w:t>
      </w:r>
    </w:p>
    <w:p>
      <w:pPr>
        <w:spacing w:after="80"/>
      </w:pPr>
      <w:r>
        <w:rPr>
          <w:b/>
          <w:i w:val="0"/>
          <w:color w:val="1F406B"/>
        </w:rPr>
        <w:t xml:space="preserve">Relevance to the research questions. </w:t>
      </w:r>
      <w:r>
        <w:rPr>
          <w:b w:val="0"/>
          <w:i w:val="0"/>
        </w:rPr>
        <w:t>This is the project behaving correctly under adverse results: it ran the experiment, the experiment produced two unfavourable findings, and both were written up as governed decisions rather than buried. ADR-035 states the point exactly — the recorded RQ2 verdict “was never evidence about the coordination rule; it is evidence about the channels”.</w:t>
      </w:r>
    </w:p>
    <w:p>
      <w:pPr>
        <w:spacing w:after="200"/>
      </w:pPr>
      <w:r>
        <w:rPr>
          <w:b/>
          <w:i w:val="0"/>
          <w:color w:val="1F406B"/>
        </w:rPr>
        <w:t xml:space="preserve">Why it was needed. </w:t>
      </w:r>
      <w:r>
        <w:rPr>
          <w:b w:val="0"/>
          <w:i w:val="0"/>
        </w:rPr>
        <w:t>Essential. Without ADR-035 the thesis would still be claiming to have tested a coordination rule it never tested.</w:t>
      </w:r>
    </w:p>
    <w:p>
      <w:pPr>
        <w:pStyle w:val="Heading2"/>
      </w:pPr>
      <w:r>
        <w:t>Phase 7 — Close the audit findings and run what had never been run</w:t>
      </w:r>
    </w:p>
    <w:tbl>
      <w:tblPr>
        <w:tblStyle w:val="TableGrid"/>
        <w:tblW w:type="auto" w:w="0"/>
        <w:jc w:val="center"/>
        <w:tblLook w:firstColumn="1" w:firstRow="1" w:lastColumn="0" w:lastRow="0" w:noHBand="0" w:noVBand="1" w:val="04A0"/>
      </w:tblPr>
      <w:tblGrid>
        <w:gridCol w:w="4586"/>
        <w:gridCol w:w="4586"/>
      </w:tblGrid>
      <w:tr>
        <w:tc>
          <w:tcPr>
            <w:tcW w:type="dxa" w:w="1224"/>
            <w:shd w:val="clear" w:fill="1F406B"/>
          </w:tcPr>
          <w:p>
            <w:pPr>
              <w:spacing w:after="20" w:before="20"/>
            </w:pPr>
            <w:r/>
            <w:r>
              <w:rPr>
                <w:b/>
                <w:color w:val="FFFFFF"/>
                <w:sz w:val="16"/>
              </w:rPr>
              <w:t>Commit</w:t>
            </w:r>
          </w:p>
        </w:tc>
        <w:tc>
          <w:tcPr>
            <w:tcW w:type="dxa" w:w="7848"/>
            <w:shd w:val="clear" w:fill="1F406B"/>
          </w:tcPr>
          <w:p>
            <w:pPr>
              <w:spacing w:after="20" w:before="20"/>
            </w:pPr>
            <w:r/>
            <w:r>
              <w:rPr>
                <w:b/>
                <w:color w:val="FFFFFF"/>
                <w:sz w:val="16"/>
              </w:rPr>
              <w:t>Subject</w:t>
            </w:r>
          </w:p>
        </w:tc>
      </w:tr>
      <w:tr>
        <w:tc>
          <w:tcPr>
            <w:tcW w:type="dxa" w:w="1224"/>
          </w:tcPr>
          <w:p>
            <w:pPr>
              <w:spacing w:after="20" w:before="20"/>
            </w:pPr>
            <w:r/>
            <w:r>
              <w:rPr>
                <w:sz w:val="16"/>
              </w:rPr>
              <w:t>66035e1</w:t>
            </w:r>
          </w:p>
        </w:tc>
        <w:tc>
          <w:tcPr>
            <w:tcW w:type="dxa" w:w="7848"/>
          </w:tcPr>
          <w:p>
            <w:pPr>
              <w:spacing w:after="20" w:before="20"/>
            </w:pPr>
            <w:r/>
            <w:r>
              <w:rPr>
                <w:sz w:val="16"/>
              </w:rPr>
              <w:t>ADR-036..046: close the audit findings; run B3, the seed check and the §18 ablation</w:t>
            </w:r>
          </w:p>
        </w:tc>
      </w:tr>
      <w:tr>
        <w:tc>
          <w:tcPr>
            <w:tcW w:type="dxa" w:w="1224"/>
            <w:shd w:val="clear" w:fill="F1F4F8"/>
          </w:tcPr>
          <w:p>
            <w:pPr>
              <w:spacing w:after="20" w:before="20"/>
            </w:pPr>
            <w:r/>
            <w:r>
              <w:rPr>
                <w:sz w:val="16"/>
              </w:rPr>
              <w:t>f2262d3</w:t>
            </w:r>
          </w:p>
        </w:tc>
        <w:tc>
          <w:tcPr>
            <w:tcW w:type="dxa" w:w="7848"/>
            <w:shd w:val="clear" w:fill="F1F4F8"/>
          </w:tcPr>
          <w:p>
            <w:pPr>
              <w:spacing w:after="20" w:before="20"/>
            </w:pPr>
            <w:r/>
            <w:r>
              <w:rPr>
                <w:sz w:val="16"/>
              </w:rPr>
              <w:t>ADR-044 refinement: distinguish tracked modifications from untracked files</w:t>
            </w:r>
          </w:p>
        </w:tc>
      </w:tr>
      <w:tr>
        <w:tc>
          <w:tcPr>
            <w:tcW w:type="dxa" w:w="1224"/>
          </w:tcPr>
          <w:p>
            <w:pPr>
              <w:spacing w:after="20" w:before="20"/>
            </w:pPr>
            <w:r/>
            <w:r>
              <w:rPr>
                <w:sz w:val="16"/>
              </w:rPr>
              <w:t>3ac7171</w:t>
            </w:r>
          </w:p>
        </w:tc>
        <w:tc>
          <w:tcPr>
            <w:tcW w:type="dxa" w:w="7848"/>
          </w:tcPr>
          <w:p>
            <w:pPr>
              <w:spacing w:after="20" w:before="20"/>
            </w:pPr>
            <w:r/>
            <w:r>
              <w:rPr>
                <w:sz w:val="16"/>
              </w:rPr>
              <w:t>LIM-034: the §20 power slice explains the detector's whole pathology</w:t>
            </w:r>
          </w:p>
        </w:tc>
      </w:tr>
    </w:tbl>
    <w:p>
      <w:pPr>
        <w:spacing w:after="40"/>
      </w:pPr>
    </w:p>
    <w:p>
      <w:pPr>
        <w:spacing w:after="80"/>
      </w:pPr>
      <w:r>
        <w:rPr>
          <w:b/>
          <w:i w:val="0"/>
          <w:color w:val="1F406B"/>
        </w:rPr>
        <w:t xml:space="preserve">Contribution. </w:t>
      </w:r>
      <w:r>
        <w:rPr>
          <w:b w:val="0"/>
          <w:i w:val="0"/>
        </w:rPr>
        <w:t>Eleven ADRs closing twelve identified defects (residual sign convention, exceedance direction, panel bootstrap, multiple-comparison register, sensitivity applicability, Guard 5 scope, EWMA gap handling, log capture, seed and dirty-tree provenance, diagnostic plots, robustness suite). Three previously unrun minimum-matrix arms were executed (B3 fleet-median-only, seed variance, multi-output vs per-target). The PROJECT.md §20 condition diagnostics were produced for the first time.</w:t>
      </w:r>
    </w:p>
    <w:p>
      <w:pPr>
        <w:spacing w:after="80"/>
      </w:pPr>
      <w:r>
        <w:rPr>
          <w:b/>
          <w:i w:val="0"/>
          <w:color w:val="1F406B"/>
        </w:rPr>
        <w:t xml:space="preserve">Relevance to the research questions. </w:t>
      </w:r>
      <w:r>
        <w:rPr>
          <w:b w:val="0"/>
          <w:i w:val="0"/>
        </w:rPr>
        <w:t>Every defect here is a reporting-correctness or provenance defect rather than a science defect — which is exactly why the clean re-run reproduces the previous RQ1 numbers bit-for-bit. But two of them changed conclusions: the panel bootstrap STRENGTHENED RQ1 (see §5), and the §20 diagnostics produced LIM-034, which explains the detector's entire pathology in a single measurement.</w:t>
      </w:r>
    </w:p>
    <w:p>
      <w:pPr>
        <w:spacing w:after="200"/>
      </w:pPr>
      <w:r>
        <w:rPr>
          <w:b/>
          <w:i w:val="0"/>
          <w:color w:val="1F406B"/>
        </w:rPr>
        <w:t xml:space="preserve">Why it was needed. </w:t>
      </w:r>
      <w:r>
        <w:rPr>
          <w:b w:val="0"/>
          <w:i w:val="0"/>
        </w:rPr>
        <w:t>This is where the project stopped being able to overclaim. The multiple-comparison register now records 21 configurations evaluated; the seed arm shows the RQ1 margin exceeds seed noise by 79× and 20×; the B3 arm shows a no-model baseline competes on detection.</w:t>
      </w:r>
    </w:p>
    <w:p>
      <w:pPr>
        <w:pStyle w:val="Heading2"/>
      </w:pPr>
      <w:r>
        <w:t>Phase 8 — Convert the remaining liabilities</w:t>
      </w:r>
    </w:p>
    <w:tbl>
      <w:tblPr>
        <w:tblStyle w:val="TableGrid"/>
        <w:tblW w:type="auto" w:w="0"/>
        <w:jc w:val="center"/>
        <w:tblLook w:firstColumn="1" w:firstRow="1" w:lastColumn="0" w:lastRow="0" w:noHBand="0" w:noVBand="1" w:val="04A0"/>
      </w:tblPr>
      <w:tblGrid>
        <w:gridCol w:w="4586"/>
        <w:gridCol w:w="4586"/>
      </w:tblGrid>
      <w:tr>
        <w:tc>
          <w:tcPr>
            <w:tcW w:type="dxa" w:w="1224"/>
            <w:shd w:val="clear" w:fill="1F406B"/>
          </w:tcPr>
          <w:p>
            <w:pPr>
              <w:spacing w:after="20" w:before="20"/>
            </w:pPr>
            <w:r/>
            <w:r>
              <w:rPr>
                <w:b/>
                <w:color w:val="FFFFFF"/>
                <w:sz w:val="16"/>
              </w:rPr>
              <w:t>Commit</w:t>
            </w:r>
          </w:p>
        </w:tc>
        <w:tc>
          <w:tcPr>
            <w:tcW w:type="dxa" w:w="7848"/>
            <w:shd w:val="clear" w:fill="1F406B"/>
          </w:tcPr>
          <w:p>
            <w:pPr>
              <w:spacing w:after="20" w:before="20"/>
            </w:pPr>
            <w:r/>
            <w:r>
              <w:rPr>
                <w:b/>
                <w:color w:val="FFFFFF"/>
                <w:sz w:val="16"/>
              </w:rPr>
              <w:t>Subject</w:t>
            </w:r>
          </w:p>
        </w:tc>
      </w:tr>
      <w:tr>
        <w:tc>
          <w:tcPr>
            <w:tcW w:type="dxa" w:w="1224"/>
          </w:tcPr>
          <w:p>
            <w:pPr>
              <w:spacing w:after="20" w:before="20"/>
            </w:pPr>
            <w:r/>
            <w:r>
              <w:rPr>
                <w:sz w:val="16"/>
              </w:rPr>
              <w:t>79d02f4</w:t>
            </w:r>
          </w:p>
        </w:tc>
        <w:tc>
          <w:tcPr>
            <w:tcW w:type="dxa" w:w="7848"/>
          </w:tcPr>
          <w:p>
            <w:pPr>
              <w:spacing w:after="20" w:before="20"/>
            </w:pPr>
            <w:r/>
            <w:r>
              <w:rPr>
                <w:sz w:val="16"/>
              </w:rPr>
              <w:t>ADR-047/048, LIM-035/036: regime-split reporting, the ADR-028 sweep, and one refuted hypothesis</w:t>
            </w:r>
          </w:p>
        </w:tc>
      </w:tr>
      <w:tr>
        <w:tc>
          <w:tcPr>
            <w:tcW w:type="dxa" w:w="1224"/>
            <w:shd w:val="clear" w:fill="F1F4F8"/>
          </w:tcPr>
          <w:p>
            <w:pPr>
              <w:spacing w:after="20" w:before="20"/>
            </w:pPr>
            <w:r/>
            <w:r>
              <w:rPr>
                <w:sz w:val="16"/>
              </w:rPr>
              <w:t>592d890</w:t>
            </w:r>
          </w:p>
        </w:tc>
        <w:tc>
          <w:tcPr>
            <w:tcW w:type="dxa" w:w="7848"/>
            <w:shd w:val="clear" w:fill="F1F4F8"/>
          </w:tcPr>
          <w:p>
            <w:pPr>
              <w:spacing w:after="20" w:before="20"/>
            </w:pPr>
            <w:r/>
            <w:r>
              <w:rPr>
                <w:sz w:val="16"/>
              </w:rPr>
              <w:t>Sync the registers and the README to the ADR-047/048 results; repair append mojibake</w:t>
            </w:r>
          </w:p>
        </w:tc>
      </w:tr>
    </w:tbl>
    <w:p>
      <w:pPr>
        <w:spacing w:after="40"/>
      </w:pPr>
    </w:p>
    <w:p>
      <w:pPr>
        <w:spacing w:after="80"/>
      </w:pPr>
      <w:r>
        <w:rPr>
          <w:b/>
          <w:i w:val="0"/>
          <w:color w:val="1F406B"/>
        </w:rPr>
        <w:t xml:space="preserve">Contribution. </w:t>
      </w:r>
      <w:r>
        <w:rPr>
          <w:b w:val="0"/>
          <w:i w:val="0"/>
        </w:rPr>
        <w:t>Four actions. (1) ADR-047 built `app/evaluation/regime.py` and `scripts/run_regime_split.py`, which report every error and detection figure split at the healthy-state power floor from stored artifacts only. (2) ADR-048 re-ran the matched-false-alarm sweep under the ADR-028 row-time denominator. (3) ADR-026 gained an external-corroboration block. (4) The Chesterman dual criterion was implemented and measured. A cross-document audit then reconciled every register, the README and the protocol against the new results.</w:t>
      </w:r>
    </w:p>
    <w:p>
      <w:pPr>
        <w:spacing w:after="80"/>
      </w:pPr>
      <w:r>
        <w:rPr>
          <w:b/>
          <w:i w:val="0"/>
          <w:color w:val="1F406B"/>
        </w:rPr>
        <w:t xml:space="preserve">Relevance to the research questions. </w:t>
      </w:r>
      <w:r>
        <w:rPr>
          <w:b w:val="0"/>
          <w:i w:val="0"/>
        </w:rPr>
        <w:t>Three of these targeted liabilities this report's first revision identified as the largest available. RQ2 went from having no citable artifact to having one. The unfiltered-slice Diebold–Mariano reversal went from unexplained to quantitatively explained. The 60× in-control inflation went from reading as a defect to reading as a replicated field-level finding. The fourth — the dual-criterion reframing — was REFUTED by its own measurement and is recorded as LIM-035.</w:t>
      </w:r>
    </w:p>
    <w:p>
      <w:pPr>
        <w:spacing w:after="200"/>
      </w:pPr>
      <w:r>
        <w:rPr>
          <w:b/>
          <w:i w:val="0"/>
          <w:color w:val="1F406B"/>
        </w:rPr>
        <w:t xml:space="preserve">Why it was needed. </w:t>
      </w:r>
      <w:r>
        <w:rPr>
          <w:b w:val="0"/>
          <w:i w:val="0"/>
        </w:rPr>
        <w:t>Because a thesis is defended on what it can show, not on what it believes. Before this phase the single most damaging row in the evidence base (0/6 turbines against the linear baselines on the unfiltered slice) had no explanation, and the answer to one of three research questions rested on a deleted artifact computed with arithmetic the project had itself disowned.</w:t>
      </w:r>
    </w:p>
    <w:p>
      <w:r>
        <w:br w:type="page"/>
      </w:r>
    </w:p>
    <w:p>
      <w:pPr>
        <w:pStyle w:val="Heading1"/>
      </w:pPr>
      <w:r>
        <w:t>4. Did the pipeline change? A stage-by-stage verdict</w:t>
      </w:r>
    </w:p>
    <w:p>
      <w:r>
        <w:rPr>
          <w:b w:val="0"/>
          <w:i/>
          <w:color w:val="5A5A5A"/>
        </w:rPr>
        <w:t>This section answers the question directly and with proof, because it is the question that determines whether earlier results remain citable.</w:t>
      </w:r>
    </w:p>
    <w:p>
      <w:pPr>
        <w:pStyle w:val="Heading2"/>
      </w:pPr>
      <w:r>
        <w:t>4.1 Preprocessing — UNCHANGED, provably</w:t>
      </w:r>
    </w:p>
    <w:p>
      <w:r>
        <w:rPr>
          <w:b w:val="0"/>
          <w:i w:val="0"/>
        </w:rPr>
        <w:t xml:space="preserve">The following ten modules are </w:t>
      </w:r>
      <w:r>
        <w:rPr>
          <w:b/>
          <w:i w:val="0"/>
          <w:color w:val="1B5E20"/>
        </w:rPr>
        <w:t>byte-identical</w:t>
      </w:r>
      <w:r>
        <w:rPr>
          <w:b w:val="0"/>
          <w:i w:val="0"/>
        </w:rPr>
        <w:t xml:space="preserve"> between 7df11f9 and HEAD. This was established with git diff --quiet on each path, not by reading the diffstat.</w:t>
      </w:r>
    </w:p>
    <w:p>
      <w:pPr>
        <w:spacing w:before="80" w:after="160"/>
        <w:ind w:left="360"/>
      </w:pPr>
      <w:r>
        <w:rPr>
          <w:rFonts w:ascii="Consolas" w:hAnsi="Consolas"/>
          <w:color w:val="2A2A2A"/>
          <w:sz w:val="17"/>
        </w:rPr>
        <w:t>backend/app/data/cleaning.py          backend/app/data/ingestion.py</w:t>
      </w:r>
      <w:r>
        <w:br/>
      </w:r>
      <w:r>
        <w:rPr>
          <w:rFonts w:ascii="Consolas" w:hAnsi="Consolas"/>
          <w:color w:val="2A2A2A"/>
          <w:sz w:val="17"/>
        </w:rPr>
        <w:t>backend/app/data/mapping.py           backend/app/data/schema.py</w:t>
      </w:r>
      <w:r>
        <w:br/>
      </w:r>
      <w:r>
        <w:rPr>
          <w:rFonts w:ascii="Consolas" w:hAnsi="Consolas"/>
          <w:color w:val="2A2A2A"/>
          <w:sz w:val="17"/>
        </w:rPr>
        <w:t>backend/app/data/validation.py        backend/app/data/provenance.py</w:t>
      </w:r>
      <w:r>
        <w:br/>
      </w:r>
      <w:r>
        <w:rPr>
          <w:rFonts w:ascii="Consolas" w:hAnsi="Consolas"/>
          <w:color w:val="2A2A2A"/>
          <w:sz w:val="17"/>
        </w:rPr>
        <w:t>backend/app/residuals/engine.py       backend/app/residuals/normalization.py</w:t>
      </w:r>
      <w:r>
        <w:br/>
      </w:r>
      <w:r>
        <w:rPr>
          <w:rFonts w:ascii="Consolas" w:hAnsi="Consolas"/>
          <w:color w:val="2A2A2A"/>
          <w:sz w:val="17"/>
        </w:rPr>
        <w:t>backend/app/models/baselines.py       backend/app/models/registry.py</w:t>
      </w:r>
    </w:p>
    <w:p>
      <w:r>
        <w:rPr>
          <w:b w:val="0"/>
          <w:i w:val="0"/>
        </w:rPr>
        <w:t>The configuration surface that governs preprocessing is likewise identical: the data SPAN, TRAIN_END = 2018-07-01, VALIDATION_END = 2019-02-01, and the four ordered cleaning operations.</w:t>
      </w:r>
    </w:p>
    <w:tbl>
      <w:tblPr>
        <w:tblStyle w:val="TableGrid"/>
        <w:tblW w:type="auto" w:w="0"/>
        <w:tblLook w:firstColumn="1" w:firstRow="1" w:lastColumn="0" w:lastRow="0" w:noHBand="0" w:noVBand="1" w:val="04A0"/>
      </w:tblPr>
      <w:tblGrid>
        <w:gridCol w:w="9173"/>
      </w:tblGrid>
      <w:tr>
        <w:tc>
          <w:tcPr>
            <w:tcW w:type="dxa" w:w="9173"/>
            <w:shd w:val="clear" w:fill="EDF7EE"/>
          </w:tcPr>
          <w:p>
            <w:r/>
            <w:r>
              <w:rPr>
                <w:b/>
                <w:color w:val="1B5E20"/>
                <w:sz w:val="19"/>
              </w:rPr>
              <w:t>FACT — confirmed empirically, not only by inspection</w:t>
            </w:r>
          </w:p>
          <w:p>
            <w:pPr>
              <w:spacing w:after="40"/>
            </w:pPr>
            <w:r>
              <w:rPr>
                <w:sz w:val="19"/>
              </w:rPr>
              <w:t>EXP-20260818-001 (commit f2262d3) reproduces EXP-20260817-001 exactly. The ingestion, cleaning, healthy_state, split and detection metric blocks compare identical=True, and every RQ1 accuracy metric matches to the last stored digit. The only numerical difference anywhere in the two runs is the SIGN of the bias metric, which is the intended effect of the ADR-036 residual-convention fix.</w:t>
              <w:br/>
              <w:br/>
              <w:t>Independently, EXP-20260818-001 was re-executed from its own stored artifacts by the reproduction driver and returned status "EXACT MATCH" with an empty diffs list and no environment warnings (Appendix C). The clean headline run is therefore reproducible, not merely recorded.</w:t>
            </w:r>
          </w:p>
        </w:tc>
      </w:tr>
    </w:tbl>
    <w:p>
      <w:pPr>
        <w:spacing w:after="40"/>
      </w:pPr>
    </w:p>
    <w:p>
      <w:pPr>
        <w:pStyle w:val="Heading2"/>
      </w:pPr>
      <w:r>
        <w:t>4.2 Stage-by-stage change matrix</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32"/>
            <w:shd w:val="clear" w:fill="1F406B"/>
          </w:tcPr>
          <w:p>
            <w:pPr>
              <w:spacing w:after="20" w:before="20"/>
            </w:pPr>
            <w:r/>
            <w:r>
              <w:rPr>
                <w:b/>
                <w:color w:val="FFFFFF"/>
                <w:sz w:val="16"/>
              </w:rPr>
              <w:t>Pipeline stage</w:t>
            </w:r>
          </w:p>
        </w:tc>
        <w:tc>
          <w:tcPr>
            <w:tcW w:type="dxa" w:w="1944"/>
            <w:shd w:val="clear" w:fill="1F406B"/>
          </w:tcPr>
          <w:p>
            <w:pPr>
              <w:spacing w:after="20" w:before="20"/>
            </w:pPr>
            <w:r/>
            <w:r>
              <w:rPr>
                <w:b/>
                <w:color w:val="FFFFFF"/>
                <w:sz w:val="16"/>
              </w:rPr>
              <w:t>Code changed?</w:t>
            </w:r>
          </w:p>
        </w:tc>
        <w:tc>
          <w:tcPr>
            <w:tcW w:type="dxa" w:w="1656"/>
            <w:shd w:val="clear" w:fill="1F406B"/>
          </w:tcPr>
          <w:p>
            <w:pPr>
              <w:spacing w:after="20" w:before="20"/>
            </w:pPr>
            <w:r/>
            <w:r>
              <w:rPr>
                <w:b/>
                <w:color w:val="FFFFFF"/>
                <w:sz w:val="16"/>
              </w:rPr>
              <w:t>Behaviour changed?</w:t>
            </w:r>
          </w:p>
        </w:tc>
        <w:tc>
          <w:tcPr>
            <w:tcW w:type="dxa" w:w="3240"/>
            <w:shd w:val="clear" w:fill="1F406B"/>
          </w:tcPr>
          <w:p>
            <w:pPr>
              <w:spacing w:after="20" w:before="20"/>
            </w:pPr>
            <w:r/>
            <w:r>
              <w:rPr>
                <w:b/>
                <w:color w:val="FFFFFF"/>
                <w:sz w:val="16"/>
              </w:rPr>
              <w:t>Evidence</w:t>
            </w:r>
          </w:p>
        </w:tc>
      </w:tr>
      <w:tr>
        <w:tc>
          <w:tcPr>
            <w:tcW w:type="dxa" w:w="2232"/>
          </w:tcPr>
          <w:p>
            <w:pPr>
              <w:spacing w:after="20" w:before="20"/>
            </w:pPr>
            <w:r/>
            <w:r>
              <w:rPr>
                <w:sz w:val="16"/>
              </w:rPr>
              <w:t>Ingestion / mapping / schema / validation</w:t>
            </w:r>
          </w:p>
        </w:tc>
        <w:tc>
          <w:tcPr>
            <w:tcW w:type="dxa" w:w="1944"/>
          </w:tcPr>
          <w:p>
            <w:pPr>
              <w:spacing w:after="20" w:before="20"/>
            </w:pPr>
            <w:r/>
            <w:r>
              <w:rPr>
                <w:sz w:val="16"/>
              </w:rPr>
              <w:t>No</w:t>
            </w:r>
          </w:p>
        </w:tc>
        <w:tc>
          <w:tcPr>
            <w:tcW w:type="dxa" w:w="1656"/>
          </w:tcPr>
          <w:p>
            <w:pPr>
              <w:spacing w:after="20" w:before="20"/>
            </w:pPr>
            <w:r/>
            <w:r>
              <w:rPr>
                <w:b/>
                <w:color w:val="1B5E20"/>
                <w:sz w:val="16"/>
              </w:rPr>
              <w:t>No</w:t>
            </w:r>
          </w:p>
        </w:tc>
        <w:tc>
          <w:tcPr>
            <w:tcW w:type="dxa" w:w="3240"/>
          </w:tcPr>
          <w:p>
            <w:pPr>
              <w:spacing w:after="20" w:before="20"/>
            </w:pPr>
            <w:r/>
            <w:r>
              <w:rPr>
                <w:sz w:val="16"/>
              </w:rPr>
              <w:t>git diff --quiet passes on all four modules</w:t>
            </w:r>
          </w:p>
        </w:tc>
      </w:tr>
      <w:tr>
        <w:tc>
          <w:tcPr>
            <w:tcW w:type="dxa" w:w="2232"/>
            <w:shd w:val="clear" w:fill="F1F4F8"/>
          </w:tcPr>
          <w:p>
            <w:pPr>
              <w:spacing w:after="20" w:before="20"/>
            </w:pPr>
            <w:r/>
            <w:r>
              <w:rPr>
                <w:sz w:val="16"/>
              </w:rPr>
              <w:t>Cleaning</w:t>
            </w:r>
          </w:p>
        </w:tc>
        <w:tc>
          <w:tcPr>
            <w:tcW w:type="dxa" w:w="1944"/>
            <w:shd w:val="clear" w:fill="F1F4F8"/>
          </w:tcPr>
          <w:p>
            <w:pPr>
              <w:spacing w:after="20" w:before="20"/>
            </w:pPr>
            <w:r/>
            <w:r>
              <w:rPr>
                <w:sz w:val="16"/>
              </w:rPr>
              <w:t>No</w:t>
            </w:r>
          </w:p>
        </w:tc>
        <w:tc>
          <w:tcPr>
            <w:tcW w:type="dxa" w:w="1656"/>
            <w:shd w:val="clear" w:fill="F1F4F8"/>
          </w:tcPr>
          <w:p>
            <w:pPr>
              <w:spacing w:after="20" w:before="20"/>
            </w:pPr>
            <w:r/>
            <w:r>
              <w:rPr>
                <w:b/>
                <w:color w:val="1B5E20"/>
                <w:sz w:val="16"/>
              </w:rPr>
              <w:t>No</w:t>
            </w:r>
          </w:p>
        </w:tc>
        <w:tc>
          <w:tcPr>
            <w:tcW w:type="dxa" w:w="3240"/>
            <w:shd w:val="clear" w:fill="F1F4F8"/>
          </w:tcPr>
          <w:p>
            <w:pPr>
              <w:spacing w:after="20" w:before="20"/>
            </w:pPr>
            <w:r/>
            <w:r>
              <w:rPr>
                <w:sz w:val="16"/>
              </w:rPr>
              <w:t>module byte-identical; cleaning_operations list identical; cleaning metric block identical=True across runs</w:t>
            </w:r>
          </w:p>
        </w:tc>
      </w:tr>
      <w:tr>
        <w:tc>
          <w:tcPr>
            <w:tcW w:type="dxa" w:w="2232"/>
          </w:tcPr>
          <w:p>
            <w:pPr>
              <w:spacing w:after="20" w:before="20"/>
            </w:pPr>
            <w:r/>
            <w:r>
              <w:rPr>
                <w:sz w:val="16"/>
              </w:rPr>
              <w:t>Healthy-state construction</w:t>
            </w:r>
          </w:p>
        </w:tc>
        <w:tc>
          <w:tcPr>
            <w:tcW w:type="dxa" w:w="1944"/>
          </w:tcPr>
          <w:p>
            <w:pPr>
              <w:spacing w:after="20" w:before="20"/>
            </w:pPr>
            <w:r/>
            <w:r>
              <w:rPr>
                <w:sz w:val="16"/>
              </w:rPr>
              <w:t>Yes (Guard 5 scope, ADR-033 window dedup)</w:t>
            </w:r>
          </w:p>
        </w:tc>
        <w:tc>
          <w:tcPr>
            <w:tcW w:type="dxa" w:w="1656"/>
          </w:tcPr>
          <w:p>
            <w:pPr>
              <w:spacing w:after="20" w:before="20"/>
            </w:pPr>
            <w:r/>
            <w:r>
              <w:rPr>
                <w:b/>
                <w:color w:val="1B5E20"/>
                <w:sz w:val="16"/>
              </w:rPr>
              <w:t>No</w:t>
            </w:r>
          </w:p>
        </w:tc>
        <w:tc>
          <w:tcPr>
            <w:tcW w:type="dxa" w:w="3240"/>
          </w:tcPr>
          <w:p>
            <w:pPr>
              <w:spacing w:after="20" w:before="20"/>
            </w:pPr>
            <w:r/>
            <w:r>
              <w:rPr>
                <w:sz w:val="16"/>
              </w:rPr>
              <w:t>window dedup is idempotent over the row mask; Guard 5 change is warning-only. accepted = 656,293 / retention 77.48%</w:t>
            </w:r>
          </w:p>
        </w:tc>
      </w:tr>
      <w:tr>
        <w:tc>
          <w:tcPr>
            <w:tcW w:type="dxa" w:w="2232"/>
            <w:shd w:val="clear" w:fill="F1F4F8"/>
          </w:tcPr>
          <w:p>
            <w:pPr>
              <w:spacing w:after="20" w:before="20"/>
            </w:pPr>
            <w:r/>
            <w:r>
              <w:rPr>
                <w:sz w:val="16"/>
              </w:rPr>
              <w:t>Splitting</w:t>
            </w:r>
          </w:p>
        </w:tc>
        <w:tc>
          <w:tcPr>
            <w:tcW w:type="dxa" w:w="1944"/>
            <w:shd w:val="clear" w:fill="F1F4F8"/>
          </w:tcPr>
          <w:p>
            <w:pPr>
              <w:spacing w:after="20" w:before="20"/>
            </w:pPr>
            <w:r/>
            <w:r>
              <w:rPr>
                <w:sz w:val="16"/>
              </w:rPr>
              <w:t>Yes (new inner_chronological_holdout)</w:t>
            </w:r>
          </w:p>
        </w:tc>
        <w:tc>
          <w:tcPr>
            <w:tcW w:type="dxa" w:w="1656"/>
            <w:shd w:val="clear" w:fill="F1F4F8"/>
          </w:tcPr>
          <w:p>
            <w:pPr>
              <w:spacing w:after="20" w:before="20"/>
            </w:pPr>
            <w:r/>
            <w:r>
              <w:rPr>
                <w:sz w:val="16"/>
              </w:rPr>
              <w:t>No to the outer split</w:t>
            </w:r>
          </w:p>
        </w:tc>
        <w:tc>
          <w:tcPr>
            <w:tcW w:type="dxa" w:w="3240"/>
            <w:shd w:val="clear" w:fill="F1F4F8"/>
          </w:tcPr>
          <w:p>
            <w:pPr>
              <w:spacing w:after="20" w:before="20"/>
            </w:pPr>
            <w:r/>
            <w:r>
              <w:rPr>
                <w:sz w:val="16"/>
              </w:rPr>
              <w:t>TRAIN_END and VALIDATION_END unchanged; the new function carves a holdout INSIDE TRAIN only</w:t>
            </w:r>
          </w:p>
        </w:tc>
      </w:tr>
      <w:tr>
        <w:tc>
          <w:tcPr>
            <w:tcW w:type="dxa" w:w="2232"/>
          </w:tcPr>
          <w:p>
            <w:pPr>
              <w:spacing w:after="20" w:before="20"/>
            </w:pPr>
            <w:r/>
            <w:r>
              <w:rPr>
                <w:sz w:val="16"/>
              </w:rPr>
              <w:t>Model training / selection</w:t>
            </w:r>
          </w:p>
        </w:tc>
        <w:tc>
          <w:tcPr>
            <w:tcW w:type="dxa" w:w="1944"/>
          </w:tcPr>
          <w:p>
            <w:pPr>
              <w:spacing w:after="20" w:before="20"/>
            </w:pPr>
            <w:r/>
            <w:r>
              <w:rPr>
                <w:b/>
                <w:color w:val="9B1C1C"/>
                <w:sz w:val="16"/>
              </w:rPr>
              <w:t>YES — ADR-030</w:t>
            </w:r>
          </w:p>
        </w:tc>
        <w:tc>
          <w:tcPr>
            <w:tcW w:type="dxa" w:w="1656"/>
          </w:tcPr>
          <w:p>
            <w:pPr>
              <w:spacing w:after="20" w:before="20"/>
            </w:pPr>
            <w:r/>
            <w:r>
              <w:rPr>
                <w:b/>
                <w:color w:val="9B1C1C"/>
                <w:sz w:val="16"/>
              </w:rPr>
              <w:t>YES</w:t>
            </w:r>
          </w:p>
        </w:tc>
        <w:tc>
          <w:tcPr>
            <w:tcW w:type="dxa" w:w="3240"/>
          </w:tcPr>
          <w:p>
            <w:pPr>
              <w:spacing w:after="20" w:before="20"/>
            </w:pPr>
            <w:r/>
            <w:r>
              <w:rPr>
                <w:sz w:val="16"/>
              </w:rPr>
              <w:t>tuning moved from partitions["validation"] to an inner TRAIN holdout, then refit on full TRAIN at the early-stopped iteration</w:t>
            </w:r>
          </w:p>
        </w:tc>
      </w:tr>
      <w:tr>
        <w:tc>
          <w:tcPr>
            <w:tcW w:type="dxa" w:w="2232"/>
            <w:shd w:val="clear" w:fill="F1F4F8"/>
          </w:tcPr>
          <w:p>
            <w:pPr>
              <w:spacing w:after="20" w:before="20"/>
            </w:pPr>
            <w:r/>
            <w:r>
              <w:rPr>
                <w:sz w:val="16"/>
              </w:rPr>
              <w:t>Model set</w:t>
            </w:r>
          </w:p>
        </w:tc>
        <w:tc>
          <w:tcPr>
            <w:tcW w:type="dxa" w:w="1944"/>
            <w:shd w:val="clear" w:fill="F1F4F8"/>
          </w:tcPr>
          <w:p>
            <w:pPr>
              <w:spacing w:after="20" w:before="20"/>
            </w:pPr>
            <w:r/>
            <w:r>
              <w:rPr>
                <w:b/>
                <w:color w:val="8A5A00"/>
                <w:sz w:val="16"/>
              </w:rPr>
              <w:t>YES — ADR-032</w:t>
            </w:r>
          </w:p>
        </w:tc>
        <w:tc>
          <w:tcPr>
            <w:tcW w:type="dxa" w:w="1656"/>
            <w:shd w:val="clear" w:fill="F1F4F8"/>
          </w:tcPr>
          <w:p>
            <w:pPr>
              <w:spacing w:after="20" w:before="20"/>
            </w:pPr>
            <w:r/>
            <w:r>
              <w:rPr>
                <w:sz w:val="16"/>
              </w:rPr>
              <w:t>YES (additive)</w:t>
            </w:r>
          </w:p>
        </w:tc>
        <w:tc>
          <w:tcPr>
            <w:tcW w:type="dxa" w:w="3240"/>
            <w:shd w:val="clear" w:fill="F1F4F8"/>
          </w:tcPr>
          <w:p>
            <w:pPr>
              <w:spacing w:after="20" w:before="20"/>
            </w:pPr>
            <w:r/>
            <w:r>
              <w:rPr>
                <w:sz w:val="16"/>
              </w:rPr>
              <w:t>multi-task Elastic Net added as a second BASELINE; does not alter the thesis model</w:t>
            </w:r>
          </w:p>
        </w:tc>
      </w:tr>
      <w:tr>
        <w:tc>
          <w:tcPr>
            <w:tcW w:type="dxa" w:w="2232"/>
          </w:tcPr>
          <w:p>
            <w:pPr>
              <w:spacing w:after="20" w:before="20"/>
            </w:pPr>
            <w:r/>
            <w:r>
              <w:rPr>
                <w:sz w:val="16"/>
              </w:rPr>
              <w:t>Residual computation / normalisation</w:t>
            </w:r>
          </w:p>
        </w:tc>
        <w:tc>
          <w:tcPr>
            <w:tcW w:type="dxa" w:w="1944"/>
          </w:tcPr>
          <w:p>
            <w:pPr>
              <w:spacing w:after="20" w:before="20"/>
            </w:pPr>
            <w:r/>
            <w:r>
              <w:rPr>
                <w:b/>
                <w:color w:val="1B5E20"/>
                <w:sz w:val="16"/>
              </w:rPr>
              <w:t>No</w:t>
            </w:r>
          </w:p>
        </w:tc>
        <w:tc>
          <w:tcPr>
            <w:tcW w:type="dxa" w:w="1656"/>
          </w:tcPr>
          <w:p>
            <w:pPr>
              <w:spacing w:after="20" w:before="20"/>
            </w:pPr>
            <w:r/>
            <w:r>
              <w:rPr>
                <w:b/>
                <w:color w:val="1B5E20"/>
                <w:sz w:val="16"/>
              </w:rPr>
              <w:t>No</w:t>
            </w:r>
          </w:p>
        </w:tc>
        <w:tc>
          <w:tcPr>
            <w:tcW w:type="dxa" w:w="3240"/>
          </w:tcPr>
          <w:p>
            <w:pPr>
              <w:spacing w:after="20" w:before="20"/>
            </w:pPr>
            <w:r/>
            <w:r>
              <w:rPr>
                <w:sz w:val="16"/>
              </w:rPr>
              <w:t>engine.py and normalization.py byte-identical</w:t>
            </w:r>
          </w:p>
        </w:tc>
      </w:tr>
      <w:tr>
        <w:tc>
          <w:tcPr>
            <w:tcW w:type="dxa" w:w="2232"/>
            <w:shd w:val="clear" w:fill="F1F4F8"/>
          </w:tcPr>
          <w:p>
            <w:pPr>
              <w:spacing w:after="20" w:before="20"/>
            </w:pPr>
            <w:r/>
            <w:r>
              <w:rPr>
                <w:sz w:val="16"/>
              </w:rPr>
              <w:t>Residual sign convention</w:t>
            </w:r>
          </w:p>
        </w:tc>
        <w:tc>
          <w:tcPr>
            <w:tcW w:type="dxa" w:w="1944"/>
            <w:shd w:val="clear" w:fill="F1F4F8"/>
          </w:tcPr>
          <w:p>
            <w:pPr>
              <w:spacing w:after="20" w:before="20"/>
            </w:pPr>
            <w:r/>
            <w:r>
              <w:rPr>
                <w:sz w:val="16"/>
              </w:rPr>
              <w:t>Yes — ADR-036</w:t>
            </w:r>
          </w:p>
        </w:tc>
        <w:tc>
          <w:tcPr>
            <w:tcW w:type="dxa" w:w="1656"/>
            <w:shd w:val="clear" w:fill="F1F4F8"/>
          </w:tcPr>
          <w:p>
            <w:pPr>
              <w:spacing w:after="20" w:before="20"/>
            </w:pPr>
            <w:r/>
            <w:r>
              <w:rPr>
                <w:sz w:val="16"/>
              </w:rPr>
              <w:t>Reporting only</w:t>
            </w:r>
          </w:p>
        </w:tc>
        <w:tc>
          <w:tcPr>
            <w:tcW w:type="dxa" w:w="3240"/>
            <w:shd w:val="clear" w:fill="F1F4F8"/>
          </w:tcPr>
          <w:p>
            <w:pPr>
              <w:spacing w:after="20" w:before="20"/>
            </w:pPr>
            <w:r/>
            <w:r>
              <w:rPr>
                <w:sz w:val="16"/>
              </w:rPr>
              <w:t>bias sign flips (+2.1829 → −2.1829 on the test slice); RMSE/MAE/R² unaffected by construction</w:t>
            </w:r>
          </w:p>
        </w:tc>
      </w:tr>
      <w:tr>
        <w:tc>
          <w:tcPr>
            <w:tcW w:type="dxa" w:w="2232"/>
          </w:tcPr>
          <w:p>
            <w:pPr>
              <w:spacing w:after="20" w:before="20"/>
            </w:pPr>
            <w:r/>
            <w:r>
              <w:rPr>
                <w:sz w:val="16"/>
              </w:rPr>
              <w:t>Detection (EWMA)</w:t>
            </w:r>
          </w:p>
        </w:tc>
        <w:tc>
          <w:tcPr>
            <w:tcW w:type="dxa" w:w="1944"/>
          </w:tcPr>
          <w:p>
            <w:pPr>
              <w:spacing w:after="20" w:before="20"/>
            </w:pPr>
            <w:r/>
            <w:r>
              <w:rPr>
                <w:sz w:val="16"/>
              </w:rPr>
              <w:t>Yes (gap census, direction census, fleet arm)</w:t>
            </w:r>
          </w:p>
        </w:tc>
        <w:tc>
          <w:tcPr>
            <w:tcW w:type="dxa" w:w="1656"/>
          </w:tcPr>
          <w:p>
            <w:pPr>
              <w:spacing w:after="20" w:before="20"/>
            </w:pPr>
            <w:r/>
            <w:r>
              <w:rPr>
                <w:b/>
                <w:color w:val="1B5E20"/>
                <w:sz w:val="16"/>
              </w:rPr>
              <w:t>No — new options default off</w:t>
            </w:r>
          </w:p>
        </w:tc>
        <w:tc>
          <w:tcPr>
            <w:tcW w:type="dxa" w:w="3240"/>
          </w:tcPr>
          <w:p>
            <w:pPr>
              <w:spacing w:after="20" w:before="20"/>
            </w:pPr>
            <w:r/>
            <w:r>
              <w:rPr>
                <w:sz w:val="16"/>
              </w:rPr>
              <w:t>gap_handling = continuous in the run; fleet_relative = false; in-control rate 0.162137 identical across runs</w:t>
            </w:r>
          </w:p>
        </w:tc>
      </w:tr>
      <w:tr>
        <w:tc>
          <w:tcPr>
            <w:tcW w:type="dxa" w:w="2232"/>
            <w:shd w:val="clear" w:fill="F1F4F8"/>
          </w:tcPr>
          <w:p>
            <w:pPr>
              <w:spacing w:after="20" w:before="20"/>
            </w:pPr>
            <w:r/>
            <w:r>
              <w:rPr>
                <w:sz w:val="16"/>
              </w:rPr>
              <w:t>Evaluation / statistics</w:t>
            </w:r>
          </w:p>
        </w:tc>
        <w:tc>
          <w:tcPr>
            <w:tcW w:type="dxa" w:w="1944"/>
            <w:shd w:val="clear" w:fill="F1F4F8"/>
          </w:tcPr>
          <w:p>
            <w:pPr>
              <w:spacing w:after="20" w:before="20"/>
            </w:pPr>
            <w:r/>
            <w:r>
              <w:rPr>
                <w:b/>
                <w:color w:val="9B1C1C"/>
                <w:sz w:val="16"/>
              </w:rPr>
              <w:t>YES — substantially</w:t>
            </w:r>
          </w:p>
        </w:tc>
        <w:tc>
          <w:tcPr>
            <w:tcW w:type="dxa" w:w="1656"/>
            <w:shd w:val="clear" w:fill="F1F4F8"/>
          </w:tcPr>
          <w:p>
            <w:pPr>
              <w:spacing w:after="20" w:before="20"/>
            </w:pPr>
            <w:r/>
            <w:r>
              <w:rPr>
                <w:b/>
                <w:color w:val="9B1C1C"/>
                <w:sz w:val="16"/>
              </w:rPr>
              <w:t>YES</w:t>
            </w:r>
          </w:p>
        </w:tc>
        <w:tc>
          <w:tcPr>
            <w:tcW w:type="dxa" w:w="3240"/>
            <w:shd w:val="clear" w:fill="F1F4F8"/>
          </w:tcPr>
          <w:p>
            <w:pPr>
              <w:spacing w:after="20" w:before="20"/>
            </w:pPr>
            <w:r/>
            <w:r>
              <w:rPr>
                <w:sz w:val="16"/>
              </w:rPr>
              <w:t>per-turbine DM replaces pooled DM; panel bootstrap replaces pooled bootstrap; row-time denominator; sensitivity applicability</w:t>
            </w:r>
          </w:p>
        </w:tc>
      </w:tr>
      <w:tr>
        <w:tc>
          <w:tcPr>
            <w:tcW w:type="dxa" w:w="2232"/>
          </w:tcPr>
          <w:p>
            <w:pPr>
              <w:spacing w:after="20" w:before="20"/>
            </w:pPr>
            <w:r/>
            <w:r>
              <w:rPr>
                <w:sz w:val="16"/>
              </w:rPr>
              <w:t>Provenance / reproducibility</w:t>
            </w:r>
          </w:p>
        </w:tc>
        <w:tc>
          <w:tcPr>
            <w:tcW w:type="dxa" w:w="1944"/>
          </w:tcPr>
          <w:p>
            <w:pPr>
              <w:spacing w:after="20" w:before="20"/>
            </w:pPr>
            <w:r/>
            <w:r>
              <w:rPr>
                <w:b/>
                <w:color w:val="9B1C1C"/>
                <w:sz w:val="16"/>
              </w:rPr>
              <w:t>YES — substantially</w:t>
            </w:r>
          </w:p>
        </w:tc>
        <w:tc>
          <w:tcPr>
            <w:tcW w:type="dxa" w:w="1656"/>
          </w:tcPr>
          <w:p>
            <w:pPr>
              <w:spacing w:after="20" w:before="20"/>
            </w:pPr>
            <w:r/>
            <w:r>
              <w:rPr>
                <w:b/>
                <w:color w:val="9B1C1C"/>
                <w:sz w:val="16"/>
              </w:rPr>
              <w:t>YES</w:t>
            </w:r>
          </w:p>
        </w:tc>
        <w:tc>
          <w:tcPr>
            <w:tcW w:type="dxa" w:w="3240"/>
          </w:tcPr>
          <w:p>
            <w:pPr>
              <w:spacing w:after="20" w:before="20"/>
            </w:pPr>
            <w:r/>
            <w:r>
              <w:rPr>
                <w:sz w:val="16"/>
              </w:rPr>
              <w:t>seed register, multiple-comparison register, tracked-vs-untracked dirty gate, buffered log capture, condition diagnostics</w:t>
            </w:r>
          </w:p>
        </w:tc>
      </w:tr>
    </w:tbl>
    <w:p>
      <w:pPr>
        <w:spacing w:after="40"/>
      </w:pPr>
    </w:p>
    <w:p>
      <w:pPr>
        <w:pStyle w:val="Heading2"/>
      </w:pPr>
      <w:r>
        <w:t>4.3 The one training change, stated precisely</w:t>
      </w:r>
    </w:p>
    <w:p>
      <w:r>
        <w:rPr>
          <w:b w:val="0"/>
          <w:i w:val="0"/>
        </w:rPr>
        <w:t>Before (at 7df11f9):</w:t>
      </w:r>
    </w:p>
    <w:p>
      <w:pPr>
        <w:spacing w:before="80" w:after="160"/>
        <w:ind w:left="360"/>
      </w:pPr>
      <w:r>
        <w:rPr>
          <w:rFonts w:ascii="Consolas" w:hAnsi="Consolas"/>
          <w:color w:val="2A2A2A"/>
          <w:sz w:val="17"/>
        </w:rPr>
        <w:t>tune_model(thesis, partitions["training"], partitions["validation"], ...)</w:t>
      </w:r>
      <w:r>
        <w:br/>
      </w:r>
      <w:r>
        <w:rPr>
          <w:rFonts w:ascii="Consolas" w:hAnsi="Consolas"/>
          <w:color w:val="2A2A2A"/>
          <w:sz w:val="17"/>
        </w:rPr>
        <w:t>#   candidate scoring on VALIDATION</w:t>
      </w:r>
      <w:r>
        <w:br/>
      </w:r>
      <w:r>
        <w:rPr>
          <w:rFonts w:ascii="Consolas" w:hAnsi="Consolas"/>
          <w:color w:val="2A2A2A"/>
          <w:sz w:val="17"/>
        </w:rPr>
        <w:t>#   baseline_rmse taken from VALIDATION</w:t>
      </w:r>
      <w:r>
        <w:br/>
      </w:r>
      <w:r>
        <w:rPr>
          <w:rFonts w:ascii="Consolas" w:hAnsi="Consolas"/>
          <w:color w:val="2A2A2A"/>
          <w:sz w:val="17"/>
        </w:rPr>
        <w:t>#   VALIDATION also calibrates EWMA control limits  &lt;-- the leak</w:t>
      </w:r>
    </w:p>
    <w:p>
      <w:r>
        <w:rPr>
          <w:b w:val="0"/>
          <w:i w:val="0"/>
        </w:rPr>
        <w:t>After (ADR-030, commit ce2010e):</w:t>
      </w:r>
    </w:p>
    <w:p>
      <w:pPr>
        <w:spacing w:before="80" w:after="160"/>
        <w:ind w:left="360"/>
      </w:pPr>
      <w:r>
        <w:rPr>
          <w:rFonts w:ascii="Consolas" w:hAnsi="Consolas"/>
          <w:color w:val="2A2A2A"/>
          <w:sz w:val="17"/>
        </w:rPr>
        <w:t>inner_train, inner_holdout = inner_chronological_holdout(partitions["training"])</w:t>
      </w:r>
      <w:r>
        <w:br/>
      </w:r>
      <w:r>
        <w:rPr>
          <w:rFonts w:ascii="Consolas" w:hAnsi="Consolas"/>
          <w:color w:val="2A2A2A"/>
          <w:sz w:val="17"/>
        </w:rPr>
        <w:t>tune_model(thesis, inner_train, inner_holdout, ...)</w:t>
      </w:r>
      <w:r>
        <w:br/>
      </w:r>
      <w:r>
        <w:rPr>
          <w:rFonts w:ascii="Consolas" w:hAnsi="Consolas"/>
          <w:color w:val="2A2A2A"/>
          <w:sz w:val="17"/>
        </w:rPr>
        <w:t>#   candidate scoring on an inner holdout carved from TRAIN</w:t>
      </w:r>
      <w:r>
        <w:br/>
      </w:r>
      <w:r>
        <w:rPr>
          <w:rFonts w:ascii="Consolas" w:hAnsi="Consolas"/>
          <w:color w:val="2A2A2A"/>
          <w:sz w:val="17"/>
        </w:rPr>
        <w:t>#   refit on FULL TRAIN at the early-stopped iteration count</w:t>
      </w:r>
      <w:r>
        <w:br/>
      </w:r>
      <w:r>
        <w:rPr>
          <w:rFonts w:ascii="Consolas" w:hAnsi="Consolas"/>
          <w:color w:val="2A2A2A"/>
          <w:sz w:val="17"/>
        </w:rPr>
        <w:t>#   VALIDATION is now used for threshold calibration only</w:t>
      </w:r>
    </w:p>
    <w:p>
      <w:r>
        <w:rPr>
          <w:b/>
          <w:i w:val="0"/>
        </w:rPr>
        <w:t xml:space="preserve">Consequence for the record: </w:t>
      </w:r>
      <w:r>
        <w:rPr>
          <w:b w:val="0"/>
          <w:i w:val="0"/>
        </w:rPr>
        <w:t>results produced before ce2010e are not numerically comparable to results after it. The 12 recorded tuning trials in EXP-20260818-001 select n_estimators=432, learning_rate=0.03, max_depth=8, subsample=1.0, colsample_bytree=0.8 on inner-holdout scores ranging 0.8298–0.8452.</w:t>
      </w:r>
    </w:p>
    <w:p>
      <w:r>
        <w:br w:type="page"/>
      </w:r>
    </w:p>
    <w:p>
      <w:pPr>
        <w:pStyle w:val="Heading1"/>
      </w:pPr>
      <w:r>
        <w:t>5. What the changes did to the results</w:t>
      </w:r>
    </w:p>
    <w:p>
      <w:pPr>
        <w:pStyle w:val="Heading2"/>
      </w:pPr>
      <w:r>
        <w:t>5.1 Accuracy: unchanged</w:t>
      </w:r>
    </w:p>
    <w:p>
      <w:r>
        <w:rPr>
          <w:b w:val="0"/>
          <w:i w:val="0"/>
        </w:rPr>
        <w:t>The headline RQ1 slice is monitoring_healthy (ADR-022): 538,045 of 740,463 monitoring rows, 72.66% retention after excluding alarm periods (100,159 rows), below-minimum active power (100,300), the author-designated event span (1,772) and a designated artefact (187).</w:t>
      </w:r>
    </w:p>
    <w:tbl>
      <w:tblPr>
        <w:tblStyle w:val="TableGrid"/>
        <w:tblW w:type="auto" w:w="0"/>
        <w:jc w:val="center"/>
        <w:tblLook w:firstColumn="1" w:firstRow="1" w:lastColumn="0" w:lastRow="0" w:noHBand="0" w:noVBand="1" w:val="04A0"/>
      </w:tblPr>
      <w:tblGrid>
        <w:gridCol w:w="1147"/>
        <w:gridCol w:w="1147"/>
        <w:gridCol w:w="1147"/>
        <w:gridCol w:w="1147"/>
        <w:gridCol w:w="1147"/>
        <w:gridCol w:w="1147"/>
        <w:gridCol w:w="1147"/>
        <w:gridCol w:w="1147"/>
      </w:tblGrid>
      <w:tr>
        <w:tc>
          <w:tcPr>
            <w:tcW w:type="dxa" w:w="1656"/>
            <w:shd w:val="clear" w:fill="1F406B"/>
          </w:tcPr>
          <w:p>
            <w:pPr>
              <w:spacing w:after="20" w:before="20"/>
            </w:pPr>
            <w:r/>
            <w:r>
              <w:rPr>
                <w:b/>
                <w:color w:val="FFFFFF"/>
                <w:sz w:val="16"/>
              </w:rPr>
              <w:t>Model</w:t>
            </w:r>
          </w:p>
        </w:tc>
        <w:tc>
          <w:tcPr>
            <w:tcW w:type="dxa" w:w="864"/>
            <w:shd w:val="clear" w:fill="1F406B"/>
          </w:tcPr>
          <w:p>
            <w:pPr>
              <w:spacing w:after="20" w:before="20"/>
            </w:pPr>
            <w:r/>
            <w:r>
              <w:rPr>
                <w:b/>
                <w:color w:val="FFFFFF"/>
                <w:sz w:val="16"/>
              </w:rPr>
              <w:t>Target</w:t>
            </w:r>
          </w:p>
        </w:tc>
        <w:tc>
          <w:tcPr>
            <w:tcW w:type="dxa" w:w="1037"/>
            <w:shd w:val="clear" w:fill="1F406B"/>
          </w:tcPr>
          <w:p>
            <w:pPr>
              <w:spacing w:after="20" w:before="20"/>
            </w:pPr>
            <w:r/>
            <w:r>
              <w:rPr>
                <w:b/>
                <w:color w:val="FFFFFF"/>
                <w:sz w:val="16"/>
              </w:rPr>
              <w:t>RMSE (°C)</w:t>
            </w:r>
          </w:p>
        </w:tc>
        <w:tc>
          <w:tcPr>
            <w:tcW w:type="dxa" w:w="1512"/>
            <w:shd w:val="clear" w:fill="1F406B"/>
          </w:tcPr>
          <w:p>
            <w:pPr>
              <w:spacing w:after="20" w:before="20"/>
            </w:pPr>
            <w:r/>
            <w:r>
              <w:rPr>
                <w:b/>
                <w:color w:val="FFFFFF"/>
                <w:sz w:val="16"/>
              </w:rPr>
              <w:t>95% panel CI</w:t>
            </w:r>
          </w:p>
        </w:tc>
        <w:tc>
          <w:tcPr>
            <w:tcW w:type="dxa" w:w="893"/>
            <w:shd w:val="clear" w:fill="1F406B"/>
          </w:tcPr>
          <w:p>
            <w:pPr>
              <w:spacing w:after="20" w:before="20"/>
            </w:pPr>
            <w:r/>
            <w:r>
              <w:rPr>
                <w:b/>
                <w:color w:val="FFFFFF"/>
                <w:sz w:val="16"/>
              </w:rPr>
              <w:t>Reliable?</w:t>
            </w:r>
          </w:p>
        </w:tc>
        <w:tc>
          <w:tcPr>
            <w:tcW w:type="dxa" w:w="893"/>
            <w:shd w:val="clear" w:fill="1F406B"/>
          </w:tcPr>
          <w:p>
            <w:pPr>
              <w:spacing w:after="20" w:before="20"/>
            </w:pPr>
            <w:r/>
            <w:r>
              <w:rPr>
                <w:b/>
                <w:color w:val="FFFFFF"/>
                <w:sz w:val="16"/>
              </w:rPr>
              <w:t>min blocks</w:t>
            </w:r>
          </w:p>
        </w:tc>
        <w:tc>
          <w:tcPr>
            <w:tcW w:type="dxa" w:w="864"/>
            <w:shd w:val="clear" w:fill="1F406B"/>
          </w:tcPr>
          <w:p>
            <w:pPr>
              <w:spacing w:after="20" w:before="20"/>
            </w:pPr>
            <w:r/>
            <w:r>
              <w:rPr>
                <w:b/>
                <w:color w:val="FFFFFF"/>
                <w:sz w:val="16"/>
              </w:rPr>
              <w:t>R²</w:t>
            </w:r>
          </w:p>
        </w:tc>
        <w:tc>
          <w:tcPr>
            <w:tcW w:type="dxa" w:w="792"/>
            <w:shd w:val="clear" w:fill="1F406B"/>
          </w:tcPr>
          <w:p>
            <w:pPr>
              <w:spacing w:after="20" w:before="20"/>
            </w:pPr>
            <w:r/>
            <w:r>
              <w:rPr>
                <w:b/>
                <w:color w:val="FFFFFF"/>
                <w:sz w:val="16"/>
              </w:rPr>
              <w:t>MAE</w:t>
            </w:r>
          </w:p>
        </w:tc>
      </w:tr>
      <w:tr>
        <w:tc>
          <w:tcPr>
            <w:tcW w:type="dxa" w:w="1656"/>
          </w:tcPr>
          <w:p>
            <w:pPr>
              <w:spacing w:after="20" w:before="20"/>
            </w:pPr>
            <w:r/>
            <w:r>
              <w:rPr>
                <w:sz w:val="16"/>
              </w:rPr>
              <w:t>thesis (XGBoost)</w:t>
            </w:r>
          </w:p>
        </w:tc>
        <w:tc>
          <w:tcPr>
            <w:tcW w:type="dxa" w:w="864"/>
          </w:tcPr>
          <w:p>
            <w:pPr>
              <w:spacing w:after="20" w:before="20"/>
            </w:pPr>
            <w:r/>
            <w:r>
              <w:rPr>
                <w:sz w:val="16"/>
              </w:rPr>
              <w:t>bearing</w:t>
            </w:r>
          </w:p>
        </w:tc>
        <w:tc>
          <w:tcPr>
            <w:tcW w:type="dxa" w:w="1037"/>
          </w:tcPr>
          <w:p>
            <w:pPr>
              <w:spacing w:after="20" w:before="20"/>
            </w:pPr>
            <w:r/>
            <w:r>
              <w:rPr>
                <w:b/>
                <w:color w:val="1B5E20"/>
                <w:sz w:val="16"/>
              </w:rPr>
              <w:t>2.1647</w:t>
            </w:r>
          </w:p>
        </w:tc>
        <w:tc>
          <w:tcPr>
            <w:tcW w:type="dxa" w:w="1512"/>
          </w:tcPr>
          <w:p>
            <w:pPr>
              <w:spacing w:after="20" w:before="20"/>
            </w:pPr>
            <w:r/>
            <w:r>
              <w:rPr>
                <w:sz w:val="16"/>
              </w:rPr>
              <w:t>[2.1245, 2.2095]</w:t>
            </w:r>
          </w:p>
        </w:tc>
        <w:tc>
          <w:tcPr>
            <w:tcW w:type="dxa" w:w="893"/>
          </w:tcPr>
          <w:p>
            <w:pPr>
              <w:spacing w:after="20" w:before="20"/>
            </w:pPr>
            <w:r/>
            <w:r>
              <w:rPr>
                <w:sz w:val="16"/>
              </w:rPr>
              <w:t>Yes</w:t>
            </w:r>
          </w:p>
        </w:tc>
        <w:tc>
          <w:tcPr>
            <w:tcW w:type="dxa" w:w="893"/>
          </w:tcPr>
          <w:p>
            <w:pPr>
              <w:spacing w:after="20" w:before="20"/>
            </w:pPr>
            <w:r/>
            <w:r>
              <w:rPr>
                <w:sz w:val="16"/>
              </w:rPr>
              <w:t>106</w:t>
            </w:r>
          </w:p>
        </w:tc>
        <w:tc>
          <w:tcPr>
            <w:tcW w:type="dxa" w:w="864"/>
          </w:tcPr>
          <w:p>
            <w:pPr>
              <w:spacing w:after="20" w:before="20"/>
            </w:pPr>
            <w:r/>
            <w:r>
              <w:rPr>
                <w:sz w:val="16"/>
              </w:rPr>
              <w:t>0.6619</w:t>
            </w:r>
          </w:p>
        </w:tc>
        <w:tc>
          <w:tcPr>
            <w:tcW w:type="dxa" w:w="792"/>
          </w:tcPr>
          <w:p>
            <w:pPr>
              <w:spacing w:after="20" w:before="20"/>
            </w:pPr>
            <w:r/>
            <w:r>
              <w:rPr>
                <w:sz w:val="16"/>
              </w:rPr>
              <w:t>1.5170</w:t>
            </w:r>
          </w:p>
        </w:tc>
      </w:tr>
      <w:tr>
        <w:tc>
          <w:tcPr>
            <w:tcW w:type="dxa" w:w="1656"/>
            <w:shd w:val="clear" w:fill="F1F4F8"/>
          </w:tcPr>
          <w:p>
            <w:pPr>
              <w:spacing w:after="20" w:before="20"/>
            </w:pPr>
            <w:r/>
            <w:r>
              <w:rPr>
                <w:sz w:val="16"/>
              </w:rPr>
              <w:t>elastic_net</w:t>
            </w:r>
          </w:p>
        </w:tc>
        <w:tc>
          <w:tcPr>
            <w:tcW w:type="dxa" w:w="864"/>
            <w:shd w:val="clear" w:fill="F1F4F8"/>
          </w:tcPr>
          <w:p>
            <w:pPr>
              <w:spacing w:after="20" w:before="20"/>
            </w:pPr>
            <w:r/>
            <w:r>
              <w:rPr>
                <w:sz w:val="16"/>
              </w:rPr>
              <w:t>bearing</w:t>
            </w:r>
          </w:p>
        </w:tc>
        <w:tc>
          <w:tcPr>
            <w:tcW w:type="dxa" w:w="1037"/>
            <w:shd w:val="clear" w:fill="F1F4F8"/>
          </w:tcPr>
          <w:p>
            <w:pPr>
              <w:spacing w:after="20" w:before="20"/>
            </w:pPr>
            <w:r/>
            <w:r>
              <w:rPr>
                <w:sz w:val="16"/>
              </w:rPr>
              <w:t>2.5555</w:t>
            </w:r>
          </w:p>
        </w:tc>
        <w:tc>
          <w:tcPr>
            <w:tcW w:type="dxa" w:w="1512"/>
            <w:shd w:val="clear" w:fill="F1F4F8"/>
          </w:tcPr>
          <w:p>
            <w:pPr>
              <w:spacing w:after="20" w:before="20"/>
            </w:pPr>
            <w:r/>
            <w:r>
              <w:rPr>
                <w:sz w:val="16"/>
              </w:rPr>
              <w:t>[2.5102, 2.6099]</w:t>
            </w:r>
          </w:p>
        </w:tc>
        <w:tc>
          <w:tcPr>
            <w:tcW w:type="dxa" w:w="893"/>
            <w:shd w:val="clear" w:fill="F1F4F8"/>
          </w:tcPr>
          <w:p>
            <w:pPr>
              <w:spacing w:after="20" w:before="20"/>
            </w:pPr>
            <w:r/>
            <w:r>
              <w:rPr>
                <w:b/>
                <w:color w:val="8A5A00"/>
                <w:sz w:val="16"/>
              </w:rPr>
              <w:t>No</w:t>
            </w:r>
          </w:p>
        </w:tc>
        <w:tc>
          <w:tcPr>
            <w:tcW w:type="dxa" w:w="893"/>
            <w:shd w:val="clear" w:fill="F1F4F8"/>
          </w:tcPr>
          <w:p>
            <w:pPr>
              <w:spacing w:after="20" w:before="20"/>
            </w:pPr>
            <w:r/>
            <w:r>
              <w:rPr>
                <w:sz w:val="16"/>
              </w:rPr>
              <w:t>25</w:t>
            </w:r>
          </w:p>
        </w:tc>
        <w:tc>
          <w:tcPr>
            <w:tcW w:type="dxa" w:w="864"/>
            <w:shd w:val="clear" w:fill="F1F4F8"/>
          </w:tcPr>
          <w:p>
            <w:pPr>
              <w:spacing w:after="20" w:before="20"/>
            </w:pPr>
            <w:r/>
            <w:r>
              <w:rPr>
                <w:sz w:val="16"/>
              </w:rPr>
              <w:t>0.5288</w:t>
            </w:r>
          </w:p>
        </w:tc>
        <w:tc>
          <w:tcPr>
            <w:tcW w:type="dxa" w:w="792"/>
            <w:shd w:val="clear" w:fill="F1F4F8"/>
          </w:tcPr>
          <w:p>
            <w:pPr>
              <w:spacing w:after="20" w:before="20"/>
            </w:pPr>
            <w:r/>
            <w:r>
              <w:rPr>
                <w:sz w:val="16"/>
              </w:rPr>
              <w:t>1.8596</w:t>
            </w:r>
          </w:p>
        </w:tc>
      </w:tr>
      <w:tr>
        <w:tc>
          <w:tcPr>
            <w:tcW w:type="dxa" w:w="1656"/>
          </w:tcPr>
          <w:p>
            <w:pPr>
              <w:spacing w:after="20" w:before="20"/>
            </w:pPr>
            <w:r/>
            <w:r>
              <w:rPr>
                <w:sz w:val="16"/>
              </w:rPr>
              <w:t>baseline (OLS)</w:t>
            </w:r>
          </w:p>
        </w:tc>
        <w:tc>
          <w:tcPr>
            <w:tcW w:type="dxa" w:w="864"/>
          </w:tcPr>
          <w:p>
            <w:pPr>
              <w:spacing w:after="20" w:before="20"/>
            </w:pPr>
            <w:r/>
            <w:r>
              <w:rPr>
                <w:sz w:val="16"/>
              </w:rPr>
              <w:t>bearing</w:t>
            </w:r>
          </w:p>
        </w:tc>
        <w:tc>
          <w:tcPr>
            <w:tcW w:type="dxa" w:w="1037"/>
          </w:tcPr>
          <w:p>
            <w:pPr>
              <w:spacing w:after="20" w:before="20"/>
            </w:pPr>
            <w:r/>
            <w:r>
              <w:rPr>
                <w:sz w:val="16"/>
              </w:rPr>
              <w:t>2.5635</w:t>
            </w:r>
          </w:p>
        </w:tc>
        <w:tc>
          <w:tcPr>
            <w:tcW w:type="dxa" w:w="1512"/>
          </w:tcPr>
          <w:p>
            <w:pPr>
              <w:spacing w:after="20" w:before="20"/>
            </w:pPr>
            <w:r/>
            <w:r>
              <w:rPr>
                <w:sz w:val="16"/>
              </w:rPr>
              <w:t>[2.5142, 2.6201]</w:t>
            </w:r>
          </w:p>
        </w:tc>
        <w:tc>
          <w:tcPr>
            <w:tcW w:type="dxa" w:w="893"/>
          </w:tcPr>
          <w:p>
            <w:pPr>
              <w:spacing w:after="20" w:before="20"/>
            </w:pPr>
            <w:r/>
            <w:r>
              <w:rPr>
                <w:b/>
                <w:color w:val="8A5A00"/>
                <w:sz w:val="16"/>
              </w:rPr>
              <w:t>No</w:t>
            </w:r>
          </w:p>
        </w:tc>
        <w:tc>
          <w:tcPr>
            <w:tcW w:type="dxa" w:w="893"/>
          </w:tcPr>
          <w:p>
            <w:pPr>
              <w:spacing w:after="20" w:before="20"/>
            </w:pPr>
            <w:r/>
            <w:r>
              <w:rPr>
                <w:sz w:val="16"/>
              </w:rPr>
              <w:t>25</w:t>
            </w:r>
          </w:p>
        </w:tc>
        <w:tc>
          <w:tcPr>
            <w:tcW w:type="dxa" w:w="864"/>
          </w:tcPr>
          <w:p>
            <w:pPr>
              <w:spacing w:after="20" w:before="20"/>
            </w:pPr>
            <w:r/>
            <w:r>
              <w:rPr>
                <w:sz w:val="16"/>
              </w:rPr>
              <w:t>0.5259</w:t>
            </w:r>
          </w:p>
        </w:tc>
        <w:tc>
          <w:tcPr>
            <w:tcW w:type="dxa" w:w="792"/>
          </w:tcPr>
          <w:p>
            <w:pPr>
              <w:spacing w:after="20" w:before="20"/>
            </w:pPr>
            <w:r/>
            <w:r>
              <w:rPr>
                <w:sz w:val="16"/>
              </w:rPr>
              <w:t>1.8754</w:t>
            </w:r>
          </w:p>
        </w:tc>
      </w:tr>
      <w:tr>
        <w:tc>
          <w:tcPr>
            <w:tcW w:type="dxa" w:w="1656"/>
            <w:shd w:val="clear" w:fill="F1F4F8"/>
          </w:tcPr>
          <w:p>
            <w:pPr>
              <w:spacing w:after="20" w:before="20"/>
            </w:pPr>
            <w:r/>
            <w:r>
              <w:rPr>
                <w:sz w:val="16"/>
              </w:rPr>
              <w:t>thesis (XGBoost)</w:t>
            </w:r>
          </w:p>
        </w:tc>
        <w:tc>
          <w:tcPr>
            <w:tcW w:type="dxa" w:w="864"/>
            <w:shd w:val="clear" w:fill="F1F4F8"/>
          </w:tcPr>
          <w:p>
            <w:pPr>
              <w:spacing w:after="20" w:before="20"/>
            </w:pPr>
            <w:r/>
            <w:r>
              <w:rPr>
                <w:sz w:val="16"/>
              </w:rPr>
              <w:t>oil</w:t>
            </w:r>
          </w:p>
        </w:tc>
        <w:tc>
          <w:tcPr>
            <w:tcW w:type="dxa" w:w="1037"/>
            <w:shd w:val="clear" w:fill="F1F4F8"/>
          </w:tcPr>
          <w:p>
            <w:pPr>
              <w:spacing w:after="20" w:before="20"/>
            </w:pPr>
            <w:r/>
            <w:r>
              <w:rPr>
                <w:b/>
                <w:color w:val="1B5E20"/>
                <w:sz w:val="16"/>
              </w:rPr>
              <w:t>2.6904</w:t>
            </w:r>
          </w:p>
        </w:tc>
        <w:tc>
          <w:tcPr>
            <w:tcW w:type="dxa" w:w="1512"/>
            <w:shd w:val="clear" w:fill="F1F4F8"/>
          </w:tcPr>
          <w:p>
            <w:pPr>
              <w:spacing w:after="20" w:before="20"/>
            </w:pPr>
            <w:r/>
            <w:r>
              <w:rPr>
                <w:sz w:val="16"/>
              </w:rPr>
              <w:t>[2.6390, 2.7476]</w:t>
            </w:r>
          </w:p>
        </w:tc>
        <w:tc>
          <w:tcPr>
            <w:tcW w:type="dxa" w:w="893"/>
            <w:shd w:val="clear" w:fill="F1F4F8"/>
          </w:tcPr>
          <w:p>
            <w:pPr>
              <w:spacing w:after="20" w:before="20"/>
            </w:pPr>
            <w:r/>
            <w:r>
              <w:rPr>
                <w:sz w:val="16"/>
              </w:rPr>
              <w:t>Yes</w:t>
            </w:r>
          </w:p>
        </w:tc>
        <w:tc>
          <w:tcPr>
            <w:tcW w:type="dxa" w:w="893"/>
            <w:shd w:val="clear" w:fill="F1F4F8"/>
          </w:tcPr>
          <w:p>
            <w:pPr>
              <w:spacing w:after="20" w:before="20"/>
            </w:pPr>
            <w:r/>
            <w:r>
              <w:rPr>
                <w:sz w:val="16"/>
              </w:rPr>
              <w:t>169</w:t>
            </w:r>
          </w:p>
        </w:tc>
        <w:tc>
          <w:tcPr>
            <w:tcW w:type="dxa" w:w="864"/>
            <w:shd w:val="clear" w:fill="F1F4F8"/>
          </w:tcPr>
          <w:p>
            <w:pPr>
              <w:spacing w:after="20" w:before="20"/>
            </w:pPr>
            <w:r/>
            <w:r>
              <w:rPr>
                <w:sz w:val="16"/>
              </w:rPr>
              <w:t>0.4950</w:t>
            </w:r>
          </w:p>
        </w:tc>
        <w:tc>
          <w:tcPr>
            <w:tcW w:type="dxa" w:w="792"/>
            <w:shd w:val="clear" w:fill="F1F4F8"/>
          </w:tcPr>
          <w:p>
            <w:pPr>
              <w:spacing w:after="20" w:before="20"/>
            </w:pPr>
            <w:r/>
            <w:r>
              <w:rPr>
                <w:sz w:val="16"/>
              </w:rPr>
              <w:t>1.8454</w:t>
            </w:r>
          </w:p>
        </w:tc>
      </w:tr>
      <w:tr>
        <w:tc>
          <w:tcPr>
            <w:tcW w:type="dxa" w:w="1656"/>
          </w:tcPr>
          <w:p>
            <w:pPr>
              <w:spacing w:after="20" w:before="20"/>
            </w:pPr>
            <w:r/>
            <w:r>
              <w:rPr>
                <w:sz w:val="16"/>
              </w:rPr>
              <w:t>elastic_net</w:t>
            </w:r>
          </w:p>
        </w:tc>
        <w:tc>
          <w:tcPr>
            <w:tcW w:type="dxa" w:w="864"/>
          </w:tcPr>
          <w:p>
            <w:pPr>
              <w:spacing w:after="20" w:before="20"/>
            </w:pPr>
            <w:r/>
            <w:r>
              <w:rPr>
                <w:sz w:val="16"/>
              </w:rPr>
              <w:t>oil</w:t>
            </w:r>
          </w:p>
        </w:tc>
        <w:tc>
          <w:tcPr>
            <w:tcW w:type="dxa" w:w="1037"/>
          </w:tcPr>
          <w:p>
            <w:pPr>
              <w:spacing w:after="20" w:before="20"/>
            </w:pPr>
            <w:r/>
            <w:r>
              <w:rPr>
                <w:sz w:val="16"/>
              </w:rPr>
              <w:t>2.9286</w:t>
            </w:r>
          </w:p>
        </w:tc>
        <w:tc>
          <w:tcPr>
            <w:tcW w:type="dxa" w:w="1512"/>
          </w:tcPr>
          <w:p>
            <w:pPr>
              <w:spacing w:after="20" w:before="20"/>
            </w:pPr>
            <w:r/>
            <w:r>
              <w:rPr>
                <w:sz w:val="16"/>
              </w:rPr>
              <w:t>[2.8643, 3.0017]</w:t>
            </w:r>
          </w:p>
        </w:tc>
        <w:tc>
          <w:tcPr>
            <w:tcW w:type="dxa" w:w="893"/>
          </w:tcPr>
          <w:p>
            <w:pPr>
              <w:spacing w:after="20" w:before="20"/>
            </w:pPr>
            <w:r/>
            <w:r>
              <w:rPr>
                <w:sz w:val="16"/>
              </w:rPr>
              <w:t>Yes</w:t>
            </w:r>
          </w:p>
        </w:tc>
        <w:tc>
          <w:tcPr>
            <w:tcW w:type="dxa" w:w="893"/>
          </w:tcPr>
          <w:p>
            <w:pPr>
              <w:spacing w:after="20" w:before="20"/>
            </w:pPr>
            <w:r/>
            <w:r>
              <w:rPr>
                <w:sz w:val="16"/>
              </w:rPr>
              <w:t>49</w:t>
            </w:r>
          </w:p>
        </w:tc>
        <w:tc>
          <w:tcPr>
            <w:tcW w:type="dxa" w:w="864"/>
          </w:tcPr>
          <w:p>
            <w:pPr>
              <w:spacing w:after="20" w:before="20"/>
            </w:pPr>
            <w:r/>
            <w:r>
              <w:rPr>
                <w:sz w:val="16"/>
              </w:rPr>
              <w:t>0.4016</w:t>
            </w:r>
          </w:p>
        </w:tc>
        <w:tc>
          <w:tcPr>
            <w:tcW w:type="dxa" w:w="792"/>
          </w:tcPr>
          <w:p>
            <w:pPr>
              <w:spacing w:after="20" w:before="20"/>
            </w:pPr>
            <w:r/>
            <w:r>
              <w:rPr>
                <w:sz w:val="16"/>
              </w:rPr>
              <w:t>2.1274</w:t>
            </w:r>
          </w:p>
        </w:tc>
      </w:tr>
      <w:tr>
        <w:tc>
          <w:tcPr>
            <w:tcW w:type="dxa" w:w="1656"/>
            <w:shd w:val="clear" w:fill="F1F4F8"/>
          </w:tcPr>
          <w:p>
            <w:pPr>
              <w:spacing w:after="20" w:before="20"/>
            </w:pPr>
            <w:r/>
            <w:r>
              <w:rPr>
                <w:sz w:val="16"/>
              </w:rPr>
              <w:t>baseline (OLS)</w:t>
            </w:r>
          </w:p>
        </w:tc>
        <w:tc>
          <w:tcPr>
            <w:tcW w:type="dxa" w:w="864"/>
            <w:shd w:val="clear" w:fill="F1F4F8"/>
          </w:tcPr>
          <w:p>
            <w:pPr>
              <w:spacing w:after="20" w:before="20"/>
            </w:pPr>
            <w:r/>
            <w:r>
              <w:rPr>
                <w:sz w:val="16"/>
              </w:rPr>
              <w:t>oil</w:t>
            </w:r>
          </w:p>
        </w:tc>
        <w:tc>
          <w:tcPr>
            <w:tcW w:type="dxa" w:w="1037"/>
            <w:shd w:val="clear" w:fill="F1F4F8"/>
          </w:tcPr>
          <w:p>
            <w:pPr>
              <w:spacing w:after="20" w:before="20"/>
            </w:pPr>
            <w:r/>
            <w:r>
              <w:rPr>
                <w:sz w:val="16"/>
              </w:rPr>
              <w:t>2.9165</w:t>
            </w:r>
          </w:p>
        </w:tc>
        <w:tc>
          <w:tcPr>
            <w:tcW w:type="dxa" w:w="1512"/>
            <w:shd w:val="clear" w:fill="F1F4F8"/>
          </w:tcPr>
          <w:p>
            <w:pPr>
              <w:spacing w:after="20" w:before="20"/>
            </w:pPr>
            <w:r/>
            <w:r>
              <w:rPr>
                <w:sz w:val="16"/>
              </w:rPr>
              <w:t>[2.8546, 2.9876]</w:t>
            </w:r>
          </w:p>
        </w:tc>
        <w:tc>
          <w:tcPr>
            <w:tcW w:type="dxa" w:w="893"/>
            <w:shd w:val="clear" w:fill="F1F4F8"/>
          </w:tcPr>
          <w:p>
            <w:pPr>
              <w:spacing w:after="20" w:before="20"/>
            </w:pPr>
            <w:r/>
            <w:r>
              <w:rPr>
                <w:sz w:val="16"/>
              </w:rPr>
              <w:t>Yes</w:t>
            </w:r>
          </w:p>
        </w:tc>
        <w:tc>
          <w:tcPr>
            <w:tcW w:type="dxa" w:w="893"/>
            <w:shd w:val="clear" w:fill="F1F4F8"/>
          </w:tcPr>
          <w:p>
            <w:pPr>
              <w:spacing w:after="20" w:before="20"/>
            </w:pPr>
            <w:r/>
            <w:r>
              <w:rPr>
                <w:sz w:val="16"/>
              </w:rPr>
              <w:t>39</w:t>
            </w:r>
          </w:p>
        </w:tc>
        <w:tc>
          <w:tcPr>
            <w:tcW w:type="dxa" w:w="864"/>
            <w:shd w:val="clear" w:fill="F1F4F8"/>
          </w:tcPr>
          <w:p>
            <w:pPr>
              <w:spacing w:after="20" w:before="20"/>
            </w:pPr>
            <w:r/>
            <w:r>
              <w:rPr>
                <w:sz w:val="16"/>
              </w:rPr>
              <w:t>0.4065</w:t>
            </w:r>
          </w:p>
        </w:tc>
        <w:tc>
          <w:tcPr>
            <w:tcW w:type="dxa" w:w="792"/>
            <w:shd w:val="clear" w:fill="F1F4F8"/>
          </w:tcPr>
          <w:p>
            <w:pPr>
              <w:spacing w:after="20" w:before="20"/>
            </w:pPr>
            <w:r/>
            <w:r>
              <w:rPr>
                <w:sz w:val="16"/>
              </w:rPr>
              <w:t>2.1115</w:t>
            </w:r>
          </w:p>
        </w:tc>
      </w:tr>
    </w:tbl>
    <w:p>
      <w:pPr>
        <w:spacing w:after="40"/>
      </w:pPr>
    </w:p>
    <w:p>
      <w:r>
        <w:rPr>
          <w:b w:val="0"/>
          <w:i/>
          <w:color w:val="5A5A5A"/>
          <w:sz w:val="17"/>
        </w:rPr>
        <w:t>Source: artifacts/EXP-20260818-001/evaluation/first_run_summary.json, rq1_metrics_with_cis.monitoring_healthy.</w:t>
      </w:r>
    </w:p>
    <w:p>
      <w:pPr>
        <w:pStyle w:val="Heading2"/>
      </w:pPr>
      <w:r>
        <w:t>5.2 The panel bootstrap strengthened RQ1</w:t>
      </w:r>
    </w:p>
    <w:p>
      <w:r>
        <w:rPr>
          <w:b w:val="0"/>
          <w:i w:val="0"/>
        </w:rPr>
        <w:t xml:space="preserve">This is the one place where a remediation fix changed a scientific conclusion in the project's favour. Under the previous </w:t>
      </w:r>
      <w:r>
        <w:rPr>
          <w:b w:val="0"/>
          <w:i/>
        </w:rPr>
        <w:t>pooled</w:t>
      </w:r>
      <w:r>
        <w:rPr>
          <w:b w:val="0"/>
          <w:i w:val="0"/>
        </w:rPr>
        <w:t xml:space="preserve"> moving-block bootstrap, the oil-target intervals for the thesis model and the OLS baseline </w:t>
      </w:r>
      <w:r>
        <w:rPr>
          <w:b/>
          <w:i w:val="0"/>
          <w:color w:val="8A5A00"/>
        </w:rPr>
        <w:t>overlapped</w:t>
      </w:r>
      <w:r>
        <w:rPr>
          <w:b w:val="0"/>
          <w:i w:val="0"/>
        </w:rPr>
        <w:t xml:space="preserve">. Under the corrected per-turbine panel bootstrap (ADR-038) they are </w:t>
      </w:r>
      <w:r>
        <w:rPr>
          <w:b/>
          <w:i w:val="0"/>
          <w:color w:val="1B5E20"/>
        </w:rPr>
        <w:t>disjoint</w:t>
      </w:r>
      <w:r>
        <w:rPr>
          <w:b w:val="0"/>
          <w:i w:val="0"/>
        </w:rPr>
        <w:t>: [2.6390, 2.7476] vs [2.8546, 2.9876]. A claim that previously could not be made is now supported — by a fix that was made for correctness reasons, not to improve the result.</w:t>
      </w:r>
    </w:p>
    <w:tbl>
      <w:tblPr>
        <w:tblStyle w:val="TableGrid"/>
        <w:tblW w:type="auto" w:w="0"/>
        <w:tblLook w:firstColumn="1" w:firstRow="1" w:lastColumn="0" w:lastRow="0" w:noHBand="0" w:noVBand="1" w:val="04A0"/>
      </w:tblPr>
      <w:tblGrid>
        <w:gridCol w:w="9173"/>
      </w:tblGrid>
      <w:tr>
        <w:tc>
          <w:tcPr>
            <w:tcW w:type="dxa" w:w="9173"/>
            <w:shd w:val="clear" w:fill="FFF6E5"/>
          </w:tcPr>
          <w:p>
            <w:r/>
            <w:r>
              <w:rPr>
                <w:b/>
                <w:color w:val="8A5A00"/>
                <w:sz w:val="19"/>
              </w:rPr>
              <w:t>But the same fix disqualified two intervals</w:t>
            </w:r>
          </w:p>
          <w:p>
            <w:pPr>
              <w:spacing w:after="40"/>
            </w:pPr>
            <w:r>
              <w:rPr>
                <w:sz w:val="19"/>
              </w:rPr>
              <w:t>The bearing-target intervals for BOTH linear baselines are flagged unreliable: the fewest blocks in any single turbine is 25, below the MIN_RELIABLE_BLOCKS = 30 threshold, so the percentile interval rests on too few independent segments to be quoted as a confidence interval. The artifact records this as a caveat string rather than silently reporting the numbers. The thesis model is unaffected (106 and 169 blocks).</w:t>
            </w:r>
          </w:p>
        </w:tc>
      </w:tr>
    </w:tbl>
    <w:p>
      <w:pPr>
        <w:spacing w:after="40"/>
      </w:pPr>
    </w:p>
    <w:p>
      <w:pPr>
        <w:pStyle w:val="Heading2"/>
      </w:pPr>
      <w:r>
        <w:t>5.3 Significance: per-turbine Diebold–Mariano</w:t>
      </w:r>
    </w:p>
    <w:tbl>
      <w:tblPr>
        <w:tblStyle w:val="TableGrid"/>
        <w:tblW w:type="auto" w:w="0"/>
        <w:jc w:val="center"/>
        <w:tblLook w:firstColumn="1" w:firstRow="1" w:lastColumn="0" w:lastRow="0" w:noHBand="0" w:noVBand="1" w:val="04A0"/>
      </w:tblPr>
      <w:tblGrid>
        <w:gridCol w:w="1529"/>
        <w:gridCol w:w="1529"/>
        <w:gridCol w:w="1529"/>
        <w:gridCol w:w="1529"/>
        <w:gridCol w:w="1529"/>
        <w:gridCol w:w="1529"/>
      </w:tblGrid>
      <w:tr>
        <w:tc>
          <w:tcPr>
            <w:tcW w:type="dxa" w:w="2520"/>
            <w:shd w:val="clear" w:fill="1F406B"/>
          </w:tcPr>
          <w:p>
            <w:pPr>
              <w:spacing w:after="20" w:before="20"/>
            </w:pPr>
            <w:r/>
            <w:r>
              <w:rPr>
                <w:b/>
                <w:color w:val="FFFFFF"/>
                <w:sz w:val="16"/>
              </w:rPr>
              <w:t>Slice</w:t>
            </w:r>
          </w:p>
        </w:tc>
        <w:tc>
          <w:tcPr>
            <w:tcW w:type="dxa" w:w="936"/>
            <w:shd w:val="clear" w:fill="1F406B"/>
          </w:tcPr>
          <w:p>
            <w:pPr>
              <w:spacing w:after="20" w:before="20"/>
            </w:pPr>
            <w:r/>
            <w:r>
              <w:rPr>
                <w:b/>
                <w:color w:val="FFFFFF"/>
                <w:sz w:val="16"/>
              </w:rPr>
              <w:t>Target</w:t>
            </w:r>
          </w:p>
        </w:tc>
        <w:tc>
          <w:tcPr>
            <w:tcW w:type="dxa" w:w="1512"/>
            <w:shd w:val="clear" w:fill="1F406B"/>
          </w:tcPr>
          <w:p>
            <w:pPr>
              <w:spacing w:after="20" w:before="20"/>
            </w:pPr>
            <w:r/>
            <w:r>
              <w:rPr>
                <w:b/>
                <w:color w:val="FFFFFF"/>
                <w:sz w:val="16"/>
              </w:rPr>
              <w:t>Comparison</w:t>
            </w:r>
          </w:p>
        </w:tc>
        <w:tc>
          <w:tcPr>
            <w:tcW w:type="dxa" w:w="1224"/>
            <w:shd w:val="clear" w:fill="1F406B"/>
          </w:tcPr>
          <w:p>
            <w:pPr>
              <w:spacing w:after="20" w:before="20"/>
            </w:pPr>
            <w:r/>
            <w:r>
              <w:rPr>
                <w:b/>
                <w:color w:val="FFFFFF"/>
                <w:sz w:val="16"/>
              </w:rPr>
              <w:t>Favours thesis</w:t>
            </w:r>
          </w:p>
        </w:tc>
        <w:tc>
          <w:tcPr>
            <w:tcW w:type="dxa" w:w="1296"/>
            <w:shd w:val="clear" w:fill="1F406B"/>
          </w:tcPr>
          <w:p>
            <w:pPr>
              <w:spacing w:after="20" w:before="20"/>
            </w:pPr>
            <w:r/>
            <w:r>
              <w:rPr>
                <w:b/>
                <w:color w:val="FFFFFF"/>
                <w:sz w:val="16"/>
              </w:rPr>
              <w:t>Unanimous?</w:t>
            </w:r>
          </w:p>
        </w:tc>
        <w:tc>
          <w:tcPr>
            <w:tcW w:type="dxa" w:w="1224"/>
            <w:shd w:val="clear" w:fill="1F406B"/>
          </w:tcPr>
          <w:p>
            <w:pPr>
              <w:spacing w:after="20" w:before="20"/>
            </w:pPr>
            <w:r/>
            <w:r>
              <w:rPr>
                <w:b/>
                <w:color w:val="FFFFFF"/>
                <w:sz w:val="16"/>
              </w:rPr>
              <w:t>Weakest p</w:t>
            </w:r>
          </w:p>
        </w:tc>
      </w:tr>
      <w:tr>
        <w:tc>
          <w:tcPr>
            <w:tcW w:type="dxa" w:w="2520"/>
          </w:tcPr>
          <w:p>
            <w:pPr>
              <w:spacing w:after="20" w:before="20"/>
            </w:pPr>
            <w:r/>
            <w:r>
              <w:rPr>
                <w:sz w:val="16"/>
              </w:rPr>
              <w:t>monitoring_healthy (HEADLINE)</w:t>
            </w:r>
          </w:p>
        </w:tc>
        <w:tc>
          <w:tcPr>
            <w:tcW w:type="dxa" w:w="936"/>
          </w:tcPr>
          <w:p>
            <w:pPr>
              <w:spacing w:after="20" w:before="20"/>
            </w:pPr>
            <w:r/>
            <w:r>
              <w:rPr>
                <w:sz w:val="16"/>
              </w:rPr>
              <w:t>bearing</w:t>
            </w:r>
          </w:p>
        </w:tc>
        <w:tc>
          <w:tcPr>
            <w:tcW w:type="dxa" w:w="1512"/>
          </w:tcPr>
          <w:p>
            <w:pPr>
              <w:spacing w:after="20" w:before="20"/>
            </w:pPr>
            <w:r/>
            <w:r>
              <w:rPr>
                <w:sz w:val="16"/>
              </w:rPr>
              <w:t>vs OLS</w:t>
            </w:r>
          </w:p>
        </w:tc>
        <w:tc>
          <w:tcPr>
            <w:tcW w:type="dxa" w:w="1224"/>
          </w:tcPr>
          <w:p>
            <w:pPr>
              <w:spacing w:after="20" w:before="20"/>
            </w:pPr>
            <w:r/>
            <w:r>
              <w:rPr>
                <w:b/>
                <w:color w:val="1B5E20"/>
                <w:sz w:val="16"/>
              </w:rPr>
              <w:t>6 / 6</w:t>
            </w:r>
          </w:p>
        </w:tc>
        <w:tc>
          <w:tcPr>
            <w:tcW w:type="dxa" w:w="1296"/>
          </w:tcPr>
          <w:p>
            <w:pPr>
              <w:spacing w:after="20" w:before="20"/>
            </w:pPr>
            <w:r/>
            <w:r>
              <w:rPr>
                <w:sz w:val="16"/>
              </w:rPr>
              <w:t>Yes</w:t>
            </w:r>
          </w:p>
        </w:tc>
        <w:tc>
          <w:tcPr>
            <w:tcW w:type="dxa" w:w="1224"/>
          </w:tcPr>
          <w:p>
            <w:pPr>
              <w:spacing w:after="20" w:before="20"/>
            </w:pPr>
            <w:r/>
            <w:r>
              <w:rPr>
                <w:sz w:val="16"/>
              </w:rPr>
              <w:t>5.862e−14</w:t>
            </w:r>
          </w:p>
        </w:tc>
      </w:tr>
      <w:tr>
        <w:tc>
          <w:tcPr>
            <w:tcW w:type="dxa" w:w="2520"/>
            <w:shd w:val="clear" w:fill="F1F4F8"/>
          </w:tcPr>
          <w:p>
            <w:pPr>
              <w:spacing w:after="20" w:before="20"/>
            </w:pPr>
            <w:r/>
            <w:r>
              <w:rPr>
                <w:sz w:val="16"/>
              </w:rPr>
              <w:t>monitoring_healthy (HEADLINE)</w:t>
            </w:r>
          </w:p>
        </w:tc>
        <w:tc>
          <w:tcPr>
            <w:tcW w:type="dxa" w:w="936"/>
            <w:shd w:val="clear" w:fill="F1F4F8"/>
          </w:tcPr>
          <w:p>
            <w:pPr>
              <w:spacing w:after="20" w:before="20"/>
            </w:pPr>
            <w:r/>
            <w:r>
              <w:rPr>
                <w:sz w:val="16"/>
              </w:rPr>
              <w:t>bearing</w:t>
            </w:r>
          </w:p>
        </w:tc>
        <w:tc>
          <w:tcPr>
            <w:tcW w:type="dxa" w:w="1512"/>
            <w:shd w:val="clear" w:fill="F1F4F8"/>
          </w:tcPr>
          <w:p>
            <w:pPr>
              <w:spacing w:after="20" w:before="20"/>
            </w:pPr>
            <w:r/>
            <w:r>
              <w:rPr>
                <w:sz w:val="16"/>
              </w:rPr>
              <w:t>vs Elastic Net</w:t>
            </w:r>
          </w:p>
        </w:tc>
        <w:tc>
          <w:tcPr>
            <w:tcW w:type="dxa" w:w="1224"/>
            <w:shd w:val="clear" w:fill="F1F4F8"/>
          </w:tcPr>
          <w:p>
            <w:pPr>
              <w:spacing w:after="20" w:before="20"/>
            </w:pPr>
            <w:r/>
            <w:r>
              <w:rPr>
                <w:b/>
                <w:color w:val="1B5E20"/>
                <w:sz w:val="16"/>
              </w:rPr>
              <w:t>6 / 6</w:t>
            </w:r>
          </w:p>
        </w:tc>
        <w:tc>
          <w:tcPr>
            <w:tcW w:type="dxa" w:w="1296"/>
            <w:shd w:val="clear" w:fill="F1F4F8"/>
          </w:tcPr>
          <w:p>
            <w:pPr>
              <w:spacing w:after="20" w:before="20"/>
            </w:pPr>
            <w:r/>
            <w:r>
              <w:rPr>
                <w:sz w:val="16"/>
              </w:rPr>
              <w:t>Yes</w:t>
            </w:r>
          </w:p>
        </w:tc>
        <w:tc>
          <w:tcPr>
            <w:tcW w:type="dxa" w:w="1224"/>
            <w:shd w:val="clear" w:fill="F1F4F8"/>
          </w:tcPr>
          <w:p>
            <w:pPr>
              <w:spacing w:after="20" w:before="20"/>
            </w:pPr>
            <w:r/>
            <w:r>
              <w:rPr>
                <w:sz w:val="16"/>
              </w:rPr>
              <w:t>8.882e−16</w:t>
            </w:r>
          </w:p>
        </w:tc>
      </w:tr>
      <w:tr>
        <w:tc>
          <w:tcPr>
            <w:tcW w:type="dxa" w:w="2520"/>
          </w:tcPr>
          <w:p>
            <w:pPr>
              <w:spacing w:after="20" w:before="20"/>
            </w:pPr>
            <w:r/>
            <w:r>
              <w:rPr>
                <w:sz w:val="16"/>
              </w:rPr>
              <w:t>monitoring_healthy (HEADLINE)</w:t>
            </w:r>
          </w:p>
        </w:tc>
        <w:tc>
          <w:tcPr>
            <w:tcW w:type="dxa" w:w="936"/>
          </w:tcPr>
          <w:p>
            <w:pPr>
              <w:spacing w:after="20" w:before="20"/>
            </w:pPr>
            <w:r/>
            <w:r>
              <w:rPr>
                <w:sz w:val="16"/>
              </w:rPr>
              <w:t>oil</w:t>
            </w:r>
          </w:p>
        </w:tc>
        <w:tc>
          <w:tcPr>
            <w:tcW w:type="dxa" w:w="1512"/>
          </w:tcPr>
          <w:p>
            <w:pPr>
              <w:spacing w:after="20" w:before="20"/>
            </w:pPr>
            <w:r/>
            <w:r>
              <w:rPr>
                <w:sz w:val="16"/>
              </w:rPr>
              <w:t>vs OLS</w:t>
            </w:r>
          </w:p>
        </w:tc>
        <w:tc>
          <w:tcPr>
            <w:tcW w:type="dxa" w:w="1224"/>
          </w:tcPr>
          <w:p>
            <w:pPr>
              <w:spacing w:after="20" w:before="20"/>
            </w:pPr>
            <w:r/>
            <w:r>
              <w:rPr>
                <w:b/>
                <w:color w:val="1B5E20"/>
                <w:sz w:val="16"/>
              </w:rPr>
              <w:t>5 / 6</w:t>
            </w:r>
          </w:p>
        </w:tc>
        <w:tc>
          <w:tcPr>
            <w:tcW w:type="dxa" w:w="1296"/>
          </w:tcPr>
          <w:p>
            <w:pPr>
              <w:spacing w:after="20" w:before="20"/>
            </w:pPr>
            <w:r/>
            <w:r>
              <w:rPr>
                <w:sz w:val="16"/>
              </w:rPr>
              <w:t>No</w:t>
            </w:r>
          </w:p>
        </w:tc>
        <w:tc>
          <w:tcPr>
            <w:tcW w:type="dxa" w:w="1224"/>
          </w:tcPr>
          <w:p>
            <w:pPr>
              <w:spacing w:after="20" w:before="20"/>
            </w:pPr>
            <w:r/>
            <w:r>
              <w:rPr>
                <w:sz w:val="16"/>
              </w:rPr>
              <w:t>3.532e−04</w:t>
            </w:r>
          </w:p>
        </w:tc>
      </w:tr>
      <w:tr>
        <w:tc>
          <w:tcPr>
            <w:tcW w:type="dxa" w:w="2520"/>
            <w:shd w:val="clear" w:fill="F1F4F8"/>
          </w:tcPr>
          <w:p>
            <w:pPr>
              <w:spacing w:after="20" w:before="20"/>
            </w:pPr>
            <w:r/>
            <w:r>
              <w:rPr>
                <w:sz w:val="16"/>
              </w:rPr>
              <w:t>monitoring_healthy (HEADLINE)</w:t>
            </w:r>
          </w:p>
        </w:tc>
        <w:tc>
          <w:tcPr>
            <w:tcW w:type="dxa" w:w="936"/>
            <w:shd w:val="clear" w:fill="F1F4F8"/>
          </w:tcPr>
          <w:p>
            <w:pPr>
              <w:spacing w:after="20" w:before="20"/>
            </w:pPr>
            <w:r/>
            <w:r>
              <w:rPr>
                <w:sz w:val="16"/>
              </w:rPr>
              <w:t>oil</w:t>
            </w:r>
          </w:p>
        </w:tc>
        <w:tc>
          <w:tcPr>
            <w:tcW w:type="dxa" w:w="1512"/>
            <w:shd w:val="clear" w:fill="F1F4F8"/>
          </w:tcPr>
          <w:p>
            <w:pPr>
              <w:spacing w:after="20" w:before="20"/>
            </w:pPr>
            <w:r/>
            <w:r>
              <w:rPr>
                <w:sz w:val="16"/>
              </w:rPr>
              <w:t>vs Elastic Net</w:t>
            </w:r>
          </w:p>
        </w:tc>
        <w:tc>
          <w:tcPr>
            <w:tcW w:type="dxa" w:w="1224"/>
            <w:shd w:val="clear" w:fill="F1F4F8"/>
          </w:tcPr>
          <w:p>
            <w:pPr>
              <w:spacing w:after="20" w:before="20"/>
            </w:pPr>
            <w:r/>
            <w:r>
              <w:rPr>
                <w:b/>
                <w:color w:val="1B5E20"/>
                <w:sz w:val="16"/>
              </w:rPr>
              <w:t>5 / 6</w:t>
            </w:r>
          </w:p>
        </w:tc>
        <w:tc>
          <w:tcPr>
            <w:tcW w:type="dxa" w:w="1296"/>
            <w:shd w:val="clear" w:fill="F1F4F8"/>
          </w:tcPr>
          <w:p>
            <w:pPr>
              <w:spacing w:after="20" w:before="20"/>
            </w:pPr>
            <w:r/>
            <w:r>
              <w:rPr>
                <w:sz w:val="16"/>
              </w:rPr>
              <w:t>No</w:t>
            </w:r>
          </w:p>
        </w:tc>
        <w:tc>
          <w:tcPr>
            <w:tcW w:type="dxa" w:w="1224"/>
            <w:shd w:val="clear" w:fill="F1F4F8"/>
          </w:tcPr>
          <w:p>
            <w:pPr>
              <w:spacing w:after="20" w:before="20"/>
            </w:pPr>
            <w:r/>
            <w:r>
              <w:rPr>
                <w:sz w:val="16"/>
              </w:rPr>
              <w:t>7.763e−05</w:t>
            </w:r>
          </w:p>
        </w:tc>
      </w:tr>
      <w:tr>
        <w:tc>
          <w:tcPr>
            <w:tcW w:type="dxa" w:w="2520"/>
          </w:tcPr>
          <w:p>
            <w:pPr>
              <w:spacing w:after="20" w:before="20"/>
            </w:pPr>
            <w:r/>
            <w:r>
              <w:rPr>
                <w:sz w:val="16"/>
              </w:rPr>
              <w:t>validation</w:t>
            </w:r>
          </w:p>
        </w:tc>
        <w:tc>
          <w:tcPr>
            <w:tcW w:type="dxa" w:w="936"/>
          </w:tcPr>
          <w:p>
            <w:pPr>
              <w:spacing w:after="20" w:before="20"/>
            </w:pPr>
            <w:r/>
            <w:r>
              <w:rPr>
                <w:sz w:val="16"/>
              </w:rPr>
              <w:t>bearing</w:t>
            </w:r>
          </w:p>
        </w:tc>
        <w:tc>
          <w:tcPr>
            <w:tcW w:type="dxa" w:w="1512"/>
          </w:tcPr>
          <w:p>
            <w:pPr>
              <w:spacing w:after="20" w:before="20"/>
            </w:pPr>
            <w:r/>
            <w:r>
              <w:rPr>
                <w:sz w:val="16"/>
              </w:rPr>
              <w:t>vs OLS</w:t>
            </w:r>
          </w:p>
        </w:tc>
        <w:tc>
          <w:tcPr>
            <w:tcW w:type="dxa" w:w="1224"/>
          </w:tcPr>
          <w:p>
            <w:pPr>
              <w:spacing w:after="20" w:before="20"/>
            </w:pPr>
            <w:r/>
            <w:r>
              <w:rPr>
                <w:sz w:val="16"/>
              </w:rPr>
              <w:t>6 / 6</w:t>
            </w:r>
          </w:p>
        </w:tc>
        <w:tc>
          <w:tcPr>
            <w:tcW w:type="dxa" w:w="1296"/>
          </w:tcPr>
          <w:p>
            <w:pPr>
              <w:spacing w:after="20" w:before="20"/>
            </w:pPr>
            <w:r/>
            <w:r>
              <w:rPr>
                <w:sz w:val="16"/>
              </w:rPr>
              <w:t>Yes</w:t>
            </w:r>
          </w:p>
        </w:tc>
        <w:tc>
          <w:tcPr>
            <w:tcW w:type="dxa" w:w="1224"/>
          </w:tcPr>
          <w:p>
            <w:pPr>
              <w:spacing w:after="20" w:before="20"/>
            </w:pPr>
            <w:r/>
            <w:r>
              <w:rPr>
                <w:sz w:val="16"/>
              </w:rPr>
              <w:t>6.979e−06</w:t>
            </w:r>
          </w:p>
        </w:tc>
      </w:tr>
      <w:tr>
        <w:tc>
          <w:tcPr>
            <w:tcW w:type="dxa" w:w="2520"/>
            <w:shd w:val="clear" w:fill="F1F4F8"/>
          </w:tcPr>
          <w:p>
            <w:pPr>
              <w:spacing w:after="20" w:before="20"/>
            </w:pPr>
            <w:r/>
            <w:r>
              <w:rPr>
                <w:sz w:val="16"/>
              </w:rPr>
              <w:t>validation</w:t>
            </w:r>
          </w:p>
        </w:tc>
        <w:tc>
          <w:tcPr>
            <w:tcW w:type="dxa" w:w="936"/>
            <w:shd w:val="clear" w:fill="F1F4F8"/>
          </w:tcPr>
          <w:p>
            <w:pPr>
              <w:spacing w:after="20" w:before="20"/>
            </w:pPr>
            <w:r/>
            <w:r>
              <w:rPr>
                <w:sz w:val="16"/>
              </w:rPr>
              <w:t>oil</w:t>
            </w:r>
          </w:p>
        </w:tc>
        <w:tc>
          <w:tcPr>
            <w:tcW w:type="dxa" w:w="1512"/>
            <w:shd w:val="clear" w:fill="F1F4F8"/>
          </w:tcPr>
          <w:p>
            <w:pPr>
              <w:spacing w:after="20" w:before="20"/>
            </w:pPr>
            <w:r/>
            <w:r>
              <w:rPr>
                <w:sz w:val="16"/>
              </w:rPr>
              <w:t>vs OLS</w:t>
            </w:r>
          </w:p>
        </w:tc>
        <w:tc>
          <w:tcPr>
            <w:tcW w:type="dxa" w:w="1224"/>
            <w:shd w:val="clear" w:fill="F1F4F8"/>
          </w:tcPr>
          <w:p>
            <w:pPr>
              <w:spacing w:after="20" w:before="20"/>
            </w:pPr>
            <w:r/>
            <w:r>
              <w:rPr>
                <w:sz w:val="16"/>
              </w:rPr>
              <w:t>5 / 6</w:t>
            </w:r>
          </w:p>
        </w:tc>
        <w:tc>
          <w:tcPr>
            <w:tcW w:type="dxa" w:w="1296"/>
            <w:shd w:val="clear" w:fill="F1F4F8"/>
          </w:tcPr>
          <w:p>
            <w:pPr>
              <w:spacing w:after="20" w:before="20"/>
            </w:pPr>
            <w:r/>
            <w:r>
              <w:rPr>
                <w:sz w:val="16"/>
              </w:rPr>
              <w:t>No</w:t>
            </w:r>
          </w:p>
        </w:tc>
        <w:tc>
          <w:tcPr>
            <w:tcW w:type="dxa" w:w="1224"/>
            <w:shd w:val="clear" w:fill="F1F4F8"/>
          </w:tcPr>
          <w:p>
            <w:pPr>
              <w:spacing w:after="20" w:before="20"/>
            </w:pPr>
            <w:r/>
            <w:r>
              <w:rPr>
                <w:sz w:val="16"/>
              </w:rPr>
              <w:t>1.327e−01</w:t>
            </w:r>
          </w:p>
        </w:tc>
      </w:tr>
      <w:tr>
        <w:tc>
          <w:tcPr>
            <w:tcW w:type="dxa" w:w="2520"/>
          </w:tcPr>
          <w:p>
            <w:pPr>
              <w:spacing w:after="20" w:before="20"/>
            </w:pPr>
            <w:r/>
            <w:r>
              <w:rPr>
                <w:sz w:val="16"/>
              </w:rPr>
              <w:t>test (unfiltered)</w:t>
            </w:r>
          </w:p>
        </w:tc>
        <w:tc>
          <w:tcPr>
            <w:tcW w:type="dxa" w:w="936"/>
          </w:tcPr>
          <w:p>
            <w:pPr>
              <w:spacing w:after="20" w:before="20"/>
            </w:pPr>
            <w:r/>
            <w:r>
              <w:rPr>
                <w:sz w:val="16"/>
              </w:rPr>
              <w:t>bearing</w:t>
            </w:r>
          </w:p>
        </w:tc>
        <w:tc>
          <w:tcPr>
            <w:tcW w:type="dxa" w:w="1512"/>
          </w:tcPr>
          <w:p>
            <w:pPr>
              <w:spacing w:after="20" w:before="20"/>
            </w:pPr>
            <w:r/>
            <w:r>
              <w:rPr>
                <w:sz w:val="16"/>
              </w:rPr>
              <w:t>vs OLS</w:t>
            </w:r>
          </w:p>
        </w:tc>
        <w:tc>
          <w:tcPr>
            <w:tcW w:type="dxa" w:w="1224"/>
          </w:tcPr>
          <w:p>
            <w:pPr>
              <w:spacing w:after="20" w:before="20"/>
            </w:pPr>
            <w:r/>
            <w:r>
              <w:rPr>
                <w:b/>
                <w:color w:val="9B1C1C"/>
                <w:sz w:val="16"/>
              </w:rPr>
              <w:t>0 / 6</w:t>
            </w:r>
          </w:p>
        </w:tc>
        <w:tc>
          <w:tcPr>
            <w:tcW w:type="dxa" w:w="1296"/>
          </w:tcPr>
          <w:p>
            <w:pPr>
              <w:spacing w:after="20" w:before="20"/>
            </w:pPr>
            <w:r/>
            <w:r>
              <w:rPr>
                <w:b/>
                <w:color w:val="9B1C1C"/>
                <w:sz w:val="16"/>
              </w:rPr>
              <w:t>Yes (against)</w:t>
            </w:r>
          </w:p>
        </w:tc>
        <w:tc>
          <w:tcPr>
            <w:tcW w:type="dxa" w:w="1224"/>
          </w:tcPr>
          <w:p>
            <w:pPr>
              <w:spacing w:after="20" w:before="20"/>
            </w:pPr>
            <w:r/>
            <w:r>
              <w:rPr>
                <w:sz w:val="16"/>
              </w:rPr>
              <w:t>2.299e−02</w:t>
            </w:r>
          </w:p>
        </w:tc>
      </w:tr>
      <w:tr>
        <w:tc>
          <w:tcPr>
            <w:tcW w:type="dxa" w:w="2520"/>
            <w:shd w:val="clear" w:fill="F1F4F8"/>
          </w:tcPr>
          <w:p>
            <w:pPr>
              <w:spacing w:after="20" w:before="20"/>
            </w:pPr>
            <w:r/>
            <w:r>
              <w:rPr>
                <w:sz w:val="16"/>
              </w:rPr>
              <w:t>test (unfiltered)</w:t>
            </w:r>
          </w:p>
        </w:tc>
        <w:tc>
          <w:tcPr>
            <w:tcW w:type="dxa" w:w="936"/>
            <w:shd w:val="clear" w:fill="F1F4F8"/>
          </w:tcPr>
          <w:p>
            <w:pPr>
              <w:spacing w:after="20" w:before="20"/>
            </w:pPr>
            <w:r/>
            <w:r>
              <w:rPr>
                <w:sz w:val="16"/>
              </w:rPr>
              <w:t>oil</w:t>
            </w:r>
          </w:p>
        </w:tc>
        <w:tc>
          <w:tcPr>
            <w:tcW w:type="dxa" w:w="1512"/>
            <w:shd w:val="clear" w:fill="F1F4F8"/>
          </w:tcPr>
          <w:p>
            <w:pPr>
              <w:spacing w:after="20" w:before="20"/>
            </w:pPr>
            <w:r/>
            <w:r>
              <w:rPr>
                <w:sz w:val="16"/>
              </w:rPr>
              <w:t>vs OLS</w:t>
            </w:r>
          </w:p>
        </w:tc>
        <w:tc>
          <w:tcPr>
            <w:tcW w:type="dxa" w:w="1224"/>
            <w:shd w:val="clear" w:fill="F1F4F8"/>
          </w:tcPr>
          <w:p>
            <w:pPr>
              <w:spacing w:after="20" w:before="20"/>
            </w:pPr>
            <w:r/>
            <w:r>
              <w:rPr>
                <w:b/>
                <w:color w:val="9B1C1C"/>
                <w:sz w:val="16"/>
              </w:rPr>
              <w:t>0 / 6</w:t>
            </w:r>
          </w:p>
        </w:tc>
        <w:tc>
          <w:tcPr>
            <w:tcW w:type="dxa" w:w="1296"/>
            <w:shd w:val="clear" w:fill="F1F4F8"/>
          </w:tcPr>
          <w:p>
            <w:pPr>
              <w:spacing w:after="20" w:before="20"/>
            </w:pPr>
            <w:r/>
            <w:r>
              <w:rPr>
                <w:b/>
                <w:color w:val="9B1C1C"/>
                <w:sz w:val="16"/>
              </w:rPr>
              <w:t>Yes (against)</w:t>
            </w:r>
          </w:p>
        </w:tc>
        <w:tc>
          <w:tcPr>
            <w:tcW w:type="dxa" w:w="1224"/>
            <w:shd w:val="clear" w:fill="F1F4F8"/>
          </w:tcPr>
          <w:p>
            <w:pPr>
              <w:spacing w:after="20" w:before="20"/>
            </w:pPr>
            <w:r/>
            <w:r>
              <w:rPr>
                <w:sz w:val="16"/>
              </w:rPr>
              <w:t>3.122e−03</w:t>
            </w:r>
          </w:p>
        </w:tc>
      </w:tr>
    </w:tbl>
    <w:p>
      <w:pPr>
        <w:spacing w:after="40"/>
      </w:pPr>
    </w:p>
    <w:tbl>
      <w:tblPr>
        <w:tblStyle w:val="TableGrid"/>
        <w:tblW w:type="auto" w:w="0"/>
        <w:tblLook w:firstColumn="1" w:firstRow="1" w:lastColumn="0" w:lastRow="0" w:noHBand="0" w:noVBand="1" w:val="04A0"/>
      </w:tblPr>
      <w:tblGrid>
        <w:gridCol w:w="9173"/>
      </w:tblGrid>
      <w:tr>
        <w:tc>
          <w:tcPr>
            <w:tcW w:type="dxa" w:w="9173"/>
            <w:shd w:val="clear" w:fill="EDF7EE"/>
          </w:tcPr>
          <w:p>
            <w:r/>
            <w:r>
              <w:rPr>
                <w:b/>
                <w:color w:val="1B5E20"/>
                <w:sz w:val="19"/>
              </w:rPr>
              <w:t>The row an examiner will find — now quantitatively explained (ADR-047)</w:t>
            </w:r>
          </w:p>
          <w:p>
            <w:pPr>
              <w:spacing w:after="40"/>
            </w:pPr>
            <w:r>
              <w:rPr>
                <w:sz w:val="19"/>
              </w:rPr>
              <w:t>On the UNFILTERED test slice the thesis model loses to both linear baselines, unanimously, on both targets (0/6). This is not a contradiction of RQ1 and it must not be hidden. As of 2026-08-19 it is explained by measurement rather than by argument: 92.6% of the thesis model's test-slice squared error comes from the 17.9% of rows below its training floor, against 76.2% for OLS. Restricted to the fitted regime the ordering is restored — thesis 2.1867 vs OLS 2.5911 vs Elastic Net 2.5823 on the bearing target. The model is not worse; it is being scored on rows it was never fitted on, and a flexible learner extrapolates worse there than a linear one. See §6.4.</w:t>
            </w:r>
          </w:p>
        </w:tc>
      </w:tr>
    </w:tbl>
    <w:p>
      <w:pPr>
        <w:spacing w:after="40"/>
      </w:pPr>
    </w:p>
    <w:p>
      <w:pPr>
        <w:pStyle w:val="Heading2"/>
      </w:pPr>
      <w:r>
        <w:t>5.4 Robustness arms — all three run, all three real</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1800"/>
            <w:shd w:val="clear" w:fill="1F406B"/>
          </w:tcPr>
          <w:p>
            <w:pPr>
              <w:spacing w:after="20" w:before="20"/>
            </w:pPr>
            <w:r/>
            <w:r>
              <w:rPr>
                <w:b/>
                <w:color w:val="FFFFFF"/>
                <w:sz w:val="16"/>
              </w:rPr>
              <w:t>Arm</w:t>
            </w:r>
          </w:p>
        </w:tc>
        <w:tc>
          <w:tcPr>
            <w:tcW w:type="dxa" w:w="1800"/>
            <w:shd w:val="clear" w:fill="1F406B"/>
          </w:tcPr>
          <w:p>
            <w:pPr>
              <w:spacing w:after="20" w:before="20"/>
            </w:pPr>
            <w:r/>
            <w:r>
              <w:rPr>
                <w:b/>
                <w:color w:val="FFFFFF"/>
                <w:sz w:val="16"/>
              </w:rPr>
              <w:t>What it tests</w:t>
            </w:r>
          </w:p>
        </w:tc>
        <w:tc>
          <w:tcPr>
            <w:tcW w:type="dxa" w:w="2808"/>
            <w:shd w:val="clear" w:fill="1F406B"/>
          </w:tcPr>
          <w:p>
            <w:pPr>
              <w:spacing w:after="20" w:before="20"/>
            </w:pPr>
            <w:r/>
            <w:r>
              <w:rPr>
                <w:b/>
                <w:color w:val="FFFFFF"/>
                <w:sz w:val="16"/>
              </w:rPr>
              <w:t>Result</w:t>
            </w:r>
          </w:p>
        </w:tc>
        <w:tc>
          <w:tcPr>
            <w:tcW w:type="dxa" w:w="2304"/>
            <w:shd w:val="clear" w:fill="1F406B"/>
          </w:tcPr>
          <w:p>
            <w:pPr>
              <w:spacing w:after="20" w:before="20"/>
            </w:pPr>
            <w:r/>
            <w:r>
              <w:rPr>
                <w:b/>
                <w:color w:val="FFFFFF"/>
                <w:sz w:val="16"/>
              </w:rPr>
              <w:t>Reading</w:t>
            </w:r>
          </w:p>
        </w:tc>
      </w:tr>
      <w:tr>
        <w:tc>
          <w:tcPr>
            <w:tcW w:type="dxa" w:w="1800"/>
          </w:tcPr>
          <w:p>
            <w:pPr>
              <w:spacing w:after="20" w:before="20"/>
            </w:pPr>
            <w:r/>
            <w:r>
              <w:rPr>
                <w:sz w:val="16"/>
              </w:rPr>
              <w:t>A9 — seed variance (42 / 7 / 2024)</w:t>
            </w:r>
          </w:p>
        </w:tc>
        <w:tc>
          <w:tcPr>
            <w:tcW w:type="dxa" w:w="1800"/>
          </w:tcPr>
          <w:p>
            <w:pPr>
              <w:spacing w:after="20" w:before="20"/>
            </w:pPr>
            <w:r/>
            <w:r>
              <w:rPr>
                <w:sz w:val="16"/>
              </w:rPr>
              <w:t>Is the RQ1 margin larger than run-to-run noise?</w:t>
            </w:r>
          </w:p>
        </w:tc>
        <w:tc>
          <w:tcPr>
            <w:tcW w:type="dxa" w:w="2808"/>
          </w:tcPr>
          <w:p>
            <w:pPr>
              <w:spacing w:after="20" w:before="20"/>
            </w:pPr>
            <w:r/>
            <w:r>
              <w:rPr>
                <w:sz w:val="16"/>
              </w:rPr>
              <w:t>bearing: spread 0.0051 vs margin 0.4007 (79×). oil: spread 0.0115 vs margin 0.2310 (20×). margin_exceeds_seed_spread = true on both.</w:t>
            </w:r>
          </w:p>
        </w:tc>
        <w:tc>
          <w:tcPr>
            <w:tcW w:type="dxa" w:w="2304"/>
          </w:tcPr>
          <w:p>
            <w:pPr>
              <w:spacing w:after="20" w:before="20"/>
            </w:pPr>
            <w:r/>
            <w:r>
              <w:rPr>
                <w:b/>
                <w:color w:val="1B5E20"/>
                <w:sz w:val="16"/>
              </w:rPr>
              <w:t>RQ1 survives. The advantage is not a seed artefact.</w:t>
            </w:r>
          </w:p>
        </w:tc>
      </w:tr>
      <w:tr>
        <w:tc>
          <w:tcPr>
            <w:tcW w:type="dxa" w:w="1800"/>
            <w:shd w:val="clear" w:fill="F1F4F8"/>
          </w:tcPr>
          <w:p>
            <w:pPr>
              <w:spacing w:after="20" w:before="20"/>
            </w:pPr>
            <w:r/>
            <w:r>
              <w:rPr>
                <w:sz w:val="16"/>
              </w:rPr>
              <w:t>A8 — multi-output vs per-target</w:t>
            </w:r>
          </w:p>
        </w:tc>
        <w:tc>
          <w:tcPr>
            <w:tcW w:type="dxa" w:w="1800"/>
            <w:shd w:val="clear" w:fill="F1F4F8"/>
          </w:tcPr>
          <w:p>
            <w:pPr>
              <w:spacing w:after="20" w:before="20"/>
            </w:pPr>
            <w:r/>
            <w:r>
              <w:rPr>
                <w:sz w:val="16"/>
              </w:rPr>
              <w:t>Does the multi-TARGET framing buy accuracy?</w:t>
            </w:r>
          </w:p>
        </w:tc>
        <w:tc>
          <w:tcPr>
            <w:tcW w:type="dxa" w:w="2808"/>
            <w:shd w:val="clear" w:fill="F1F4F8"/>
          </w:tcPr>
          <w:p>
            <w:pPr>
              <w:spacing w:after="20" w:before="20"/>
            </w:pPr>
            <w:r/>
            <w:r>
              <w:rPr>
                <w:sz w:val="16"/>
              </w:rPr>
              <w:t>bearing 2.1647 (multi) vs 2.1611 (per-target), Δ = +0.0036. oil 2.6904 vs 2.7155, Δ = −0.0251.</w:t>
            </w:r>
          </w:p>
        </w:tc>
        <w:tc>
          <w:tcPr>
            <w:tcW w:type="dxa" w:w="2304"/>
            <w:shd w:val="clear" w:fill="F1F4F8"/>
          </w:tcPr>
          <w:p>
            <w:pPr>
              <w:spacing w:after="20" w:before="20"/>
            </w:pPr>
            <w:r/>
            <w:r>
              <w:rPr>
                <w:sz w:val="16"/>
              </w:rPr>
              <w:t>Mixed and negligible. The thesis's 'multi-target' framing contributes essentially nothing to accuracy — it is worse on bearing, better on oil, both within seed noise.</w:t>
            </w:r>
          </w:p>
        </w:tc>
      </w:tr>
      <w:tr>
        <w:tc>
          <w:tcPr>
            <w:tcW w:type="dxa" w:w="1800"/>
          </w:tcPr>
          <w:p>
            <w:pPr>
              <w:spacing w:after="20" w:before="20"/>
            </w:pPr>
            <w:r/>
            <w:r>
              <w:rPr>
                <w:sz w:val="16"/>
              </w:rPr>
              <w:t>B3 — fleet-median-only detector</w:t>
            </w:r>
          </w:p>
        </w:tc>
        <w:tc>
          <w:tcPr>
            <w:tcW w:type="dxa" w:w="1800"/>
          </w:tcPr>
          <w:p>
            <w:pPr>
              <w:spacing w:after="20" w:before="20"/>
            </w:pPr>
            <w:r/>
            <w:r>
              <w:rPr>
                <w:sz w:val="16"/>
              </w:rPr>
              <w:t>Does the NBM beat a detector that needs no model at all?</w:t>
            </w:r>
          </w:p>
        </w:tc>
        <w:tc>
          <w:tcPr>
            <w:tcW w:type="dxa" w:w="2808"/>
          </w:tcPr>
          <w:p>
            <w:pPr>
              <w:spacing w:after="20" w:before="20"/>
            </w:pPr>
            <w:r/>
            <w:r>
              <w:rPr>
                <w:sz w:val="16"/>
              </w:rPr>
              <w:t>signal spread: fleet-median 2.4458 bearing / 2.2551 oil vs NBM 2.0757 / 2.5776. in-control rate 0.17302 (64.09× inflation) vs NBM 0.16214 (60.06×). Matched multiplier at the operating point 8.887 vs 10.761.</w:t>
            </w:r>
          </w:p>
        </w:tc>
        <w:tc>
          <w:tcPr>
            <w:tcW w:type="dxa" w:w="2304"/>
          </w:tcPr>
          <w:p>
            <w:pPr>
              <w:spacing w:after="20" w:before="20"/>
            </w:pPr>
            <w:r/>
            <w:r>
              <w:rPr>
                <w:b/>
                <w:color w:val="9B1C1C"/>
                <w:sz w:val="16"/>
              </w:rPr>
              <w:t>Damaging to the detection claim. A no-model, no-training, no-tuning baseline is COMPETITIVE — and beats the NBM outright on the oil channel. The NBM's contribution is not established by the detection results alone.</w:t>
            </w:r>
          </w:p>
        </w:tc>
      </w:tr>
    </w:tbl>
    <w:p>
      <w:pPr>
        <w:spacing w:after="40"/>
      </w:pPr>
    </w:p>
    <w:p>
      <w:r>
        <w:rPr>
          <w:b w:val="0"/>
          <w:i/>
          <w:color w:val="5A5A5A"/>
          <w:sz w:val="17"/>
        </w:rPr>
        <w:t>Source: artifacts/EXP-20260817-001/evaluation/robustness_suite.json (arms merged across three invocations; total runtime 5,560.6 s).</w:t>
      </w:r>
    </w:p>
    <w:p>
      <w:r>
        <w:br w:type="page"/>
      </w:r>
    </w:p>
    <w:p>
      <w:pPr>
        <w:pStyle w:val="Heading1"/>
      </w:pPr>
      <w:r>
        <w:t>6. The measurement that explains everything else (LIM-034)</w:t>
      </w:r>
    </w:p>
    <w:p>
      <w:r>
        <w:rPr>
          <w:b w:val="0"/>
          <w:i/>
          <w:color w:val="5A5A5A"/>
        </w:rPr>
        <w:t>The PROJECT.md §20 condition diagnostics had never been run. ADR-045 built them and commit 3ac7171 recorded the result. It is the single most explanatory number in the project.</w:t>
      </w:r>
    </w:p>
    <w:p>
      <w:pPr>
        <w:pStyle w:val="Heading2"/>
      </w:pPr>
      <w:r>
        <w:t>6.1 Thesis-model bearing residual by operating band</w:t>
      </w:r>
    </w:p>
    <w:tbl>
      <w:tblPr>
        <w:tblStyle w:val="TableGrid"/>
        <w:tblW w:type="auto" w:w="0"/>
        <w:jc w:val="center"/>
        <w:tblLook w:firstColumn="1" w:firstRow="1" w:lastColumn="0" w:lastRow="0" w:noHBand="0" w:noVBand="1" w:val="04A0"/>
      </w:tblPr>
      <w:tblGrid>
        <w:gridCol w:w="1529"/>
        <w:gridCol w:w="1529"/>
        <w:gridCol w:w="1529"/>
        <w:gridCol w:w="1529"/>
        <w:gridCol w:w="1529"/>
        <w:gridCol w:w="1529"/>
      </w:tblGrid>
      <w:tr>
        <w:tc>
          <w:tcPr>
            <w:tcW w:type="dxa" w:w="2952"/>
            <w:shd w:val="clear" w:fill="1F406B"/>
          </w:tcPr>
          <w:p>
            <w:pPr>
              <w:spacing w:after="20" w:before="20"/>
            </w:pPr>
            <w:r/>
            <w:r>
              <w:rPr>
                <w:b/>
                <w:color w:val="FFFFFF"/>
                <w:sz w:val="16"/>
              </w:rPr>
              <w:t>Operating band</w:t>
            </w:r>
          </w:p>
        </w:tc>
        <w:tc>
          <w:tcPr>
            <w:tcW w:type="dxa" w:w="1224"/>
            <w:shd w:val="clear" w:fill="1F406B"/>
          </w:tcPr>
          <w:p>
            <w:pPr>
              <w:spacing w:after="20" w:before="20"/>
            </w:pPr>
            <w:r/>
            <w:r>
              <w:rPr>
                <w:b/>
                <w:color w:val="FFFFFF"/>
                <w:sz w:val="16"/>
              </w:rPr>
              <w:t>Rows</w:t>
            </w:r>
          </w:p>
        </w:tc>
        <w:tc>
          <w:tcPr>
            <w:tcW w:type="dxa" w:w="936"/>
            <w:shd w:val="clear" w:fill="1F406B"/>
          </w:tcPr>
          <w:p>
            <w:pPr>
              <w:spacing w:after="20" w:before="20"/>
            </w:pPr>
            <w:r/>
            <w:r>
              <w:rPr>
                <w:b/>
                <w:color w:val="FFFFFF"/>
                <w:sz w:val="16"/>
              </w:rPr>
              <w:t>Share</w:t>
            </w:r>
          </w:p>
        </w:tc>
        <w:tc>
          <w:tcPr>
            <w:tcW w:type="dxa" w:w="1224"/>
            <w:shd w:val="clear" w:fill="1F406B"/>
          </w:tcPr>
          <w:p>
            <w:pPr>
              <w:spacing w:after="20" w:before="20"/>
            </w:pPr>
            <w:r/>
            <w:r>
              <w:rPr>
                <w:b/>
                <w:color w:val="FFFFFF"/>
                <w:sz w:val="16"/>
              </w:rPr>
              <w:t>Mean (°C)</w:t>
            </w:r>
          </w:p>
        </w:tc>
        <w:tc>
          <w:tcPr>
            <w:tcW w:type="dxa" w:w="1080"/>
            <w:shd w:val="clear" w:fill="1F406B"/>
          </w:tcPr>
          <w:p>
            <w:pPr>
              <w:spacing w:after="20" w:before="20"/>
            </w:pPr>
            <w:r/>
            <w:r>
              <w:rPr>
                <w:b/>
                <w:color w:val="FFFFFF"/>
                <w:sz w:val="16"/>
              </w:rPr>
              <w:t>σ (°C)</w:t>
            </w:r>
          </w:p>
        </w:tc>
        <w:tc>
          <w:tcPr>
            <w:tcW w:type="dxa" w:w="1368"/>
            <w:shd w:val="clear" w:fill="1F406B"/>
          </w:tcPr>
          <w:p>
            <w:pPr>
              <w:spacing w:after="20" w:before="20"/>
            </w:pPr>
            <w:r/>
            <w:r>
              <w:rPr>
                <w:b/>
                <w:color w:val="FFFFFF"/>
                <w:sz w:val="16"/>
              </w:rPr>
              <w:t>|r| &gt; 10 °C</w:t>
            </w:r>
          </w:p>
        </w:tc>
      </w:tr>
      <w:tr>
        <w:tc>
          <w:tcPr>
            <w:tcW w:type="dxa" w:w="2952"/>
          </w:tcPr>
          <w:p>
            <w:pPr>
              <w:spacing w:after="20" w:before="20"/>
            </w:pPr>
            <w:r/>
            <w:r>
              <w:rPr>
                <w:sz w:val="16"/>
              </w:rPr>
              <w:t>negative power (parked / consuming)</w:t>
            </w:r>
          </w:p>
        </w:tc>
        <w:tc>
          <w:tcPr>
            <w:tcW w:type="dxa" w:w="1224"/>
          </w:tcPr>
          <w:p>
            <w:pPr>
              <w:spacing w:after="20" w:before="20"/>
            </w:pPr>
            <w:r/>
            <w:r>
              <w:rPr>
                <w:sz w:val="16"/>
              </w:rPr>
              <w:t>86,007</w:t>
            </w:r>
          </w:p>
        </w:tc>
        <w:tc>
          <w:tcPr>
            <w:tcW w:type="dxa" w:w="936"/>
          </w:tcPr>
          <w:p>
            <w:pPr>
              <w:spacing w:after="20" w:before="20"/>
            </w:pPr>
            <w:r/>
            <w:r>
              <w:rPr>
                <w:sz w:val="16"/>
              </w:rPr>
              <w:t>11.6%</w:t>
            </w:r>
          </w:p>
        </w:tc>
        <w:tc>
          <w:tcPr>
            <w:tcW w:type="dxa" w:w="1224"/>
          </w:tcPr>
          <w:p>
            <w:pPr>
              <w:spacing w:after="20" w:before="20"/>
            </w:pPr>
            <w:r/>
            <w:r>
              <w:rPr>
                <w:b/>
                <w:color w:val="9B1C1C"/>
                <w:sz w:val="16"/>
              </w:rPr>
              <w:t>−16.96</w:t>
            </w:r>
          </w:p>
        </w:tc>
        <w:tc>
          <w:tcPr>
            <w:tcW w:type="dxa" w:w="1080"/>
          </w:tcPr>
          <w:p>
            <w:pPr>
              <w:spacing w:after="20" w:before="20"/>
            </w:pPr>
            <w:r/>
            <w:r>
              <w:rPr>
                <w:sz w:val="16"/>
              </w:rPr>
              <w:t>10.85</w:t>
            </w:r>
          </w:p>
        </w:tc>
        <w:tc>
          <w:tcPr>
            <w:tcW w:type="dxa" w:w="1368"/>
          </w:tcPr>
          <w:p>
            <w:pPr>
              <w:spacing w:after="20" w:before="20"/>
            </w:pPr>
            <w:r/>
            <w:r>
              <w:rPr>
                <w:b/>
                <w:color w:val="9B1C1C"/>
                <w:sz w:val="16"/>
              </w:rPr>
              <w:t>71.6%</w:t>
            </w:r>
          </w:p>
        </w:tc>
      </w:tr>
      <w:tr>
        <w:tc>
          <w:tcPr>
            <w:tcW w:type="dxa" w:w="2952"/>
            <w:shd w:val="clear" w:fill="F1F4F8"/>
          </w:tcPr>
          <w:p>
            <w:pPr>
              <w:spacing w:after="20" w:before="20"/>
            </w:pPr>
            <w:r/>
            <w:r>
              <w:rPr>
                <w:sz w:val="16"/>
              </w:rPr>
              <w:t>0–50 kW (below the healthy floor)</w:t>
            </w:r>
          </w:p>
        </w:tc>
        <w:tc>
          <w:tcPr>
            <w:tcW w:type="dxa" w:w="1224"/>
            <w:shd w:val="clear" w:fill="F1F4F8"/>
          </w:tcPr>
          <w:p>
            <w:pPr>
              <w:spacing w:after="20" w:before="20"/>
            </w:pPr>
            <w:r/>
            <w:r>
              <w:rPr>
                <w:sz w:val="16"/>
              </w:rPr>
              <w:t>46,899</w:t>
            </w:r>
          </w:p>
        </w:tc>
        <w:tc>
          <w:tcPr>
            <w:tcW w:type="dxa" w:w="936"/>
            <w:shd w:val="clear" w:fill="F1F4F8"/>
          </w:tcPr>
          <w:p>
            <w:pPr>
              <w:spacing w:after="20" w:before="20"/>
            </w:pPr>
            <w:r/>
            <w:r>
              <w:rPr>
                <w:sz w:val="16"/>
              </w:rPr>
              <w:t>6.3%</w:t>
            </w:r>
          </w:p>
        </w:tc>
        <w:tc>
          <w:tcPr>
            <w:tcW w:type="dxa" w:w="1224"/>
            <w:shd w:val="clear" w:fill="F1F4F8"/>
          </w:tcPr>
          <w:p>
            <w:pPr>
              <w:spacing w:after="20" w:before="20"/>
            </w:pPr>
            <w:r/>
            <w:r>
              <w:rPr>
                <w:sz w:val="16"/>
              </w:rPr>
              <w:t>−2.21</w:t>
            </w:r>
          </w:p>
        </w:tc>
        <w:tc>
          <w:tcPr>
            <w:tcW w:type="dxa" w:w="1080"/>
            <w:shd w:val="clear" w:fill="F1F4F8"/>
          </w:tcPr>
          <w:p>
            <w:pPr>
              <w:spacing w:after="20" w:before="20"/>
            </w:pPr>
            <w:r/>
            <w:r>
              <w:rPr>
                <w:sz w:val="16"/>
              </w:rPr>
              <w:t>5.29</w:t>
            </w:r>
          </w:p>
        </w:tc>
        <w:tc>
          <w:tcPr>
            <w:tcW w:type="dxa" w:w="1368"/>
            <w:shd w:val="clear" w:fill="F1F4F8"/>
          </w:tcPr>
          <w:p>
            <w:pPr>
              <w:spacing w:after="20" w:before="20"/>
            </w:pPr>
            <w:r/>
            <w:r>
              <w:rPr>
                <w:sz w:val="16"/>
              </w:rPr>
              <w:t>8.8%</w:t>
            </w:r>
          </w:p>
        </w:tc>
      </w:tr>
      <w:tr>
        <w:tc>
          <w:tcPr>
            <w:tcW w:type="dxa" w:w="2952"/>
          </w:tcPr>
          <w:p>
            <w:pPr>
              <w:spacing w:after="20" w:before="20"/>
            </w:pPr>
            <w:r/>
            <w:r>
              <w:rPr>
                <w:sz w:val="16"/>
              </w:rPr>
              <w:t>50–250 kW</w:t>
            </w:r>
          </w:p>
        </w:tc>
        <w:tc>
          <w:tcPr>
            <w:tcW w:type="dxa" w:w="1224"/>
          </w:tcPr>
          <w:p>
            <w:pPr>
              <w:spacing w:after="20" w:before="20"/>
            </w:pPr>
            <w:r/>
            <w:r>
              <w:rPr>
                <w:sz w:val="16"/>
              </w:rPr>
              <w:t>157,155</w:t>
            </w:r>
          </w:p>
        </w:tc>
        <w:tc>
          <w:tcPr>
            <w:tcW w:type="dxa" w:w="936"/>
          </w:tcPr>
          <w:p>
            <w:pPr>
              <w:spacing w:after="20" w:before="20"/>
            </w:pPr>
            <w:r/>
            <w:r>
              <w:rPr>
                <w:sz w:val="16"/>
              </w:rPr>
              <w:t>21.2%</w:t>
            </w:r>
          </w:p>
        </w:tc>
        <w:tc>
          <w:tcPr>
            <w:tcW w:type="dxa" w:w="1224"/>
          </w:tcPr>
          <w:p>
            <w:pPr>
              <w:spacing w:after="20" w:before="20"/>
            </w:pPr>
            <w:r/>
            <w:r>
              <w:rPr>
                <w:sz w:val="16"/>
              </w:rPr>
              <w:t>−0.14</w:t>
            </w:r>
          </w:p>
        </w:tc>
        <w:tc>
          <w:tcPr>
            <w:tcW w:type="dxa" w:w="1080"/>
          </w:tcPr>
          <w:p>
            <w:pPr>
              <w:spacing w:after="20" w:before="20"/>
            </w:pPr>
            <w:r/>
            <w:r>
              <w:rPr>
                <w:sz w:val="16"/>
              </w:rPr>
              <w:t>3.14</w:t>
            </w:r>
          </w:p>
        </w:tc>
        <w:tc>
          <w:tcPr>
            <w:tcW w:type="dxa" w:w="1368"/>
          </w:tcPr>
          <w:p>
            <w:pPr>
              <w:spacing w:after="20" w:before="20"/>
            </w:pPr>
            <w:r/>
            <w:r>
              <w:rPr>
                <w:sz w:val="16"/>
              </w:rPr>
              <w:t>1.2%</w:t>
            </w:r>
          </w:p>
        </w:tc>
      </w:tr>
      <w:tr>
        <w:tc>
          <w:tcPr>
            <w:tcW w:type="dxa" w:w="2952"/>
            <w:shd w:val="clear" w:fill="F1F4F8"/>
          </w:tcPr>
          <w:p>
            <w:pPr>
              <w:spacing w:after="20" w:before="20"/>
            </w:pPr>
            <w:r/>
            <w:r>
              <w:rPr>
                <w:sz w:val="16"/>
              </w:rPr>
              <w:t>250–1000 kW</w:t>
            </w:r>
          </w:p>
        </w:tc>
        <w:tc>
          <w:tcPr>
            <w:tcW w:type="dxa" w:w="1224"/>
            <w:shd w:val="clear" w:fill="F1F4F8"/>
          </w:tcPr>
          <w:p>
            <w:pPr>
              <w:spacing w:after="20" w:before="20"/>
            </w:pPr>
            <w:r/>
            <w:r>
              <w:rPr>
                <w:sz w:val="16"/>
              </w:rPr>
              <w:t>267,662</w:t>
            </w:r>
          </w:p>
        </w:tc>
        <w:tc>
          <w:tcPr>
            <w:tcW w:type="dxa" w:w="936"/>
            <w:shd w:val="clear" w:fill="F1F4F8"/>
          </w:tcPr>
          <w:p>
            <w:pPr>
              <w:spacing w:after="20" w:before="20"/>
            </w:pPr>
            <w:r/>
            <w:r>
              <w:rPr>
                <w:sz w:val="16"/>
              </w:rPr>
              <w:t>36.1%</w:t>
            </w:r>
          </w:p>
        </w:tc>
        <w:tc>
          <w:tcPr>
            <w:tcW w:type="dxa" w:w="1224"/>
            <w:shd w:val="clear" w:fill="F1F4F8"/>
          </w:tcPr>
          <w:p>
            <w:pPr>
              <w:spacing w:after="20" w:before="20"/>
            </w:pPr>
            <w:r/>
            <w:r>
              <w:rPr>
                <w:sz w:val="16"/>
              </w:rPr>
              <w:t>−0.14</w:t>
            </w:r>
          </w:p>
        </w:tc>
        <w:tc>
          <w:tcPr>
            <w:tcW w:type="dxa" w:w="1080"/>
            <w:shd w:val="clear" w:fill="F1F4F8"/>
          </w:tcPr>
          <w:p>
            <w:pPr>
              <w:spacing w:after="20" w:before="20"/>
            </w:pPr>
            <w:r/>
            <w:r>
              <w:rPr>
                <w:sz w:val="16"/>
              </w:rPr>
              <w:t>1.98</w:t>
            </w:r>
          </w:p>
        </w:tc>
        <w:tc>
          <w:tcPr>
            <w:tcW w:type="dxa" w:w="1368"/>
            <w:shd w:val="clear" w:fill="F1F4F8"/>
          </w:tcPr>
          <w:p>
            <w:pPr>
              <w:spacing w:after="20" w:before="20"/>
            </w:pPr>
            <w:r/>
            <w:r>
              <w:rPr>
                <w:sz w:val="16"/>
              </w:rPr>
              <w:t>0.2%</w:t>
            </w:r>
          </w:p>
        </w:tc>
      </w:tr>
      <w:tr>
        <w:tc>
          <w:tcPr>
            <w:tcW w:type="dxa" w:w="2952"/>
          </w:tcPr>
          <w:p>
            <w:pPr>
              <w:spacing w:after="20" w:before="20"/>
            </w:pPr>
            <w:r/>
            <w:r>
              <w:rPr>
                <w:sz w:val="16"/>
              </w:rPr>
              <w:t>&gt; 1000 kW (near rated)</w:t>
            </w:r>
          </w:p>
        </w:tc>
        <w:tc>
          <w:tcPr>
            <w:tcW w:type="dxa" w:w="1224"/>
          </w:tcPr>
          <w:p>
            <w:pPr>
              <w:spacing w:after="20" w:before="20"/>
            </w:pPr>
            <w:r/>
            <w:r>
              <w:rPr>
                <w:sz w:val="16"/>
              </w:rPr>
              <w:t>182,740</w:t>
            </w:r>
          </w:p>
        </w:tc>
        <w:tc>
          <w:tcPr>
            <w:tcW w:type="dxa" w:w="936"/>
          </w:tcPr>
          <w:p>
            <w:pPr>
              <w:spacing w:after="20" w:before="20"/>
            </w:pPr>
            <w:r/>
            <w:r>
              <w:rPr>
                <w:sz w:val="16"/>
              </w:rPr>
              <w:t>24.7%</w:t>
            </w:r>
          </w:p>
        </w:tc>
        <w:tc>
          <w:tcPr>
            <w:tcW w:type="dxa" w:w="1224"/>
          </w:tcPr>
          <w:p>
            <w:pPr>
              <w:spacing w:after="20" w:before="20"/>
            </w:pPr>
            <w:r/>
            <w:r>
              <w:rPr>
                <w:b/>
                <w:color w:val="1B5E20"/>
                <w:sz w:val="16"/>
              </w:rPr>
              <w:t>+0.03</w:t>
            </w:r>
          </w:p>
        </w:tc>
        <w:tc>
          <w:tcPr>
            <w:tcW w:type="dxa" w:w="1080"/>
          </w:tcPr>
          <w:p>
            <w:pPr>
              <w:spacing w:after="20" w:before="20"/>
            </w:pPr>
            <w:r/>
            <w:r>
              <w:rPr>
                <w:sz w:val="16"/>
              </w:rPr>
              <w:t>1.27</w:t>
            </w:r>
          </w:p>
        </w:tc>
        <w:tc>
          <w:tcPr>
            <w:tcW w:type="dxa" w:w="1368"/>
          </w:tcPr>
          <w:p>
            <w:pPr>
              <w:spacing w:after="20" w:before="20"/>
            </w:pPr>
            <w:r/>
            <w:r>
              <w:rPr>
                <w:b/>
                <w:color w:val="1B5E20"/>
                <w:sz w:val="16"/>
              </w:rPr>
              <w:t>0.0%</w:t>
            </w:r>
          </w:p>
        </w:tc>
      </w:tr>
    </w:tbl>
    <w:p>
      <w:pPr>
        <w:spacing w:after="40"/>
      </w:pPr>
    </w:p>
    <w:p>
      <w:r>
        <w:rPr>
          <w:b w:val="0"/>
          <w:i/>
          <w:color w:val="5A5A5A"/>
          <w:sz w:val="17"/>
        </w:rPr>
        <w:t>Source: artifacts/EXP-20260818-001/evaluation/condition_diagnostics.json and plots/*_residual_vs_active_power.png.</w:t>
      </w:r>
    </w:p>
    <w:p>
      <w:pPr>
        <w:pStyle w:val="Heading2"/>
      </w:pPr>
      <w:r>
        <w:t>6.2 The two facts that follow</w:t>
      </w:r>
    </w:p>
    <w:p>
      <w:pPr>
        <w:pStyle w:val="ListBullet"/>
        <w:spacing w:after="60"/>
        <w:ind w:left="360"/>
      </w:pPr>
      <w:r>
        <w:rPr>
          <w:b/>
        </w:rPr>
        <w:t xml:space="preserve">ABOVE the 50 kW floor — the regime the NBM was fitted on — </w:t>
      </w:r>
      <w:r>
        <w:t>the model is essentially unbiased and tight: mean −0.09 °C, σ 2.18 °C, and 0.0% of rows beyond |10 °C| at rated power.</w:t>
      </w:r>
    </w:p>
    <w:p>
      <w:pPr>
        <w:pStyle w:val="ListBullet"/>
        <w:spacing w:after="60"/>
        <w:ind w:left="360"/>
      </w:pPr>
      <w:r>
        <w:rPr>
          <w:b/>
        </w:rPr>
        <w:t xml:space="preserve">BELOW the floor — </w:t>
      </w:r>
      <w:r>
        <w:t>the model is catastrophically wrong: mean −11.75 °C, and on negative-power rows 71.6% of residuals exceed |10 °C|.</w:t>
      </w:r>
    </w:p>
    <w:p>
      <w:r>
        <w:rPr>
          <w:b w:val="0"/>
          <w:i w:val="0"/>
        </w:rPr>
        <w:t xml:space="preserve">Those below-floor rows are </w:t>
      </w:r>
      <w:r>
        <w:rPr>
          <w:b/>
          <w:i w:val="0"/>
          <w:color w:val="9B1C1C"/>
        </w:rPr>
        <w:t>17.9% of the detection stream and carry 50.4% of the total residual variance.</w:t>
      </w:r>
    </w:p>
    <w:p>
      <w:pPr>
        <w:pStyle w:val="Heading2"/>
      </w:pPr>
      <w:r>
        <w:t>6.3 What this single measurement explains</w:t>
      </w:r>
    </w:p>
    <w:tbl>
      <w:tblPr>
        <w:tblStyle w:val="TableGrid"/>
        <w:tblW w:type="auto" w:w="0"/>
        <w:jc w:val="center"/>
        <w:tblLook w:firstColumn="1" w:firstRow="1" w:lastColumn="0" w:lastRow="0" w:noHBand="0" w:noVBand="1" w:val="04A0"/>
      </w:tblPr>
      <w:tblGrid>
        <w:gridCol w:w="4586"/>
        <w:gridCol w:w="4586"/>
      </w:tblGrid>
      <w:tr>
        <w:tc>
          <w:tcPr>
            <w:tcW w:type="dxa" w:w="3744"/>
            <w:shd w:val="clear" w:fill="1F406B"/>
          </w:tcPr>
          <w:p>
            <w:pPr>
              <w:spacing w:after="20" w:before="20"/>
            </w:pPr>
            <w:r/>
            <w:r>
              <w:rPr>
                <w:b/>
                <w:color w:val="FFFFFF"/>
                <w:sz w:val="16"/>
              </w:rPr>
              <w:t>Previously unexplained observation</w:t>
            </w:r>
          </w:p>
        </w:tc>
        <w:tc>
          <w:tcPr>
            <w:tcW w:type="dxa" w:w="5328"/>
            <w:shd w:val="clear" w:fill="1F406B"/>
          </w:tcPr>
          <w:p>
            <w:pPr>
              <w:spacing w:after="20" w:before="20"/>
            </w:pPr>
            <w:r/>
            <w:r>
              <w:rPr>
                <w:b/>
                <w:color w:val="FFFFFF"/>
                <w:sz w:val="16"/>
              </w:rPr>
              <w:t>Explanation</w:t>
            </w:r>
          </w:p>
        </w:tc>
      </w:tr>
      <w:tr>
        <w:tc>
          <w:tcPr>
            <w:tcW w:type="dxa" w:w="3744"/>
          </w:tcPr>
          <w:p>
            <w:pPr>
              <w:spacing w:after="20" w:before="20"/>
            </w:pPr>
            <w:r/>
            <w:r>
              <w:rPr>
                <w:sz w:val="16"/>
              </w:rPr>
              <w:t>The 60.06× in-control false-alarm inflation (LIM-024, ADR-034)</w:t>
            </w:r>
          </w:p>
        </w:tc>
        <w:tc>
          <w:tcPr>
            <w:tcW w:type="dxa" w:w="5328"/>
          </w:tcPr>
          <w:p>
            <w:pPr>
              <w:spacing w:after="20" w:before="20"/>
            </w:pPr>
            <w:r/>
            <w:r>
              <w:rPr>
                <w:sz w:val="16"/>
              </w:rPr>
              <w:t>The residual distribution the control limits are asked to police is a MIXTURE of a tight trained-regime component and a wide untrained-regime component.</w:t>
            </w:r>
          </w:p>
        </w:tc>
      </w:tr>
      <w:tr>
        <w:tc>
          <w:tcPr>
            <w:tcW w:type="dxa" w:w="3744"/>
            <w:shd w:val="clear" w:fill="F1F4F8"/>
          </w:tcPr>
          <w:p>
            <w:pPr>
              <w:spacing w:after="20" w:before="20"/>
            </w:pPr>
            <w:r/>
            <w:r>
              <w:rPr>
                <w:sz w:val="16"/>
              </w:rPr>
              <w:t>19,326 false-alarm episodes</w:t>
            </w:r>
          </w:p>
        </w:tc>
        <w:tc>
          <w:tcPr>
            <w:tcW w:type="dxa" w:w="5328"/>
            <w:shd w:val="clear" w:fill="F1F4F8"/>
          </w:tcPr>
          <w:p>
            <w:pPr>
              <w:spacing w:after="20" w:before="20"/>
            </w:pPr>
            <w:r/>
            <w:r>
              <w:rPr>
                <w:sz w:val="16"/>
              </w:rPr>
              <w:t>Same mixture. The limits are calibrated on one component and applied to both.</w:t>
            </w:r>
          </w:p>
        </w:tc>
      </w:tr>
      <w:tr>
        <w:tc>
          <w:tcPr>
            <w:tcW w:type="dxa" w:w="3744"/>
          </w:tcPr>
          <w:p>
            <w:pPr>
              <w:spacing w:after="20" w:before="20"/>
            </w:pPr>
            <w:r/>
            <w:r>
              <w:rPr>
                <w:sz w:val="16"/>
              </w:rPr>
              <w:t>LOW exceedances outnumber HIGH by roughly 3.5:1 in the event window (72 low vs 10 high)</w:t>
            </w:r>
          </w:p>
        </w:tc>
        <w:tc>
          <w:tcPr>
            <w:tcW w:type="dxa" w:w="5328"/>
          </w:tcPr>
          <w:p>
            <w:pPr>
              <w:spacing w:after="20" w:before="20"/>
            </w:pPr>
            <w:r/>
            <w:r>
              <w:rPr>
                <w:sz w:val="16"/>
              </w:rPr>
              <w:t>The below-floor mean is −11.75 °C, so the untrained regime emits large NEGATIVE residuals.</w:t>
            </w:r>
          </w:p>
        </w:tc>
      </w:tr>
      <w:tr>
        <w:tc>
          <w:tcPr>
            <w:tcW w:type="dxa" w:w="3744"/>
            <w:shd w:val="clear" w:fill="F1F4F8"/>
          </w:tcPr>
          <w:p>
            <w:pPr>
              <w:spacing w:after="20" w:before="20"/>
            </w:pPr>
            <w:r/>
            <w:r>
              <w:rPr>
                <w:sz w:val="16"/>
              </w:rPr>
              <w:t>The single EVENT-001 match has direction −1 (LOW) on a hot-side fault (LIM-026)</w:t>
            </w:r>
          </w:p>
        </w:tc>
        <w:tc>
          <w:tcPr>
            <w:tcW w:type="dxa" w:w="5328"/>
            <w:shd w:val="clear" w:fill="F1F4F8"/>
          </w:tcPr>
          <w:p>
            <w:pPr>
              <w:spacing w:after="20" w:before="20"/>
            </w:pPr>
            <w:r/>
            <w:r>
              <w:rPr>
                <w:sz w:val="16"/>
              </w:rPr>
              <w:t>Cold-side excursions are what this pipeline mostly emits. The match is therefore not evidence of the fault mechanism.</w:t>
            </w:r>
          </w:p>
        </w:tc>
      </w:tr>
      <w:tr>
        <w:tc>
          <w:tcPr>
            <w:tcW w:type="dxa" w:w="3744"/>
          </w:tcPr>
          <w:p>
            <w:pPr>
              <w:spacing w:after="20" w:before="20"/>
            </w:pPr>
            <w:r/>
            <w:r>
              <w:rPr>
                <w:sz w:val="16"/>
              </w:rPr>
              <w:t>Worst residual σ (13.6 °C) occurs at the COLD ambient end, not the warm end LIM-013 anticipated</w:t>
            </w:r>
          </w:p>
        </w:tc>
        <w:tc>
          <w:tcPr>
            <w:tcW w:type="dxa" w:w="5328"/>
          </w:tcPr>
          <w:p>
            <w:pPr>
              <w:spacing w:after="20" w:before="20"/>
            </w:pPr>
            <w:r/>
            <w:r>
              <w:rPr>
                <w:sz w:val="16"/>
              </w:rPr>
              <w:t>Cold ambient co-occurs with parked and idling machines. This CONTRADICTS the direction LIM-013 predicted, and LIM-034 says so explicitly.</w:t>
            </w:r>
          </w:p>
        </w:tc>
      </w:tr>
      <w:tr>
        <w:tc>
          <w:tcPr>
            <w:tcW w:type="dxa" w:w="3744"/>
            <w:shd w:val="clear" w:fill="F1F4F8"/>
          </w:tcPr>
          <w:p>
            <w:pPr>
              <w:spacing w:after="20" w:before="20"/>
            </w:pPr>
            <w:r/>
            <w:r>
              <w:rPr>
                <w:sz w:val="16"/>
              </w:rPr>
              <w:t>The B3 fleet-median-only baseline competes (LIM-031)</w:t>
            </w:r>
          </w:p>
        </w:tc>
        <w:tc>
          <w:tcPr>
            <w:tcW w:type="dxa" w:w="5328"/>
            <w:shd w:val="clear" w:fill="F1F4F8"/>
          </w:tcPr>
          <w:p>
            <w:pPr>
              <w:spacing w:after="20" w:before="20"/>
            </w:pPr>
            <w:r/>
            <w:r>
              <w:rPr>
                <w:sz w:val="16"/>
              </w:rPr>
              <w:t>It has no trained/untrained regime distinction to violate.</w:t>
            </w:r>
          </w:p>
        </w:tc>
      </w:tr>
      <w:tr>
        <w:tc>
          <w:tcPr>
            <w:tcW w:type="dxa" w:w="3744"/>
          </w:tcPr>
          <w:p>
            <w:pPr>
              <w:spacing w:after="20" w:before="20"/>
            </w:pPr>
            <w:r/>
            <w:r>
              <w:rPr>
                <w:sz w:val="16"/>
              </w:rPr>
              <w:t>The thesis model loses 0/6 on the unfiltered test slice (§5.3)</w:t>
            </w:r>
          </w:p>
        </w:tc>
        <w:tc>
          <w:tcPr>
            <w:tcW w:type="dxa" w:w="5328"/>
          </w:tcPr>
          <w:p>
            <w:pPr>
              <w:spacing w:after="20" w:before="20"/>
            </w:pPr>
            <w:r/>
            <w:r>
              <w:rPr>
                <w:sz w:val="16"/>
              </w:rPr>
              <w:t>Same cause: a flexible learner extrapolates worse than a linear one outside its training support.</w:t>
            </w:r>
          </w:p>
        </w:tc>
      </w:tr>
      <w:tr>
        <w:tc>
          <w:tcPr>
            <w:tcW w:type="dxa" w:w="3744"/>
            <w:shd w:val="clear" w:fill="F1F4F8"/>
          </w:tcPr>
          <w:p>
            <w:pPr>
              <w:spacing w:after="20" w:before="20"/>
            </w:pPr>
            <w:r/>
            <w:r>
              <w:rPr>
                <w:sz w:val="16"/>
              </w:rPr>
              <w:t>The 'step' component of LIM-029</w:t>
            </w:r>
          </w:p>
        </w:tc>
        <w:tc>
          <w:tcPr>
            <w:tcW w:type="dxa" w:w="5328"/>
            <w:shd w:val="clear" w:fill="F1F4F8"/>
          </w:tcPr>
          <w:p>
            <w:pPr>
              <w:spacing w:after="20" w:before="20"/>
            </w:pPr>
            <w:r/>
            <w:r>
              <w:rPr>
                <w:sz w:val="16"/>
              </w:rPr>
              <w:t>The train/monitor boundary changes the regime mixture, not the model's age.</w:t>
            </w:r>
          </w:p>
        </w:tc>
      </w:tr>
    </w:tbl>
    <w:p>
      <w:pPr>
        <w:spacing w:after="40"/>
      </w:pPr>
    </w:p>
    <w:tbl>
      <w:tblPr>
        <w:tblStyle w:val="TableGrid"/>
        <w:tblW w:type="auto" w:w="0"/>
        <w:tblLook w:firstColumn="1" w:firstRow="1" w:lastColumn="0" w:lastRow="0" w:noHBand="0" w:noVBand="1" w:val="04A0"/>
      </w:tblPr>
      <w:tblGrid>
        <w:gridCol w:w="9173"/>
      </w:tblGrid>
      <w:tr>
        <w:tc>
          <w:tcPr>
            <w:tcW w:type="dxa" w:w="9173"/>
            <w:shd w:val="clear" w:fill="EEF3F9"/>
          </w:tcPr>
          <w:p>
            <w:r/>
            <w:r>
              <w:rPr>
                <w:b/>
                <w:color w:val="1F406B"/>
                <w:sz w:val="19"/>
              </w:rPr>
              <w:t>The correct reading — and it is favourable to the model, not to the detector</w:t>
            </w:r>
          </w:p>
          <w:p>
            <w:pPr>
              <w:spacing w:after="40"/>
            </w:pPr>
            <w:r>
              <w:rPr>
                <w:sz w:val="19"/>
              </w:rPr>
              <w:t>The NBM is NOT poor. It is good where it was trained, and is being asked a question it was never fitted to answer on nearly a fifth of the stream. Every false-alarm figure in this project is therefore dominated by regime mismatch rather than by detector behaviour. No false-alarm rate should be read as a property of the EWMA design until this is separated.</w:t>
            </w:r>
          </w:p>
        </w:tc>
      </w:tr>
    </w:tbl>
    <w:p>
      <w:pPr>
        <w:spacing w:after="40"/>
      </w:pPr>
    </w:p>
    <w:p/>
    <w:p>
      <w:r>
        <w:rPr>
          <w:b/>
          <w:i w:val="0"/>
        </w:rPr>
        <w:t xml:space="preserve">The underlying cause is a specification conflict, not an implementation bug. </w:t>
      </w:r>
      <w:r>
        <w:rPr>
          <w:b w:val="0"/>
          <w:i w:val="0"/>
        </w:rPr>
        <w:t>PROJECT.md §13 builds the healthy population above a 50 kW floor. PROJECT.md §14 requires the TEST partition to remain unfiltered, because anomalous rows there are the signal. Neither section anticipates the other, and LIM-034 is the measured size of the gap between them.</w:t>
      </w:r>
    </w:p>
    <w:p>
      <w:pPr>
        <w:pStyle w:val="Heading2"/>
      </w:pPr>
      <w:r>
        <w:t>6.4 The regime split, implemented (ADR-047)</w:t>
      </w:r>
    </w:p>
    <w:p>
      <w:r>
        <w:rPr>
          <w:b w:val="0"/>
          <w:i w:val="0"/>
        </w:rPr>
        <w:t>LIM-034 named three mitigations and recommended reporting split by regime first. That is now implemented as `backend/app/evaluation/regime.py` plus `scripts/run_regime_split.py`, which reads stored artifacts only — no refit, no re-ingestion — and writes `evaluation/regime_split.json`. The regime boundary IS the healthy-state power floor, not an independently chosen threshold.</w:t>
      </w:r>
    </w:p>
    <w:p>
      <w:pPr>
        <w:pStyle w:val="Heading3"/>
      </w:pPr>
      <w:r>
        <w:t>Accuracy by regime, bearing target</w:t>
      </w:r>
    </w:p>
    <w:tbl>
      <w:tblPr>
        <w:tblStyle w:val="TableGrid"/>
        <w:tblW w:type="auto" w:w="0"/>
        <w:jc w:val="center"/>
        <w:tblLook w:firstColumn="1" w:firstRow="1" w:lastColumn="0" w:lastRow="0" w:noHBand="0" w:noVBand="1" w:val="04A0"/>
      </w:tblPr>
      <w:tblGrid>
        <w:gridCol w:w="1310"/>
        <w:gridCol w:w="1310"/>
        <w:gridCol w:w="1310"/>
        <w:gridCol w:w="1310"/>
        <w:gridCol w:w="1310"/>
        <w:gridCol w:w="1310"/>
        <w:gridCol w:w="1310"/>
      </w:tblGrid>
      <w:tr>
        <w:tc>
          <w:tcPr>
            <w:tcW w:type="dxa" w:w="1512"/>
            <w:shd w:val="clear" w:fill="1F406B"/>
          </w:tcPr>
          <w:p>
            <w:pPr>
              <w:spacing w:after="20" w:before="20"/>
            </w:pPr>
            <w:r/>
            <w:r>
              <w:rPr>
                <w:b/>
                <w:color w:val="FFFFFF"/>
                <w:sz w:val="16"/>
              </w:rPr>
              <w:t>Model</w:t>
            </w:r>
          </w:p>
        </w:tc>
        <w:tc>
          <w:tcPr>
            <w:tcW w:type="dxa" w:w="1440"/>
            <w:shd w:val="clear" w:fill="1F406B"/>
          </w:tcPr>
          <w:p>
            <w:pPr>
              <w:spacing w:after="20" w:before="20"/>
            </w:pPr>
            <w:r/>
            <w:r>
              <w:rPr>
                <w:b/>
                <w:color w:val="FFFFFF"/>
                <w:sz w:val="16"/>
              </w:rPr>
              <w:t>Regime</w:t>
            </w:r>
          </w:p>
        </w:tc>
        <w:tc>
          <w:tcPr>
            <w:tcW w:type="dxa" w:w="1152"/>
            <w:shd w:val="clear" w:fill="1F406B"/>
          </w:tcPr>
          <w:p>
            <w:pPr>
              <w:spacing w:after="20" w:before="20"/>
            </w:pPr>
            <w:r/>
            <w:r>
              <w:rPr>
                <w:b/>
                <w:color w:val="FFFFFF"/>
                <w:sz w:val="16"/>
              </w:rPr>
              <w:t>Rows</w:t>
            </w:r>
          </w:p>
        </w:tc>
        <w:tc>
          <w:tcPr>
            <w:tcW w:type="dxa" w:w="864"/>
            <w:shd w:val="clear" w:fill="1F406B"/>
          </w:tcPr>
          <w:p>
            <w:pPr>
              <w:spacing w:after="20" w:before="20"/>
            </w:pPr>
            <w:r/>
            <w:r>
              <w:rPr>
                <w:b/>
                <w:color w:val="FFFFFF"/>
                <w:sz w:val="16"/>
              </w:rPr>
              <w:t>Share</w:t>
            </w:r>
          </w:p>
        </w:tc>
        <w:tc>
          <w:tcPr>
            <w:tcW w:type="dxa" w:w="1224"/>
            <w:shd w:val="clear" w:fill="1F406B"/>
          </w:tcPr>
          <w:p>
            <w:pPr>
              <w:spacing w:after="20" w:before="20"/>
            </w:pPr>
            <w:r/>
            <w:r>
              <w:rPr>
                <w:b/>
                <w:color w:val="FFFFFF"/>
                <w:sz w:val="16"/>
              </w:rPr>
              <w:t>RMSE (°C)</w:t>
            </w:r>
          </w:p>
        </w:tc>
        <w:tc>
          <w:tcPr>
            <w:tcW w:type="dxa" w:w="1224"/>
            <w:shd w:val="clear" w:fill="1F406B"/>
          </w:tcPr>
          <w:p>
            <w:pPr>
              <w:spacing w:after="20" w:before="20"/>
            </w:pPr>
            <w:r/>
            <w:r>
              <w:rPr>
                <w:b/>
                <w:color w:val="FFFFFF"/>
                <w:sz w:val="16"/>
              </w:rPr>
              <w:t>Bias (°C)</w:t>
            </w:r>
          </w:p>
        </w:tc>
        <w:tc>
          <w:tcPr>
            <w:tcW w:type="dxa" w:w="1512"/>
            <w:shd w:val="clear" w:fill="1F406B"/>
          </w:tcPr>
          <w:p>
            <w:pPr>
              <w:spacing w:after="20" w:before="20"/>
            </w:pPr>
            <w:r/>
            <w:r>
              <w:rPr>
                <w:b/>
                <w:color w:val="FFFFFF"/>
                <w:sz w:val="16"/>
              </w:rPr>
              <w:t>Variance share</w:t>
            </w:r>
          </w:p>
        </w:tc>
      </w:tr>
      <w:tr>
        <w:tc>
          <w:tcPr>
            <w:tcW w:type="dxa" w:w="1512"/>
          </w:tcPr>
          <w:p>
            <w:pPr>
              <w:spacing w:after="20" w:before="20"/>
            </w:pPr>
            <w:r/>
            <w:r>
              <w:rPr>
                <w:sz w:val="16"/>
              </w:rPr>
              <w:t>thesis</w:t>
            </w:r>
          </w:p>
        </w:tc>
        <w:tc>
          <w:tcPr>
            <w:tcW w:type="dxa" w:w="1440"/>
          </w:tcPr>
          <w:p>
            <w:pPr>
              <w:spacing w:after="20" w:before="20"/>
            </w:pPr>
            <w:r/>
            <w:r>
              <w:rPr>
                <w:sz w:val="16"/>
              </w:rPr>
              <w:t>in-regime</w:t>
            </w:r>
          </w:p>
        </w:tc>
        <w:tc>
          <w:tcPr>
            <w:tcW w:type="dxa" w:w="1152"/>
          </w:tcPr>
          <w:p>
            <w:pPr>
              <w:spacing w:after="20" w:before="20"/>
            </w:pPr>
            <w:r/>
            <w:r>
              <w:rPr>
                <w:sz w:val="16"/>
              </w:rPr>
              <w:t>607,557</w:t>
            </w:r>
          </w:p>
        </w:tc>
        <w:tc>
          <w:tcPr>
            <w:tcW w:type="dxa" w:w="864"/>
          </w:tcPr>
          <w:p>
            <w:pPr>
              <w:spacing w:after="20" w:before="20"/>
            </w:pPr>
            <w:r/>
            <w:r>
              <w:rPr>
                <w:sz w:val="16"/>
              </w:rPr>
              <w:t>82.1%</w:t>
            </w:r>
          </w:p>
        </w:tc>
        <w:tc>
          <w:tcPr>
            <w:tcW w:type="dxa" w:w="1224"/>
          </w:tcPr>
          <w:p>
            <w:pPr>
              <w:spacing w:after="20" w:before="20"/>
            </w:pPr>
            <w:r/>
            <w:r>
              <w:rPr>
                <w:b/>
                <w:color w:val="1B5E20"/>
                <w:sz w:val="16"/>
              </w:rPr>
              <w:t>2.1867</w:t>
            </w:r>
          </w:p>
        </w:tc>
        <w:tc>
          <w:tcPr>
            <w:tcW w:type="dxa" w:w="1224"/>
          </w:tcPr>
          <w:p>
            <w:pPr>
              <w:spacing w:after="20" w:before="20"/>
            </w:pPr>
            <w:r/>
            <w:r>
              <w:rPr>
                <w:sz w:val="16"/>
              </w:rPr>
              <w:t>−0.0893</w:t>
            </w:r>
          </w:p>
        </w:tc>
        <w:tc>
          <w:tcPr>
            <w:tcW w:type="dxa" w:w="1512"/>
          </w:tcPr>
          <w:p>
            <w:pPr>
              <w:spacing w:after="20" w:before="20"/>
            </w:pPr>
            <w:r/>
            <w:r>
              <w:rPr>
                <w:sz w:val="16"/>
              </w:rPr>
              <w:t>7.4%</w:t>
            </w:r>
          </w:p>
        </w:tc>
      </w:tr>
      <w:tr>
        <w:tc>
          <w:tcPr>
            <w:tcW w:type="dxa" w:w="1512"/>
            <w:shd w:val="clear" w:fill="F1F4F8"/>
          </w:tcPr>
          <w:p>
            <w:pPr>
              <w:spacing w:after="20" w:before="20"/>
            </w:pPr>
            <w:r/>
            <w:r>
              <w:rPr>
                <w:sz w:val="16"/>
              </w:rPr>
              <w:t>thesis</w:t>
            </w:r>
          </w:p>
        </w:tc>
        <w:tc>
          <w:tcPr>
            <w:tcW w:type="dxa" w:w="1440"/>
            <w:shd w:val="clear" w:fill="F1F4F8"/>
          </w:tcPr>
          <w:p>
            <w:pPr>
              <w:spacing w:after="20" w:before="20"/>
            </w:pPr>
            <w:r/>
            <w:r>
              <w:rPr>
                <w:sz w:val="16"/>
              </w:rPr>
              <w:t>out-of-regime</w:t>
            </w:r>
          </w:p>
        </w:tc>
        <w:tc>
          <w:tcPr>
            <w:tcW w:type="dxa" w:w="1152"/>
            <w:shd w:val="clear" w:fill="F1F4F8"/>
          </w:tcPr>
          <w:p>
            <w:pPr>
              <w:spacing w:after="20" w:before="20"/>
            </w:pPr>
            <w:r/>
            <w:r>
              <w:rPr>
                <w:sz w:val="16"/>
              </w:rPr>
              <w:t>132,906</w:t>
            </w:r>
          </w:p>
        </w:tc>
        <w:tc>
          <w:tcPr>
            <w:tcW w:type="dxa" w:w="864"/>
            <w:shd w:val="clear" w:fill="F1F4F8"/>
          </w:tcPr>
          <w:p>
            <w:pPr>
              <w:spacing w:after="20" w:before="20"/>
            </w:pPr>
            <w:r/>
            <w:r>
              <w:rPr>
                <w:sz w:val="16"/>
              </w:rPr>
              <w:t>17.9%</w:t>
            </w:r>
          </w:p>
        </w:tc>
        <w:tc>
          <w:tcPr>
            <w:tcW w:type="dxa" w:w="1224"/>
            <w:shd w:val="clear" w:fill="F1F4F8"/>
          </w:tcPr>
          <w:p>
            <w:pPr>
              <w:spacing w:after="20" w:before="20"/>
            </w:pPr>
            <w:r/>
            <w:r>
              <w:rPr>
                <w:b/>
                <w:color w:val="9B1C1C"/>
                <w:sz w:val="16"/>
              </w:rPr>
              <w:t>16.5482</w:t>
            </w:r>
          </w:p>
        </w:tc>
        <w:tc>
          <w:tcPr>
            <w:tcW w:type="dxa" w:w="1224"/>
            <w:shd w:val="clear" w:fill="F1F4F8"/>
          </w:tcPr>
          <w:p>
            <w:pPr>
              <w:spacing w:after="20" w:before="20"/>
            </w:pPr>
            <w:r/>
            <w:r>
              <w:rPr>
                <w:sz w:val="16"/>
              </w:rPr>
              <w:t>−11.7539</w:t>
            </w:r>
          </w:p>
        </w:tc>
        <w:tc>
          <w:tcPr>
            <w:tcW w:type="dxa" w:w="1512"/>
            <w:shd w:val="clear" w:fill="F1F4F8"/>
          </w:tcPr>
          <w:p>
            <w:pPr>
              <w:spacing w:after="20" w:before="20"/>
            </w:pPr>
            <w:r/>
            <w:r>
              <w:rPr>
                <w:b/>
                <w:color w:val="9B1C1C"/>
                <w:sz w:val="16"/>
              </w:rPr>
              <w:t>92.6%</w:t>
            </w:r>
          </w:p>
        </w:tc>
      </w:tr>
      <w:tr>
        <w:tc>
          <w:tcPr>
            <w:tcW w:type="dxa" w:w="1512"/>
          </w:tcPr>
          <w:p>
            <w:pPr>
              <w:spacing w:after="20" w:before="20"/>
            </w:pPr>
            <w:r/>
            <w:r>
              <w:rPr>
                <w:sz w:val="16"/>
              </w:rPr>
              <w:t>elastic_net</w:t>
            </w:r>
          </w:p>
        </w:tc>
        <w:tc>
          <w:tcPr>
            <w:tcW w:type="dxa" w:w="1440"/>
          </w:tcPr>
          <w:p>
            <w:pPr>
              <w:spacing w:after="20" w:before="20"/>
            </w:pPr>
            <w:r/>
            <w:r>
              <w:rPr>
                <w:sz w:val="16"/>
              </w:rPr>
              <w:t>in-regime</w:t>
            </w:r>
          </w:p>
        </w:tc>
        <w:tc>
          <w:tcPr>
            <w:tcW w:type="dxa" w:w="1152"/>
          </w:tcPr>
          <w:p>
            <w:pPr>
              <w:spacing w:after="20" w:before="20"/>
            </w:pPr>
            <w:r/>
            <w:r>
              <w:rPr>
                <w:sz w:val="16"/>
              </w:rPr>
              <w:t>607,557</w:t>
            </w:r>
          </w:p>
        </w:tc>
        <w:tc>
          <w:tcPr>
            <w:tcW w:type="dxa" w:w="864"/>
          </w:tcPr>
          <w:p>
            <w:pPr>
              <w:spacing w:after="20" w:before="20"/>
            </w:pPr>
            <w:r/>
            <w:r>
              <w:rPr>
                <w:sz w:val="16"/>
              </w:rPr>
              <w:t>82.1%</w:t>
            </w:r>
          </w:p>
        </w:tc>
        <w:tc>
          <w:tcPr>
            <w:tcW w:type="dxa" w:w="1224"/>
          </w:tcPr>
          <w:p>
            <w:pPr>
              <w:spacing w:after="20" w:before="20"/>
            </w:pPr>
            <w:r/>
            <w:r>
              <w:rPr>
                <w:sz w:val="16"/>
              </w:rPr>
              <w:t>2.5823</w:t>
            </w:r>
          </w:p>
        </w:tc>
        <w:tc>
          <w:tcPr>
            <w:tcW w:type="dxa" w:w="1224"/>
          </w:tcPr>
          <w:p>
            <w:pPr>
              <w:spacing w:after="20" w:before="20"/>
            </w:pPr>
            <w:r/>
            <w:r>
              <w:rPr>
                <w:sz w:val="16"/>
              </w:rPr>
              <w:t>−0.0197</w:t>
            </w:r>
          </w:p>
        </w:tc>
        <w:tc>
          <w:tcPr>
            <w:tcW w:type="dxa" w:w="1512"/>
          </w:tcPr>
          <w:p>
            <w:pPr>
              <w:spacing w:after="20" w:before="20"/>
            </w:pPr>
            <w:r/>
            <w:r>
              <w:rPr>
                <w:sz w:val="16"/>
              </w:rPr>
              <w:t>22.5%</w:t>
            </w:r>
          </w:p>
        </w:tc>
      </w:tr>
      <w:tr>
        <w:tc>
          <w:tcPr>
            <w:tcW w:type="dxa" w:w="1512"/>
            <w:shd w:val="clear" w:fill="F1F4F8"/>
          </w:tcPr>
          <w:p>
            <w:pPr>
              <w:spacing w:after="20" w:before="20"/>
            </w:pPr>
            <w:r/>
            <w:r>
              <w:rPr>
                <w:sz w:val="16"/>
              </w:rPr>
              <w:t>elastic_net</w:t>
            </w:r>
          </w:p>
        </w:tc>
        <w:tc>
          <w:tcPr>
            <w:tcW w:type="dxa" w:w="1440"/>
            <w:shd w:val="clear" w:fill="F1F4F8"/>
          </w:tcPr>
          <w:p>
            <w:pPr>
              <w:spacing w:after="20" w:before="20"/>
            </w:pPr>
            <w:r/>
            <w:r>
              <w:rPr>
                <w:sz w:val="16"/>
              </w:rPr>
              <w:t>out-of-regime</w:t>
            </w:r>
          </w:p>
        </w:tc>
        <w:tc>
          <w:tcPr>
            <w:tcW w:type="dxa" w:w="1152"/>
            <w:shd w:val="clear" w:fill="F1F4F8"/>
          </w:tcPr>
          <w:p>
            <w:pPr>
              <w:spacing w:after="20" w:before="20"/>
            </w:pPr>
            <w:r/>
            <w:r>
              <w:rPr>
                <w:sz w:val="16"/>
              </w:rPr>
              <w:t>132,906</w:t>
            </w:r>
          </w:p>
        </w:tc>
        <w:tc>
          <w:tcPr>
            <w:tcW w:type="dxa" w:w="864"/>
            <w:shd w:val="clear" w:fill="F1F4F8"/>
          </w:tcPr>
          <w:p>
            <w:pPr>
              <w:spacing w:after="20" w:before="20"/>
            </w:pPr>
            <w:r/>
            <w:r>
              <w:rPr>
                <w:sz w:val="16"/>
              </w:rPr>
              <w:t>17.9%</w:t>
            </w:r>
          </w:p>
        </w:tc>
        <w:tc>
          <w:tcPr>
            <w:tcW w:type="dxa" w:w="1224"/>
            <w:shd w:val="clear" w:fill="F1F4F8"/>
          </w:tcPr>
          <w:p>
            <w:pPr>
              <w:spacing w:after="20" w:before="20"/>
            </w:pPr>
            <w:r/>
            <w:r>
              <w:rPr>
                <w:sz w:val="16"/>
              </w:rPr>
              <w:t>10.2516</w:t>
            </w:r>
          </w:p>
        </w:tc>
        <w:tc>
          <w:tcPr>
            <w:tcW w:type="dxa" w:w="1224"/>
            <w:shd w:val="clear" w:fill="F1F4F8"/>
          </w:tcPr>
          <w:p>
            <w:pPr>
              <w:spacing w:after="20" w:before="20"/>
            </w:pPr>
            <w:r/>
            <w:r>
              <w:rPr>
                <w:sz w:val="16"/>
              </w:rPr>
              <w:t>−5.6813</w:t>
            </w:r>
          </w:p>
        </w:tc>
        <w:tc>
          <w:tcPr>
            <w:tcW w:type="dxa" w:w="1512"/>
            <w:shd w:val="clear" w:fill="F1F4F8"/>
          </w:tcPr>
          <w:p>
            <w:pPr>
              <w:spacing w:after="20" w:before="20"/>
            </w:pPr>
            <w:r/>
            <w:r>
              <w:rPr>
                <w:sz w:val="16"/>
              </w:rPr>
              <w:t>77.5%</w:t>
            </w:r>
          </w:p>
        </w:tc>
      </w:tr>
      <w:tr>
        <w:tc>
          <w:tcPr>
            <w:tcW w:type="dxa" w:w="1512"/>
          </w:tcPr>
          <w:p>
            <w:pPr>
              <w:spacing w:after="20" w:before="20"/>
            </w:pPr>
            <w:r/>
            <w:r>
              <w:rPr>
                <w:sz w:val="16"/>
              </w:rPr>
              <w:t>baseline (OLS)</w:t>
            </w:r>
          </w:p>
        </w:tc>
        <w:tc>
          <w:tcPr>
            <w:tcW w:type="dxa" w:w="1440"/>
          </w:tcPr>
          <w:p>
            <w:pPr>
              <w:spacing w:after="20" w:before="20"/>
            </w:pPr>
            <w:r/>
            <w:r>
              <w:rPr>
                <w:sz w:val="16"/>
              </w:rPr>
              <w:t>in-regime</w:t>
            </w:r>
          </w:p>
        </w:tc>
        <w:tc>
          <w:tcPr>
            <w:tcW w:type="dxa" w:w="1152"/>
          </w:tcPr>
          <w:p>
            <w:pPr>
              <w:spacing w:after="20" w:before="20"/>
            </w:pPr>
            <w:r/>
            <w:r>
              <w:rPr>
                <w:sz w:val="16"/>
              </w:rPr>
              <w:t>607,557</w:t>
            </w:r>
          </w:p>
        </w:tc>
        <w:tc>
          <w:tcPr>
            <w:tcW w:type="dxa" w:w="864"/>
          </w:tcPr>
          <w:p>
            <w:pPr>
              <w:spacing w:after="20" w:before="20"/>
            </w:pPr>
            <w:r/>
            <w:r>
              <w:rPr>
                <w:sz w:val="16"/>
              </w:rPr>
              <w:t>82.1%</w:t>
            </w:r>
          </w:p>
        </w:tc>
        <w:tc>
          <w:tcPr>
            <w:tcW w:type="dxa" w:w="1224"/>
          </w:tcPr>
          <w:p>
            <w:pPr>
              <w:spacing w:after="20" w:before="20"/>
            </w:pPr>
            <w:r/>
            <w:r>
              <w:rPr>
                <w:sz w:val="16"/>
              </w:rPr>
              <w:t>2.5911</w:t>
            </w:r>
          </w:p>
        </w:tc>
        <w:tc>
          <w:tcPr>
            <w:tcW w:type="dxa" w:w="1224"/>
          </w:tcPr>
          <w:p>
            <w:pPr>
              <w:spacing w:after="20" w:before="20"/>
            </w:pPr>
            <w:r/>
            <w:r>
              <w:rPr>
                <w:sz w:val="16"/>
              </w:rPr>
              <w:t>+0.0068</w:t>
            </w:r>
          </w:p>
        </w:tc>
        <w:tc>
          <w:tcPr>
            <w:tcW w:type="dxa" w:w="1512"/>
          </w:tcPr>
          <w:p>
            <w:pPr>
              <w:spacing w:after="20" w:before="20"/>
            </w:pPr>
            <w:r/>
            <w:r>
              <w:rPr>
                <w:sz w:val="16"/>
              </w:rPr>
              <w:t>23.8%</w:t>
            </w:r>
          </w:p>
        </w:tc>
      </w:tr>
      <w:tr>
        <w:tc>
          <w:tcPr>
            <w:tcW w:type="dxa" w:w="1512"/>
            <w:shd w:val="clear" w:fill="F1F4F8"/>
          </w:tcPr>
          <w:p>
            <w:pPr>
              <w:spacing w:after="20" w:before="20"/>
            </w:pPr>
            <w:r/>
            <w:r>
              <w:rPr>
                <w:sz w:val="16"/>
              </w:rPr>
              <w:t>baseline (OLS)</w:t>
            </w:r>
          </w:p>
        </w:tc>
        <w:tc>
          <w:tcPr>
            <w:tcW w:type="dxa" w:w="1440"/>
            <w:shd w:val="clear" w:fill="F1F4F8"/>
          </w:tcPr>
          <w:p>
            <w:pPr>
              <w:spacing w:after="20" w:before="20"/>
            </w:pPr>
            <w:r/>
            <w:r>
              <w:rPr>
                <w:sz w:val="16"/>
              </w:rPr>
              <w:t>out-of-regime</w:t>
            </w:r>
          </w:p>
        </w:tc>
        <w:tc>
          <w:tcPr>
            <w:tcW w:type="dxa" w:w="1152"/>
            <w:shd w:val="clear" w:fill="F1F4F8"/>
          </w:tcPr>
          <w:p>
            <w:pPr>
              <w:spacing w:after="20" w:before="20"/>
            </w:pPr>
            <w:r/>
            <w:r>
              <w:rPr>
                <w:sz w:val="16"/>
              </w:rPr>
              <w:t>132,906</w:t>
            </w:r>
          </w:p>
        </w:tc>
        <w:tc>
          <w:tcPr>
            <w:tcW w:type="dxa" w:w="864"/>
            <w:shd w:val="clear" w:fill="F1F4F8"/>
          </w:tcPr>
          <w:p>
            <w:pPr>
              <w:spacing w:after="20" w:before="20"/>
            </w:pPr>
            <w:r/>
            <w:r>
              <w:rPr>
                <w:sz w:val="16"/>
              </w:rPr>
              <w:t>17.9%</w:t>
            </w:r>
          </w:p>
        </w:tc>
        <w:tc>
          <w:tcPr>
            <w:tcW w:type="dxa" w:w="1224"/>
            <w:shd w:val="clear" w:fill="F1F4F8"/>
          </w:tcPr>
          <w:p>
            <w:pPr>
              <w:spacing w:after="20" w:before="20"/>
            </w:pPr>
            <w:r/>
            <w:r>
              <w:rPr>
                <w:sz w:val="16"/>
              </w:rPr>
              <w:t>9.9228</w:t>
            </w:r>
          </w:p>
        </w:tc>
        <w:tc>
          <w:tcPr>
            <w:tcW w:type="dxa" w:w="1224"/>
            <w:shd w:val="clear" w:fill="F1F4F8"/>
          </w:tcPr>
          <w:p>
            <w:pPr>
              <w:spacing w:after="20" w:before="20"/>
            </w:pPr>
            <w:r/>
            <w:r>
              <w:rPr>
                <w:sz w:val="16"/>
              </w:rPr>
              <w:t>−4.7971</w:t>
            </w:r>
          </w:p>
        </w:tc>
        <w:tc>
          <w:tcPr>
            <w:tcW w:type="dxa" w:w="1512"/>
            <w:shd w:val="clear" w:fill="F1F4F8"/>
          </w:tcPr>
          <w:p>
            <w:pPr>
              <w:spacing w:after="20" w:before="20"/>
            </w:pPr>
            <w:r/>
            <w:r>
              <w:rPr>
                <w:sz w:val="16"/>
              </w:rPr>
              <w:t>76.2%</w:t>
            </w:r>
          </w:p>
        </w:tc>
      </w:tr>
    </w:tbl>
    <w:p>
      <w:pPr>
        <w:spacing w:after="40"/>
      </w:pPr>
    </w:p>
    <w:p>
      <w:r>
        <w:rPr>
          <w:b/>
          <w:i w:val="0"/>
        </w:rPr>
        <w:t xml:space="preserve">Two readings. </w:t>
      </w:r>
      <w:r>
        <w:rPr>
          <w:b w:val="0"/>
          <w:i w:val="0"/>
        </w:rPr>
        <w:t>First, the RQ1 ordering HOLDS in-regime — thesis 2.1867 vs OLS 2.5911 vs Elastic Net 2.5823 on bearing, and 2.6967 vs 2.9387 vs 2.9476 on oil. The headline claim survives the split. Second, the thesis model's error is far more concentrated outside its support (92.6%) than either linear reference (76.2%, 77.5%), which is precisely what a flexible learner does off-support — and is the whole of the unfiltered-slice reversal.</w:t>
      </w:r>
    </w:p>
    <w:p>
      <w:pPr>
        <w:pStyle w:val="Heading3"/>
      </w:pPr>
      <w:r>
        <w:t>Exceedance census by regime and direction</w:t>
      </w:r>
    </w:p>
    <w:tbl>
      <w:tblPr>
        <w:tblStyle w:val="TableGrid"/>
        <w:tblW w:type="auto" w:w="0"/>
        <w:jc w:val="center"/>
        <w:tblLook w:firstColumn="1" w:firstRow="1" w:lastColumn="0" w:lastRow="0" w:noHBand="0" w:noVBand="1" w:val="04A0"/>
      </w:tblPr>
      <w:tblGrid>
        <w:gridCol w:w="1529"/>
        <w:gridCol w:w="1529"/>
        <w:gridCol w:w="1529"/>
        <w:gridCol w:w="1529"/>
        <w:gridCol w:w="1529"/>
        <w:gridCol w:w="1529"/>
      </w:tblGrid>
      <w:tr>
        <w:tc>
          <w:tcPr>
            <w:tcW w:type="dxa" w:w="1656"/>
            <w:shd w:val="clear" w:fill="1F406B"/>
          </w:tcPr>
          <w:p>
            <w:pPr>
              <w:spacing w:after="20" w:before="20"/>
            </w:pPr>
            <w:r/>
            <w:r>
              <w:rPr>
                <w:b/>
                <w:color w:val="FFFFFF"/>
                <w:sz w:val="17"/>
              </w:rPr>
              <w:t>Regime</w:t>
            </w:r>
          </w:p>
        </w:tc>
        <w:tc>
          <w:tcPr>
            <w:tcW w:type="dxa" w:w="1512"/>
            <w:shd w:val="clear" w:fill="1F406B"/>
          </w:tcPr>
          <w:p>
            <w:pPr>
              <w:spacing w:after="20" w:before="20"/>
            </w:pPr>
            <w:r/>
            <w:r>
              <w:rPr>
                <w:b/>
                <w:color w:val="FFFFFF"/>
                <w:sz w:val="17"/>
              </w:rPr>
              <w:t>Points</w:t>
            </w:r>
          </w:p>
        </w:tc>
        <w:tc>
          <w:tcPr>
            <w:tcW w:type="dxa" w:w="1368"/>
            <w:shd w:val="clear" w:fill="1F406B"/>
          </w:tcPr>
          <w:p>
            <w:pPr>
              <w:spacing w:after="20" w:before="20"/>
            </w:pPr>
            <w:r/>
            <w:r>
              <w:rPr>
                <w:b/>
                <w:color w:val="FFFFFF"/>
                <w:sz w:val="17"/>
              </w:rPr>
              <w:t>High (+1)</w:t>
            </w:r>
          </w:p>
        </w:tc>
        <w:tc>
          <w:tcPr>
            <w:tcW w:type="dxa" w:w="1368"/>
            <w:shd w:val="clear" w:fill="1F406B"/>
          </w:tcPr>
          <w:p>
            <w:pPr>
              <w:spacing w:after="20" w:before="20"/>
            </w:pPr>
            <w:r/>
            <w:r>
              <w:rPr>
                <w:b/>
                <w:color w:val="FFFFFF"/>
                <w:sz w:val="17"/>
              </w:rPr>
              <w:t>Low (−1)</w:t>
            </w:r>
          </w:p>
        </w:tc>
        <w:tc>
          <w:tcPr>
            <w:tcW w:type="dxa" w:w="1584"/>
            <w:shd w:val="clear" w:fill="1F406B"/>
          </w:tcPr>
          <w:p>
            <w:pPr>
              <w:spacing w:after="20" w:before="20"/>
            </w:pPr>
            <w:r/>
            <w:r>
              <w:rPr>
                <w:b/>
                <w:color w:val="FFFFFF"/>
                <w:sz w:val="17"/>
              </w:rPr>
              <w:t>Exceedance rate</w:t>
            </w:r>
          </w:p>
        </w:tc>
        <w:tc>
          <w:tcPr>
            <w:tcW w:type="dxa" w:w="1440"/>
            <w:shd w:val="clear" w:fill="1F406B"/>
          </w:tcPr>
          <w:p>
            <w:pPr>
              <w:spacing w:after="20" w:before="20"/>
            </w:pPr>
            <w:r/>
            <w:r>
              <w:rPr>
                <w:b/>
                <w:color w:val="FFFFFF"/>
                <w:sz w:val="17"/>
              </w:rPr>
              <w:t>Low : High</w:t>
            </w:r>
          </w:p>
        </w:tc>
      </w:tr>
      <w:tr>
        <w:tc>
          <w:tcPr>
            <w:tcW w:type="dxa" w:w="1656"/>
          </w:tcPr>
          <w:p>
            <w:pPr>
              <w:spacing w:after="20" w:before="20"/>
            </w:pPr>
            <w:r/>
            <w:r>
              <w:rPr>
                <w:sz w:val="17"/>
              </w:rPr>
              <w:t>in-regime</w:t>
            </w:r>
          </w:p>
        </w:tc>
        <w:tc>
          <w:tcPr>
            <w:tcW w:type="dxa" w:w="1512"/>
          </w:tcPr>
          <w:p>
            <w:pPr>
              <w:spacing w:after="20" w:before="20"/>
            </w:pPr>
            <w:r/>
            <w:r>
              <w:rPr>
                <w:sz w:val="17"/>
              </w:rPr>
              <w:t>1,215,114</w:t>
            </w:r>
          </w:p>
        </w:tc>
        <w:tc>
          <w:tcPr>
            <w:tcW w:type="dxa" w:w="1368"/>
          </w:tcPr>
          <w:p>
            <w:pPr>
              <w:spacing w:after="20" w:before="20"/>
            </w:pPr>
            <w:r/>
            <w:r>
              <w:rPr>
                <w:sz w:val="17"/>
              </w:rPr>
              <w:t>71,655</w:t>
            </w:r>
          </w:p>
        </w:tc>
        <w:tc>
          <w:tcPr>
            <w:tcW w:type="dxa" w:w="1368"/>
          </w:tcPr>
          <w:p>
            <w:pPr>
              <w:spacing w:after="20" w:before="20"/>
            </w:pPr>
            <w:r/>
            <w:r>
              <w:rPr>
                <w:sz w:val="17"/>
              </w:rPr>
              <w:t>136,798</w:t>
            </w:r>
          </w:p>
        </w:tc>
        <w:tc>
          <w:tcPr>
            <w:tcW w:type="dxa" w:w="1584"/>
          </w:tcPr>
          <w:p>
            <w:pPr>
              <w:spacing w:after="20" w:before="20"/>
            </w:pPr>
            <w:r/>
            <w:r>
              <w:rPr>
                <w:sz w:val="17"/>
              </w:rPr>
              <w:t>0.1716</w:t>
            </w:r>
          </w:p>
        </w:tc>
        <w:tc>
          <w:tcPr>
            <w:tcW w:type="dxa" w:w="1440"/>
          </w:tcPr>
          <w:p>
            <w:pPr>
              <w:spacing w:after="20" w:before="20"/>
            </w:pPr>
            <w:r/>
            <w:r>
              <w:rPr>
                <w:sz w:val="17"/>
              </w:rPr>
              <w:t>1.9 : 1</w:t>
            </w:r>
          </w:p>
        </w:tc>
      </w:tr>
      <w:tr>
        <w:tc>
          <w:tcPr>
            <w:tcW w:type="dxa" w:w="1656"/>
            <w:shd w:val="clear" w:fill="F1F4F8"/>
          </w:tcPr>
          <w:p>
            <w:pPr>
              <w:spacing w:after="20" w:before="20"/>
            </w:pPr>
            <w:r/>
            <w:r>
              <w:rPr>
                <w:sz w:val="17"/>
              </w:rPr>
              <w:t>out-of-regime</w:t>
            </w:r>
          </w:p>
        </w:tc>
        <w:tc>
          <w:tcPr>
            <w:tcW w:type="dxa" w:w="1512"/>
            <w:shd w:val="clear" w:fill="F1F4F8"/>
          </w:tcPr>
          <w:p>
            <w:pPr>
              <w:spacing w:after="20" w:before="20"/>
            </w:pPr>
            <w:r/>
            <w:r>
              <w:rPr>
                <w:sz w:val="17"/>
              </w:rPr>
              <w:t>265,812</w:t>
            </w:r>
          </w:p>
        </w:tc>
        <w:tc>
          <w:tcPr>
            <w:tcW w:type="dxa" w:w="1368"/>
            <w:shd w:val="clear" w:fill="F1F4F8"/>
          </w:tcPr>
          <w:p>
            <w:pPr>
              <w:spacing w:after="20" w:before="20"/>
            </w:pPr>
            <w:r/>
            <w:r>
              <w:rPr>
                <w:sz w:val="17"/>
              </w:rPr>
              <w:t>20,559</w:t>
            </w:r>
          </w:p>
        </w:tc>
        <w:tc>
          <w:tcPr>
            <w:tcW w:type="dxa" w:w="1368"/>
            <w:shd w:val="clear" w:fill="F1F4F8"/>
          </w:tcPr>
          <w:p>
            <w:pPr>
              <w:spacing w:after="20" w:before="20"/>
            </w:pPr>
            <w:r/>
            <w:r>
              <w:rPr>
                <w:sz w:val="17"/>
              </w:rPr>
              <w:t>182,651</w:t>
            </w:r>
          </w:p>
        </w:tc>
        <w:tc>
          <w:tcPr>
            <w:tcW w:type="dxa" w:w="1584"/>
            <w:shd w:val="clear" w:fill="F1F4F8"/>
          </w:tcPr>
          <w:p>
            <w:pPr>
              <w:spacing w:after="20" w:before="20"/>
            </w:pPr>
            <w:r/>
            <w:r>
              <w:rPr>
                <w:b/>
                <w:color w:val="9B1C1C"/>
                <w:sz w:val="17"/>
              </w:rPr>
              <w:t>0.7645</w:t>
            </w:r>
          </w:p>
        </w:tc>
        <w:tc>
          <w:tcPr>
            <w:tcW w:type="dxa" w:w="1440"/>
            <w:shd w:val="clear" w:fill="F1F4F8"/>
          </w:tcPr>
          <w:p>
            <w:pPr>
              <w:spacing w:after="20" w:before="20"/>
            </w:pPr>
            <w:r/>
            <w:r>
              <w:rPr>
                <w:b/>
                <w:color w:val="9B1C1C"/>
                <w:sz w:val="17"/>
              </w:rPr>
              <w:t>8.9 : 1</w:t>
            </w:r>
          </w:p>
        </w:tc>
      </w:tr>
    </w:tbl>
    <w:p>
      <w:pPr>
        <w:spacing w:after="40"/>
      </w:pPr>
    </w:p>
    <w:p>
      <w:r>
        <w:rPr>
          <w:b w:val="0"/>
          <w:i w:val="0"/>
        </w:rPr>
        <w:t>This converts LIM-034's proposed mechanism for the LIM-026 cold-side match into a measurement. Out of regime the detector fires 4.5× as often and its excursions are 8.9:1 cold-side. The single EVENT-001 match having direction −1 is exactly what this distribution predicts.</w:t>
      </w:r>
    </w:p>
    <w:tbl>
      <w:tblPr>
        <w:tblStyle w:val="TableGrid"/>
        <w:tblW w:type="auto" w:w="0"/>
        <w:tblLook w:firstColumn="1" w:firstRow="1" w:lastColumn="0" w:lastRow="0" w:noHBand="0" w:noVBand="1" w:val="04A0"/>
      </w:tblPr>
      <w:tblGrid>
        <w:gridCol w:w="9173"/>
      </w:tblGrid>
      <w:tr>
        <w:tc>
          <w:tcPr>
            <w:tcW w:type="dxa" w:w="9173"/>
            <w:shd w:val="clear" w:fill="FDECEC"/>
          </w:tcPr>
          <w:p>
            <w:r/>
            <w:r>
              <w:rPr>
                <w:b/>
                <w:color w:val="9B1C1C"/>
                <w:sz w:val="19"/>
              </w:rPr>
              <w:t>The honest half — and a correction to this report's revision 1</w:t>
            </w:r>
          </w:p>
          <w:p>
            <w:pPr>
              <w:spacing w:after="40"/>
            </w:pPr>
            <w:r>
              <w:rPr>
                <w:sz w:val="19"/>
              </w:rPr>
              <w:t>The split does NOT reduce the 60.06× in-control false-alarm inflation, and no split ever will. That rate is measured on the healthy VALIDATION block, which is built with the full healthy-state criteria INCLUDING the power floor — so every row in it is in-regime by construction. This was verified, not assumed: the healthy slice minimum active power is 50.001 kW with zero rows below the floor. Revision 1 of this report suggested the split might vindicate the EWMA design. It cannot. ADR-034 (serial correlation) stands as the sole explanation on record, now with external corroboration (§6.6).</w:t>
            </w:r>
          </w:p>
        </w:tc>
      </w:tr>
    </w:tbl>
    <w:p>
      <w:pPr>
        <w:spacing w:after="40"/>
      </w:pPr>
    </w:p>
    <w:p>
      <w:pPr>
        <w:pStyle w:val="Heading2"/>
      </w:pPr>
      <w:r>
        <w:t>6.5 RQ2 is citable again (ADR-048)</w:t>
      </w:r>
    </w:p>
    <w:p>
      <w:r>
        <w:rPr>
          <w:b w:val="0"/>
          <w:i w:val="0"/>
        </w:rPr>
        <w:t>The matched-false-alarm sweep was re-run on EXP-20260818-001 under the ADR-028 row-time denominator. The criterion and the verdict rule are unchanged; only the arithmetic beneath them is. The pre-registered boundary of 3 samples is reported first, as ADR-031 requires.</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728"/>
            <w:shd w:val="clear" w:fill="1F406B"/>
          </w:tcPr>
          <w:p>
            <w:pPr>
              <w:spacing w:after="20" w:before="20"/>
            </w:pPr>
            <w:r/>
            <w:r>
              <w:rPr>
                <w:b/>
                <w:color w:val="FFFFFF"/>
                <w:sz w:val="17"/>
              </w:rPr>
              <w:t>λ</w:t>
            </w:r>
          </w:p>
        </w:tc>
        <w:tc>
          <w:tcPr>
            <w:tcW w:type="dxa" w:w="1152"/>
            <w:shd w:val="clear" w:fill="1F406B"/>
          </w:tcPr>
          <w:p>
            <w:pPr>
              <w:spacing w:after="20" w:before="20"/>
            </w:pPr>
            <w:r/>
            <w:r>
              <w:rPr>
                <w:b/>
                <w:color w:val="FFFFFF"/>
                <w:sz w:val="17"/>
              </w:rPr>
              <w:t>met</w:t>
            </w:r>
          </w:p>
        </w:tc>
        <w:tc>
          <w:tcPr>
            <w:tcW w:type="dxa" w:w="1296"/>
            <w:shd w:val="clear" w:fill="1F406B"/>
          </w:tcPr>
          <w:p>
            <w:pPr>
              <w:spacing w:after="20" w:before="20"/>
            </w:pPr>
            <w:r/>
            <w:r>
              <w:rPr>
                <w:b/>
                <w:color w:val="FFFFFF"/>
                <w:sz w:val="17"/>
              </w:rPr>
              <w:t>not met</w:t>
            </w:r>
          </w:p>
        </w:tc>
        <w:tc>
          <w:tcPr>
            <w:tcW w:type="dxa" w:w="2160"/>
            <w:shd w:val="clear" w:fill="1F406B"/>
          </w:tcPr>
          <w:p>
            <w:pPr>
              <w:spacing w:after="20" w:before="20"/>
            </w:pPr>
            <w:r/>
            <w:r>
              <w:rPr>
                <w:b/>
                <w:color w:val="FFFFFF"/>
                <w:sz w:val="17"/>
              </w:rPr>
              <w:t>not interpretable</w:t>
            </w:r>
          </w:p>
        </w:tc>
        <w:tc>
          <w:tcPr>
            <w:tcW w:type="dxa" w:w="1728"/>
            <w:shd w:val="clear" w:fill="1F406B"/>
          </w:tcPr>
          <w:p>
            <w:pPr>
              <w:spacing w:after="20" w:before="20"/>
            </w:pPr>
            <w:r/>
            <w:r>
              <w:rPr>
                <w:b/>
                <w:color w:val="FFFFFF"/>
                <w:sz w:val="17"/>
              </w:rPr>
              <w:t>unreachable</w:t>
            </w:r>
          </w:p>
        </w:tc>
      </w:tr>
      <w:tr>
        <w:tc>
          <w:tcPr>
            <w:tcW w:type="dxa" w:w="1728"/>
          </w:tcPr>
          <w:p>
            <w:pPr>
              <w:spacing w:after="20" w:before="20"/>
            </w:pPr>
            <w:r/>
            <w:r>
              <w:rPr>
                <w:sz w:val="17"/>
              </w:rPr>
              <w:t>0.1</w:t>
            </w:r>
          </w:p>
        </w:tc>
        <w:tc>
          <w:tcPr>
            <w:tcW w:type="dxa" w:w="1152"/>
          </w:tcPr>
          <w:p>
            <w:pPr>
              <w:spacing w:after="20" w:before="20"/>
            </w:pPr>
            <w:r/>
            <w:r>
              <w:rPr>
                <w:sz w:val="17"/>
              </w:rPr>
              <w:t>2</w:t>
            </w:r>
          </w:p>
        </w:tc>
        <w:tc>
          <w:tcPr>
            <w:tcW w:type="dxa" w:w="1296"/>
          </w:tcPr>
          <w:p>
            <w:pPr>
              <w:spacing w:after="20" w:before="20"/>
            </w:pPr>
            <w:r/>
            <w:r>
              <w:rPr>
                <w:sz w:val="17"/>
              </w:rPr>
              <w:t>3</w:t>
            </w:r>
          </w:p>
        </w:tc>
        <w:tc>
          <w:tcPr>
            <w:tcW w:type="dxa" w:w="2160"/>
          </w:tcPr>
          <w:p>
            <w:pPr>
              <w:spacing w:after="20" w:before="20"/>
            </w:pPr>
            <w:r/>
            <w:r>
              <w:rPr>
                <w:sz w:val="17"/>
              </w:rPr>
              <w:t>1</w:t>
            </w:r>
          </w:p>
        </w:tc>
        <w:tc>
          <w:tcPr>
            <w:tcW w:type="dxa" w:w="1728"/>
          </w:tcPr>
          <w:p>
            <w:pPr>
              <w:spacing w:after="20" w:before="20"/>
            </w:pPr>
            <w:r/>
            <w:r>
              <w:rPr>
                <w:sz w:val="17"/>
              </w:rPr>
              <w:t>3</w:t>
            </w:r>
          </w:p>
        </w:tc>
      </w:tr>
      <w:tr>
        <w:tc>
          <w:tcPr>
            <w:tcW w:type="dxa" w:w="1728"/>
            <w:shd w:val="clear" w:fill="F1F4F8"/>
          </w:tcPr>
          <w:p>
            <w:pPr>
              <w:spacing w:after="20" w:before="20"/>
            </w:pPr>
            <w:r/>
            <w:r>
              <w:rPr>
                <w:sz w:val="17"/>
              </w:rPr>
              <w:t>0.2 (headline)</w:t>
            </w:r>
          </w:p>
        </w:tc>
        <w:tc>
          <w:tcPr>
            <w:tcW w:type="dxa" w:w="1152"/>
            <w:shd w:val="clear" w:fill="F1F4F8"/>
          </w:tcPr>
          <w:p>
            <w:pPr>
              <w:spacing w:after="20" w:before="20"/>
            </w:pPr>
            <w:r/>
            <w:r>
              <w:rPr>
                <w:sz w:val="17"/>
              </w:rPr>
              <w:t>1</w:t>
            </w:r>
          </w:p>
        </w:tc>
        <w:tc>
          <w:tcPr>
            <w:tcW w:type="dxa" w:w="1296"/>
            <w:shd w:val="clear" w:fill="F1F4F8"/>
          </w:tcPr>
          <w:p>
            <w:pPr>
              <w:spacing w:after="20" w:before="20"/>
            </w:pPr>
            <w:r/>
            <w:r>
              <w:rPr>
                <w:sz w:val="17"/>
              </w:rPr>
              <w:t>4</w:t>
            </w:r>
          </w:p>
        </w:tc>
        <w:tc>
          <w:tcPr>
            <w:tcW w:type="dxa" w:w="2160"/>
            <w:shd w:val="clear" w:fill="F1F4F8"/>
          </w:tcPr>
          <w:p>
            <w:pPr>
              <w:spacing w:after="20" w:before="20"/>
            </w:pPr>
            <w:r/>
            <w:r>
              <w:rPr>
                <w:sz w:val="17"/>
              </w:rPr>
              <w:t>2</w:t>
            </w:r>
          </w:p>
        </w:tc>
        <w:tc>
          <w:tcPr>
            <w:tcW w:type="dxa" w:w="1728"/>
            <w:shd w:val="clear" w:fill="F1F4F8"/>
          </w:tcPr>
          <w:p>
            <w:pPr>
              <w:spacing w:after="20" w:before="20"/>
            </w:pPr>
            <w:r/>
            <w:r>
              <w:rPr>
                <w:sz w:val="17"/>
              </w:rPr>
              <w:t>2</w:t>
            </w:r>
          </w:p>
        </w:tc>
      </w:tr>
      <w:tr>
        <w:tc>
          <w:tcPr>
            <w:tcW w:type="dxa" w:w="1728"/>
          </w:tcPr>
          <w:p>
            <w:pPr>
              <w:spacing w:after="20" w:before="20"/>
            </w:pPr>
            <w:r/>
            <w:r>
              <w:rPr>
                <w:sz w:val="17"/>
              </w:rPr>
              <w:t>0.3</w:t>
            </w:r>
          </w:p>
        </w:tc>
        <w:tc>
          <w:tcPr>
            <w:tcW w:type="dxa" w:w="1152"/>
          </w:tcPr>
          <w:p>
            <w:pPr>
              <w:spacing w:after="20" w:before="20"/>
            </w:pPr>
            <w:r/>
            <w:r>
              <w:rPr>
                <w:sz w:val="17"/>
              </w:rPr>
              <w:t>3</w:t>
            </w:r>
          </w:p>
        </w:tc>
        <w:tc>
          <w:tcPr>
            <w:tcW w:type="dxa" w:w="1296"/>
          </w:tcPr>
          <w:p>
            <w:pPr>
              <w:spacing w:after="20" w:before="20"/>
            </w:pPr>
            <w:r/>
            <w:r>
              <w:rPr>
                <w:sz w:val="17"/>
              </w:rPr>
              <w:t>2</w:t>
            </w:r>
          </w:p>
        </w:tc>
        <w:tc>
          <w:tcPr>
            <w:tcW w:type="dxa" w:w="2160"/>
          </w:tcPr>
          <w:p>
            <w:pPr>
              <w:spacing w:after="20" w:before="20"/>
            </w:pPr>
            <w:r/>
            <w:r>
              <w:rPr>
                <w:sz w:val="17"/>
              </w:rPr>
              <w:t>2</w:t>
            </w:r>
          </w:p>
        </w:tc>
        <w:tc>
          <w:tcPr>
            <w:tcW w:type="dxa" w:w="1728"/>
          </w:tcPr>
          <w:p>
            <w:pPr>
              <w:spacing w:after="20" w:before="20"/>
            </w:pPr>
            <w:r/>
            <w:r>
              <w:rPr>
                <w:sz w:val="17"/>
              </w:rPr>
              <w:t>— (2 partial)</w:t>
            </w:r>
          </w:p>
        </w:tc>
      </w:tr>
      <w:tr>
        <w:tc>
          <w:tcPr>
            <w:tcW w:type="dxa" w:w="1728"/>
            <w:shd w:val="clear" w:fill="F1F4F8"/>
          </w:tcPr>
          <w:p>
            <w:pPr>
              <w:spacing w:after="20" w:before="20"/>
            </w:pPr>
            <w:r/>
            <w:r>
              <w:rPr>
                <w:sz w:val="17"/>
              </w:rPr>
              <w:t>TOTAL</w:t>
            </w:r>
          </w:p>
        </w:tc>
        <w:tc>
          <w:tcPr>
            <w:tcW w:type="dxa" w:w="1152"/>
            <w:shd w:val="clear" w:fill="F1F4F8"/>
          </w:tcPr>
          <w:p>
            <w:pPr>
              <w:spacing w:after="20" w:before="20"/>
            </w:pPr>
            <w:r/>
            <w:r>
              <w:rPr>
                <w:b/>
                <w:color w:val="9B1C1C"/>
                <w:sz w:val="17"/>
              </w:rPr>
              <w:t>6</w:t>
            </w:r>
          </w:p>
        </w:tc>
        <w:tc>
          <w:tcPr>
            <w:tcW w:type="dxa" w:w="1296"/>
            <w:shd w:val="clear" w:fill="F1F4F8"/>
          </w:tcPr>
          <w:p>
            <w:pPr>
              <w:spacing w:after="20" w:before="20"/>
            </w:pPr>
            <w:r/>
            <w:r>
              <w:rPr>
                <w:b/>
                <w:color w:val="9B1C1C"/>
                <w:sz w:val="17"/>
              </w:rPr>
              <w:t>9</w:t>
            </w:r>
          </w:p>
        </w:tc>
        <w:tc>
          <w:tcPr>
            <w:tcW w:type="dxa" w:w="2160"/>
            <w:shd w:val="clear" w:fill="F1F4F8"/>
          </w:tcPr>
          <w:p>
            <w:pPr>
              <w:spacing w:after="20" w:before="20"/>
            </w:pPr>
            <w:r/>
            <w:r>
              <w:rPr>
                <w:sz w:val="17"/>
              </w:rPr>
              <w:t>5</w:t>
            </w:r>
          </w:p>
        </w:tc>
        <w:tc>
          <w:tcPr>
            <w:tcW w:type="dxa" w:w="1728"/>
            <w:shd w:val="clear" w:fill="F1F4F8"/>
          </w:tcPr>
          <w:p>
            <w:pPr>
              <w:spacing w:after="20" w:before="20"/>
            </w:pPr>
            <w:r/>
            <w:r>
              <w:rPr>
                <w:sz w:val="17"/>
              </w:rPr>
              <w:t>5</w:t>
            </w:r>
          </w:p>
        </w:tc>
      </w:tr>
    </w:tbl>
    <w:p>
      <w:pPr>
        <w:spacing w:after="40"/>
      </w:pPr>
    </w:p>
    <w:p>
      <w:r>
        <w:rPr>
          <w:b/>
          <w:i w:val="0"/>
          <w:color w:val="9B1C1C"/>
        </w:rPr>
        <w:t>Verdict: PREDOMINANTLY NOT MET</w:t>
      </w:r>
      <w:r>
        <w:rPr>
          <w:b w:val="0"/>
          <w:i w:val="0"/>
        </w:rPr>
        <w:t xml:space="preserve"> — 6 met of 22 evaluable pairs. The previous, now-superseded figure was 2 of 24 on a deleted run under the defective denominator. </w:t>
      </w:r>
      <w:r>
        <w:rPr>
          <w:b/>
          <w:i w:val="0"/>
        </w:rPr>
        <w:t>The direction of the pre-registered conclusion is unchanged by the correction</w:t>
      </w:r>
      <w:r>
        <w:rPr>
          <w:b w:val="0"/>
          <w:i w:val="0"/>
        </w:rPr>
        <w:t>, which is the substantive finding: the denominator defect was real but not verdict-bearing. The fairness symmetry check passed at all three λ.</w:t>
      </w:r>
    </w:p>
    <w:p>
      <w:pPr>
        <w:pStyle w:val="Heading3"/>
      </w:pPr>
      <w:r>
        <w:t>Boundary sensitivity — the verdict hardens</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2160"/>
            <w:shd w:val="clear" w:fill="1F406B"/>
          </w:tcPr>
          <w:p>
            <w:pPr>
              <w:spacing w:after="20" w:before="20"/>
            </w:pPr>
            <w:r/>
            <w:r>
              <w:rPr>
                <w:b/>
                <w:color w:val="FFFFFF"/>
                <w:sz w:val="16"/>
              </w:rPr>
              <w:t>Boundary (samples)</w:t>
            </w:r>
          </w:p>
        </w:tc>
        <w:tc>
          <w:tcPr>
            <w:tcW w:type="dxa" w:w="1152"/>
            <w:shd w:val="clear" w:fill="1F406B"/>
          </w:tcPr>
          <w:p>
            <w:pPr>
              <w:spacing w:after="20" w:before="20"/>
            </w:pPr>
            <w:r/>
            <w:r>
              <w:rPr>
                <w:b/>
                <w:color w:val="FFFFFF"/>
                <w:sz w:val="16"/>
              </w:rPr>
              <w:t>λ=0.1</w:t>
            </w:r>
          </w:p>
        </w:tc>
        <w:tc>
          <w:tcPr>
            <w:tcW w:type="dxa" w:w="1152"/>
            <w:shd w:val="clear" w:fill="1F406B"/>
          </w:tcPr>
          <w:p>
            <w:pPr>
              <w:spacing w:after="20" w:before="20"/>
            </w:pPr>
            <w:r/>
            <w:r>
              <w:rPr>
                <w:b/>
                <w:color w:val="FFFFFF"/>
                <w:sz w:val="16"/>
              </w:rPr>
              <w:t>λ=0.2</w:t>
            </w:r>
          </w:p>
        </w:tc>
        <w:tc>
          <w:tcPr>
            <w:tcW w:type="dxa" w:w="1152"/>
            <w:shd w:val="clear" w:fill="1F406B"/>
          </w:tcPr>
          <w:p>
            <w:pPr>
              <w:spacing w:after="20" w:before="20"/>
            </w:pPr>
            <w:r/>
            <w:r>
              <w:rPr>
                <w:b/>
                <w:color w:val="FFFFFF"/>
                <w:sz w:val="16"/>
              </w:rPr>
              <w:t>λ=0.3</w:t>
            </w:r>
          </w:p>
        </w:tc>
        <w:tc>
          <w:tcPr>
            <w:tcW w:type="dxa" w:w="2448"/>
            <w:shd w:val="clear" w:fill="1F406B"/>
          </w:tcPr>
          <w:p>
            <w:pPr>
              <w:spacing w:after="20" w:before="20"/>
            </w:pPr>
            <w:r/>
            <w:r>
              <w:rPr>
                <w:b/>
                <w:color w:val="FFFFFF"/>
                <w:sz w:val="16"/>
              </w:rPr>
              <w:t>Reading</w:t>
            </w:r>
          </w:p>
        </w:tc>
      </w:tr>
      <w:tr>
        <w:tc>
          <w:tcPr>
            <w:tcW w:type="dxa" w:w="2160"/>
          </w:tcPr>
          <w:p>
            <w:pPr>
              <w:spacing w:after="20" w:before="20"/>
            </w:pPr>
            <w:r/>
            <w:r>
              <w:rPr>
                <w:sz w:val="16"/>
              </w:rPr>
              <w:t>3 (PRE-REGISTERED)</w:t>
            </w:r>
          </w:p>
        </w:tc>
        <w:tc>
          <w:tcPr>
            <w:tcW w:type="dxa" w:w="1152"/>
          </w:tcPr>
          <w:p>
            <w:pPr>
              <w:spacing w:after="20" w:before="20"/>
            </w:pPr>
            <w:r/>
            <w:r>
              <w:rPr>
                <w:sz w:val="16"/>
              </w:rPr>
              <w:t>2 met</w:t>
            </w:r>
          </w:p>
        </w:tc>
        <w:tc>
          <w:tcPr>
            <w:tcW w:type="dxa" w:w="1152"/>
          </w:tcPr>
          <w:p>
            <w:pPr>
              <w:spacing w:after="20" w:before="20"/>
            </w:pPr>
            <w:r/>
            <w:r>
              <w:rPr>
                <w:sz w:val="16"/>
              </w:rPr>
              <w:t>1 met</w:t>
            </w:r>
          </w:p>
        </w:tc>
        <w:tc>
          <w:tcPr>
            <w:tcW w:type="dxa" w:w="1152"/>
          </w:tcPr>
          <w:p>
            <w:pPr>
              <w:spacing w:after="20" w:before="20"/>
            </w:pPr>
            <w:r/>
            <w:r>
              <w:rPr>
                <w:sz w:val="16"/>
              </w:rPr>
              <w:t>3 met</w:t>
            </w:r>
          </w:p>
        </w:tc>
        <w:tc>
          <w:tcPr>
            <w:tcW w:type="dxa" w:w="2448"/>
          </w:tcPr>
          <w:p>
            <w:pPr>
              <w:spacing w:after="20" w:before="20"/>
            </w:pPr>
            <w:r/>
            <w:r>
              <w:rPr>
                <w:sz w:val="16"/>
              </w:rPr>
              <w:t>reported first, always</w:t>
            </w:r>
          </w:p>
        </w:tc>
      </w:tr>
      <w:tr>
        <w:tc>
          <w:tcPr>
            <w:tcW w:type="dxa" w:w="2160"/>
            <w:shd w:val="clear" w:fill="F1F4F8"/>
          </w:tcPr>
          <w:p>
            <w:pPr>
              <w:spacing w:after="20" w:before="20"/>
            </w:pPr>
            <w:r/>
            <w:r>
              <w:rPr>
                <w:sz w:val="16"/>
              </w:rPr>
              <w:t>10</w:t>
            </w:r>
          </w:p>
        </w:tc>
        <w:tc>
          <w:tcPr>
            <w:tcW w:type="dxa" w:w="1152"/>
            <w:shd w:val="clear" w:fill="F1F4F8"/>
          </w:tcPr>
          <w:p>
            <w:pPr>
              <w:spacing w:after="20" w:before="20"/>
            </w:pPr>
            <w:r/>
            <w:r>
              <w:rPr>
                <w:sz w:val="16"/>
              </w:rPr>
              <w:t>1 met</w:t>
            </w:r>
          </w:p>
        </w:tc>
        <w:tc>
          <w:tcPr>
            <w:tcW w:type="dxa" w:w="1152"/>
            <w:shd w:val="clear" w:fill="F1F4F8"/>
          </w:tcPr>
          <w:p>
            <w:pPr>
              <w:spacing w:after="20" w:before="20"/>
            </w:pPr>
            <w:r/>
            <w:r>
              <w:rPr>
                <w:b/>
                <w:color w:val="9B1C1C"/>
                <w:sz w:val="16"/>
              </w:rPr>
              <w:t>0 met</w:t>
            </w:r>
          </w:p>
        </w:tc>
        <w:tc>
          <w:tcPr>
            <w:tcW w:type="dxa" w:w="1152"/>
            <w:shd w:val="clear" w:fill="F1F4F8"/>
          </w:tcPr>
          <w:p>
            <w:pPr>
              <w:spacing w:after="20" w:before="20"/>
            </w:pPr>
            <w:r/>
            <w:r>
              <w:rPr>
                <w:b/>
                <w:color w:val="9B1C1C"/>
                <w:sz w:val="16"/>
              </w:rPr>
              <w:t>0 met</w:t>
            </w:r>
          </w:p>
        </w:tc>
        <w:tc>
          <w:tcPr>
            <w:tcW w:type="dxa" w:w="2448"/>
            <w:shd w:val="clear" w:fill="F1F4F8"/>
          </w:tcPr>
          <w:p>
            <w:pPr>
              <w:spacing w:after="20" w:before="20"/>
            </w:pPr>
            <w:r/>
            <w:r>
              <w:rPr>
                <w:sz w:val="16"/>
              </w:rPr>
              <w:t>—</w:t>
            </w:r>
          </w:p>
        </w:tc>
      </w:tr>
      <w:tr>
        <w:tc>
          <w:tcPr>
            <w:tcW w:type="dxa" w:w="2160"/>
          </w:tcPr>
          <w:p>
            <w:pPr>
              <w:spacing w:after="20" w:before="20"/>
            </w:pPr>
            <w:r/>
            <w:r>
              <w:rPr>
                <w:sz w:val="16"/>
              </w:rPr>
              <w:t>12 (≈ CARE-scaled)</w:t>
            </w:r>
          </w:p>
        </w:tc>
        <w:tc>
          <w:tcPr>
            <w:tcW w:type="dxa" w:w="1152"/>
          </w:tcPr>
          <w:p>
            <w:pPr>
              <w:spacing w:after="20" w:before="20"/>
            </w:pPr>
            <w:r/>
            <w:r>
              <w:rPr>
                <w:sz w:val="16"/>
              </w:rPr>
              <w:t>2 met</w:t>
            </w:r>
          </w:p>
        </w:tc>
        <w:tc>
          <w:tcPr>
            <w:tcW w:type="dxa" w:w="1152"/>
          </w:tcPr>
          <w:p>
            <w:pPr>
              <w:spacing w:after="20" w:before="20"/>
            </w:pPr>
            <w:r/>
            <w:r>
              <w:rPr>
                <w:b/>
                <w:color w:val="9B1C1C"/>
                <w:sz w:val="16"/>
              </w:rPr>
              <w:t>0 met</w:t>
            </w:r>
          </w:p>
        </w:tc>
        <w:tc>
          <w:tcPr>
            <w:tcW w:type="dxa" w:w="1152"/>
          </w:tcPr>
          <w:p>
            <w:pPr>
              <w:spacing w:after="20" w:before="20"/>
            </w:pPr>
            <w:r/>
            <w:r>
              <w:rPr>
                <w:b/>
                <w:color w:val="9B1C1C"/>
                <w:sz w:val="16"/>
              </w:rPr>
              <w:t>0 met</w:t>
            </w:r>
          </w:p>
        </w:tc>
        <w:tc>
          <w:tcPr>
            <w:tcW w:type="dxa" w:w="2448"/>
          </w:tcPr>
          <w:p>
            <w:pPr>
              <w:spacing w:after="20" w:before="20"/>
            </w:pPr>
            <w:r/>
            <w:r>
              <w:rPr>
                <w:sz w:val="16"/>
              </w:rPr>
              <w:t>Gück et al. anchor</w:t>
            </w:r>
          </w:p>
        </w:tc>
      </w:tr>
      <w:tr>
        <w:tc>
          <w:tcPr>
            <w:tcW w:type="dxa" w:w="2160"/>
            <w:shd w:val="clear" w:fill="F1F4F8"/>
          </w:tcPr>
          <w:p>
            <w:pPr>
              <w:spacing w:after="20" w:before="20"/>
            </w:pPr>
            <w:r/>
            <w:r>
              <w:rPr>
                <w:sz w:val="16"/>
              </w:rPr>
              <w:t>20 (≈ 3.3 h)</w:t>
            </w:r>
          </w:p>
        </w:tc>
        <w:tc>
          <w:tcPr>
            <w:tcW w:type="dxa" w:w="1152"/>
            <w:shd w:val="clear" w:fill="F1F4F8"/>
          </w:tcPr>
          <w:p>
            <w:pPr>
              <w:spacing w:after="20" w:before="20"/>
            </w:pPr>
            <w:r/>
            <w:r>
              <w:rPr>
                <w:sz w:val="16"/>
              </w:rPr>
              <w:t>1 met</w:t>
            </w:r>
          </w:p>
        </w:tc>
        <w:tc>
          <w:tcPr>
            <w:tcW w:type="dxa" w:w="1152"/>
            <w:shd w:val="clear" w:fill="F1F4F8"/>
          </w:tcPr>
          <w:p>
            <w:pPr>
              <w:spacing w:after="20" w:before="20"/>
            </w:pPr>
            <w:r/>
            <w:r>
              <w:rPr>
                <w:b/>
                <w:color w:val="9B1C1C"/>
                <w:sz w:val="16"/>
              </w:rPr>
              <w:t>0 met</w:t>
            </w:r>
          </w:p>
        </w:tc>
        <w:tc>
          <w:tcPr>
            <w:tcW w:type="dxa" w:w="1152"/>
            <w:shd w:val="clear" w:fill="F1F4F8"/>
          </w:tcPr>
          <w:p>
            <w:pPr>
              <w:spacing w:after="20" w:before="20"/>
            </w:pPr>
            <w:r/>
            <w:r>
              <w:rPr>
                <w:sz w:val="16"/>
              </w:rPr>
              <w:t>1 met</w:t>
            </w:r>
          </w:p>
        </w:tc>
        <w:tc>
          <w:tcPr>
            <w:tcW w:type="dxa" w:w="2448"/>
            <w:shd w:val="clear" w:fill="F1F4F8"/>
          </w:tcPr>
          <w:p>
            <w:pPr>
              <w:spacing w:after="20" w:before="20"/>
            </w:pPr>
            <w:r/>
            <w:r>
              <w:rPr>
                <w:sz w:val="16"/>
              </w:rPr>
              <w:t>Nogueira et al. 2025 rule</w:t>
            </w:r>
          </w:p>
        </w:tc>
      </w:tr>
    </w:tbl>
    <w:p>
      <w:pPr>
        <w:spacing w:after="40"/>
      </w:pPr>
    </w:p>
    <w:p>
      <w:r>
        <w:rPr>
          <w:b w:val="0"/>
          <w:i w:val="0"/>
        </w:rPr>
        <w:t>ADR-031 pre-committed that a flip at literature-anchored persistence would be a finding about the criterion's construct validity (LIM-020). No flip occurred. At λ=0.2 the “met” verdicts vanish entirely at 10, 12 and 20 samples. The handful of met verdicts at the 30-minute pre-registered boundary do not survive at published-practice values — so LIM-020's concern is answered in the direction that strengthens the negative result.</w:t>
      </w:r>
    </w:p>
    <w:tbl>
      <w:tblPr>
        <w:tblStyle w:val="TableGrid"/>
        <w:tblW w:type="auto" w:w="0"/>
        <w:tblLook w:firstColumn="1" w:firstRow="1" w:lastColumn="0" w:lastRow="0" w:noHBand="0" w:noVBand="1" w:val="04A0"/>
      </w:tblPr>
      <w:tblGrid>
        <w:gridCol w:w="9173"/>
      </w:tblGrid>
      <w:tr>
        <w:tc>
          <w:tcPr>
            <w:tcW w:type="dxa" w:w="9173"/>
            <w:shd w:val="clear" w:fill="FFF6E5"/>
          </w:tcPr>
          <w:p>
            <w:r/>
            <w:r>
              <w:rPr>
                <w:b/>
                <w:color w:val="8A5A00"/>
                <w:sz w:val="19"/>
              </w:rPr>
              <w:t>What this does NOT buy</w:t>
            </w:r>
          </w:p>
          <w:p>
            <w:pPr>
              <w:spacing w:after="40"/>
            </w:pPr>
            <w:r>
              <w:rPr>
                <w:sz w:val="19"/>
              </w:rPr>
              <w:t>A correctly-computed negative is not an answer to RQ2 as posed. ADR-035 stands: at r = 0.932–0.952 a 1-of-2 rule and a 2-of-2 rule fire on nearly the same rows, so the sweep measures the CHANNELS, not the coordination rule. ADR-047 adds that the swept population is 17.9% out-of-regime. The result is now citable and robust; it is still evidence about a dataset property rather than about a detector design.</w:t>
            </w:r>
          </w:p>
        </w:tc>
      </w:tr>
    </w:tbl>
    <w:p>
      <w:pPr>
        <w:spacing w:after="40"/>
      </w:pPr>
    </w:p>
    <w:p>
      <w:pPr>
        <w:pStyle w:val="Heading2"/>
      </w:pPr>
      <w:r>
        <w:t>6.6 The 60× inflation, externally corroborated (ADR-026)</w:t>
      </w:r>
    </w:p>
    <w:p>
      <w:r>
        <w:rPr>
          <w:b w:val="0"/>
          <w:i w:val="0"/>
        </w:rPr>
        <w:t xml:space="preserve">Before 2026-08-19, ADR-026 raised the EWMA multiplier from 3σ to 10–21σ with no external justification on record. To a hostile reader that is a threshold tuned until the numbers behaved — the worst available reading, and exactly what Guard 4's threshold-provenance requirement exists to foreclose. An additive corroboration block now records that </w:t>
      </w:r>
      <w:r>
        <w:rPr>
          <w:b/>
          <w:i w:val="0"/>
        </w:rPr>
        <w:t>Fiocchi, Ladopoulou &amp; Dellaportas monitored the SAME Kelmarsh dataset with a CUSUM chart and had to raise their decision interval from the theoretical I=5 to an empirical I=15</w:t>
      </w:r>
      <w:r>
        <w:rPr>
          <w:b w:val="0"/>
          <w:i w:val="0"/>
        </w:rPr>
        <w:t xml:space="preserve"> — a threefold departure from theory, by an independent team, using a different detector family. The methodological anchor, Lu &amp; Reynolds (1999) on EWMA charts for autocorrelated processes, was already in the Chapter 2 reference list.</w:t>
      </w:r>
    </w:p>
    <w:p>
      <w:r>
        <w:rPr>
          <w:b w:val="0"/>
          <w:i w:val="0"/>
        </w:rPr>
        <w:t>The closed finding is unchanged; only supporting evidence was added. The inflation stops reading as a defect of this pipeline and starts reading as a replicated field-level result.</w:t>
      </w:r>
    </w:p>
    <w:p>
      <w:pPr>
        <w:pStyle w:val="Heading2"/>
      </w:pPr>
      <w:r>
        <w:t>6.7 A hypothesis this report advanced, and its refutation (LIM-035)</w:t>
      </w:r>
    </w:p>
    <w:p>
      <w:r>
        <w:rPr>
          <w:b w:val="0"/>
          <w:i w:val="0"/>
        </w:rPr>
        <w:t>Revision 1 of this report proposed that Chesterman's dual criterion — a good NBM has small error on healthy data and LARGE error on unhealthy data — would reframe the unfiltered-slice reversal favourably. It was implemented and measured. It does not.</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2088"/>
            <w:shd w:val="clear" w:fill="1F406B"/>
          </w:tcPr>
          <w:p>
            <w:pPr>
              <w:spacing w:after="20" w:before="20"/>
            </w:pPr>
            <w:r/>
            <w:r>
              <w:rPr>
                <w:b/>
                <w:color w:val="FFFFFF"/>
                <w:sz w:val="16"/>
              </w:rPr>
              <w:t>Computation</w:t>
            </w:r>
          </w:p>
        </w:tc>
        <w:tc>
          <w:tcPr>
            <w:tcW w:type="dxa" w:w="1656"/>
            <w:shd w:val="clear" w:fill="1F406B"/>
          </w:tcPr>
          <w:p>
            <w:pPr>
              <w:spacing w:after="20" w:before="20"/>
            </w:pPr>
            <w:r/>
            <w:r>
              <w:rPr>
                <w:b/>
                <w:color w:val="FFFFFF"/>
                <w:sz w:val="16"/>
              </w:rPr>
              <w:t>Model</w:t>
            </w:r>
          </w:p>
        </w:tc>
        <w:tc>
          <w:tcPr>
            <w:tcW w:type="dxa" w:w="1296"/>
            <w:shd w:val="clear" w:fill="1F406B"/>
          </w:tcPr>
          <w:p>
            <w:pPr>
              <w:spacing w:after="20" w:before="20"/>
            </w:pPr>
            <w:r/>
            <w:r>
              <w:rPr>
                <w:b/>
                <w:color w:val="FFFFFF"/>
                <w:sz w:val="16"/>
              </w:rPr>
              <w:t>Bearing Δ</w:t>
            </w:r>
          </w:p>
        </w:tc>
        <w:tc>
          <w:tcPr>
            <w:tcW w:type="dxa" w:w="1224"/>
            <w:shd w:val="clear" w:fill="1F406B"/>
          </w:tcPr>
          <w:p>
            <w:pPr>
              <w:spacing w:after="20" w:before="20"/>
            </w:pPr>
            <w:r/>
            <w:r>
              <w:rPr>
                <w:b/>
                <w:color w:val="FFFFFF"/>
                <w:sz w:val="16"/>
              </w:rPr>
              <w:t>Oil Δ</w:t>
            </w:r>
          </w:p>
        </w:tc>
        <w:tc>
          <w:tcPr>
            <w:tcW w:type="dxa" w:w="1728"/>
            <w:shd w:val="clear" w:fill="1F406B"/>
          </w:tcPr>
          <w:p>
            <w:pPr>
              <w:spacing w:after="20" w:before="20"/>
            </w:pPr>
            <w:r/>
            <w:r>
              <w:rPr>
                <w:b/>
                <w:color w:val="FFFFFF"/>
                <w:sz w:val="16"/>
              </w:rPr>
              <w:t>Status</w:t>
            </w:r>
          </w:p>
        </w:tc>
      </w:tr>
      <w:tr>
        <w:tc>
          <w:tcPr>
            <w:tcW w:type="dxa" w:w="2088"/>
          </w:tcPr>
          <w:p>
            <w:pPr>
              <w:spacing w:after="20" w:before="20"/>
            </w:pPr>
            <w:r/>
            <w:r>
              <w:rPr>
                <w:sz w:val="16"/>
              </w:rPr>
              <w:t>pooled (whole stream)</w:t>
            </w:r>
          </w:p>
        </w:tc>
        <w:tc>
          <w:tcPr>
            <w:tcW w:type="dxa" w:w="1656"/>
          </w:tcPr>
          <w:p>
            <w:pPr>
              <w:spacing w:after="20" w:before="20"/>
            </w:pPr>
            <w:r/>
            <w:r>
              <w:rPr>
                <w:sz w:val="16"/>
              </w:rPr>
              <w:t>thesis</w:t>
            </w:r>
          </w:p>
        </w:tc>
        <w:tc>
          <w:tcPr>
            <w:tcW w:type="dxa" w:w="1296"/>
          </w:tcPr>
          <w:p>
            <w:pPr>
              <w:spacing w:after="20" w:before="20"/>
            </w:pPr>
            <w:r/>
            <w:r>
              <w:rPr>
                <w:b/>
                <w:color w:val="5A5A5A"/>
                <w:sz w:val="16"/>
              </w:rPr>
              <w:t>+11.3149</w:t>
            </w:r>
          </w:p>
        </w:tc>
        <w:tc>
          <w:tcPr>
            <w:tcW w:type="dxa" w:w="1224"/>
          </w:tcPr>
          <w:p>
            <w:pPr>
              <w:spacing w:after="20" w:before="20"/>
            </w:pPr>
            <w:r/>
            <w:r>
              <w:rPr>
                <w:sz w:val="16"/>
              </w:rPr>
              <w:t>+6.9669</w:t>
            </w:r>
          </w:p>
        </w:tc>
        <w:tc>
          <w:tcPr>
            <w:tcW w:type="dxa" w:w="1728"/>
          </w:tcPr>
          <w:p>
            <w:pPr>
              <w:spacing w:after="20" w:before="20"/>
            </w:pPr>
            <w:r/>
            <w:r>
              <w:rPr>
                <w:sz w:val="16"/>
              </w:rPr>
              <w:t>NOT CITABLE</w:t>
            </w:r>
          </w:p>
        </w:tc>
      </w:tr>
      <w:tr>
        <w:tc>
          <w:tcPr>
            <w:tcW w:type="dxa" w:w="2088"/>
            <w:shd w:val="clear" w:fill="F1F4F8"/>
          </w:tcPr>
          <w:p>
            <w:pPr>
              <w:spacing w:after="20" w:before="20"/>
            </w:pPr>
            <w:r/>
            <w:r>
              <w:rPr>
                <w:sz w:val="16"/>
              </w:rPr>
              <w:t>pooled (whole stream)</w:t>
            </w:r>
          </w:p>
        </w:tc>
        <w:tc>
          <w:tcPr>
            <w:tcW w:type="dxa" w:w="1656"/>
            <w:shd w:val="clear" w:fill="F1F4F8"/>
          </w:tcPr>
          <w:p>
            <w:pPr>
              <w:spacing w:after="20" w:before="20"/>
            </w:pPr>
            <w:r/>
            <w:r>
              <w:rPr>
                <w:sz w:val="16"/>
              </w:rPr>
              <w:t>elastic_net</w:t>
            </w:r>
          </w:p>
        </w:tc>
        <w:tc>
          <w:tcPr>
            <w:tcW w:type="dxa" w:w="1296"/>
            <w:shd w:val="clear" w:fill="F1F4F8"/>
          </w:tcPr>
          <w:p>
            <w:pPr>
              <w:spacing w:after="20" w:before="20"/>
            </w:pPr>
            <w:r/>
            <w:r>
              <w:rPr>
                <w:sz w:val="16"/>
              </w:rPr>
              <w:t>+5.9097</w:t>
            </w:r>
          </w:p>
        </w:tc>
        <w:tc>
          <w:tcPr>
            <w:tcW w:type="dxa" w:w="1224"/>
            <w:shd w:val="clear" w:fill="F1F4F8"/>
          </w:tcPr>
          <w:p>
            <w:pPr>
              <w:spacing w:after="20" w:before="20"/>
            </w:pPr>
            <w:r/>
            <w:r>
              <w:rPr>
                <w:sz w:val="16"/>
              </w:rPr>
              <w:t>+5.4680</w:t>
            </w:r>
          </w:p>
        </w:tc>
        <w:tc>
          <w:tcPr>
            <w:tcW w:type="dxa" w:w="1728"/>
            <w:shd w:val="clear" w:fill="F1F4F8"/>
          </w:tcPr>
          <w:p>
            <w:pPr>
              <w:spacing w:after="20" w:before="20"/>
            </w:pPr>
            <w:r/>
            <w:r>
              <w:rPr>
                <w:sz w:val="16"/>
              </w:rPr>
              <w:t>NOT CITABLE</w:t>
            </w:r>
          </w:p>
        </w:tc>
      </w:tr>
      <w:tr>
        <w:tc>
          <w:tcPr>
            <w:tcW w:type="dxa" w:w="2088"/>
          </w:tcPr>
          <w:p>
            <w:pPr>
              <w:spacing w:after="20" w:before="20"/>
            </w:pPr>
            <w:r/>
            <w:r>
              <w:rPr>
                <w:sz w:val="16"/>
              </w:rPr>
              <w:t>pooled (whole stream)</w:t>
            </w:r>
          </w:p>
        </w:tc>
        <w:tc>
          <w:tcPr>
            <w:tcW w:type="dxa" w:w="1656"/>
          </w:tcPr>
          <w:p>
            <w:pPr>
              <w:spacing w:after="20" w:before="20"/>
            </w:pPr>
            <w:r/>
            <w:r>
              <w:rPr>
                <w:sz w:val="16"/>
              </w:rPr>
              <w:t>baseline (OLS)</w:t>
            </w:r>
          </w:p>
        </w:tc>
        <w:tc>
          <w:tcPr>
            <w:tcW w:type="dxa" w:w="1296"/>
          </w:tcPr>
          <w:p>
            <w:pPr>
              <w:spacing w:after="20" w:before="20"/>
            </w:pPr>
            <w:r/>
            <w:r>
              <w:rPr>
                <w:sz w:val="16"/>
              </w:rPr>
              <w:t>+5.6422</w:t>
            </w:r>
          </w:p>
        </w:tc>
        <w:tc>
          <w:tcPr>
            <w:tcW w:type="dxa" w:w="1224"/>
          </w:tcPr>
          <w:p>
            <w:pPr>
              <w:spacing w:after="20" w:before="20"/>
            </w:pPr>
            <w:r/>
            <w:r>
              <w:rPr>
                <w:sz w:val="16"/>
              </w:rPr>
              <w:t>+4.9358</w:t>
            </w:r>
          </w:p>
        </w:tc>
        <w:tc>
          <w:tcPr>
            <w:tcW w:type="dxa" w:w="1728"/>
          </w:tcPr>
          <w:p>
            <w:pPr>
              <w:spacing w:after="20" w:before="20"/>
            </w:pPr>
            <w:r/>
            <w:r>
              <w:rPr>
                <w:sz w:val="16"/>
              </w:rPr>
              <w:t>NOT CITABLE</w:t>
            </w:r>
          </w:p>
        </w:tc>
      </w:tr>
      <w:tr>
        <w:tc>
          <w:tcPr>
            <w:tcW w:type="dxa" w:w="2088"/>
            <w:shd w:val="clear" w:fill="F1F4F8"/>
          </w:tcPr>
          <w:p>
            <w:pPr>
              <w:spacing w:after="20" w:before="20"/>
            </w:pPr>
            <w:r/>
            <w:r>
              <w:rPr>
                <w:sz w:val="16"/>
              </w:rPr>
              <w:t>in-regime (correct)</w:t>
            </w:r>
          </w:p>
        </w:tc>
        <w:tc>
          <w:tcPr>
            <w:tcW w:type="dxa" w:w="1656"/>
            <w:shd w:val="clear" w:fill="F1F4F8"/>
          </w:tcPr>
          <w:p>
            <w:pPr>
              <w:spacing w:after="20" w:before="20"/>
            </w:pPr>
            <w:r/>
            <w:r>
              <w:rPr>
                <w:sz w:val="16"/>
              </w:rPr>
              <w:t>baseline (OLS)</w:t>
            </w:r>
          </w:p>
        </w:tc>
        <w:tc>
          <w:tcPr>
            <w:tcW w:type="dxa" w:w="1296"/>
            <w:shd w:val="clear" w:fill="F1F4F8"/>
          </w:tcPr>
          <w:p>
            <w:pPr>
              <w:spacing w:after="20" w:before="20"/>
            </w:pPr>
            <w:r/>
            <w:r>
              <w:rPr>
                <w:sz w:val="16"/>
              </w:rPr>
              <w:t>+0.2323</w:t>
            </w:r>
          </w:p>
        </w:tc>
        <w:tc>
          <w:tcPr>
            <w:tcW w:type="dxa" w:w="1224"/>
            <w:shd w:val="clear" w:fill="F1F4F8"/>
          </w:tcPr>
          <w:p>
            <w:pPr>
              <w:spacing w:after="20" w:before="20"/>
            </w:pPr>
            <w:r/>
            <w:r>
              <w:rPr>
                <w:sz w:val="16"/>
              </w:rPr>
              <w:t>+0.1884</w:t>
            </w:r>
          </w:p>
        </w:tc>
        <w:tc>
          <w:tcPr>
            <w:tcW w:type="dxa" w:w="1728"/>
            <w:shd w:val="clear" w:fill="F1F4F8"/>
          </w:tcPr>
          <w:p>
            <w:pPr>
              <w:spacing w:after="20" w:before="20"/>
            </w:pPr>
            <w:r/>
            <w:r>
              <w:rPr>
                <w:b/>
                <w:color w:val="1B5E20"/>
                <w:sz w:val="16"/>
              </w:rPr>
              <w:t>best</w:t>
            </w:r>
          </w:p>
        </w:tc>
      </w:tr>
      <w:tr>
        <w:tc>
          <w:tcPr>
            <w:tcW w:type="dxa" w:w="2088"/>
          </w:tcPr>
          <w:p>
            <w:pPr>
              <w:spacing w:after="20" w:before="20"/>
            </w:pPr>
            <w:r/>
            <w:r>
              <w:rPr>
                <w:sz w:val="16"/>
              </w:rPr>
              <w:t>in-regime (correct)</w:t>
            </w:r>
          </w:p>
        </w:tc>
        <w:tc>
          <w:tcPr>
            <w:tcW w:type="dxa" w:w="1656"/>
          </w:tcPr>
          <w:p>
            <w:pPr>
              <w:spacing w:after="20" w:before="20"/>
            </w:pPr>
            <w:r/>
            <w:r>
              <w:rPr>
                <w:sz w:val="16"/>
              </w:rPr>
              <w:t>elastic_net</w:t>
            </w:r>
          </w:p>
        </w:tc>
        <w:tc>
          <w:tcPr>
            <w:tcW w:type="dxa" w:w="1296"/>
          </w:tcPr>
          <w:p>
            <w:pPr>
              <w:spacing w:after="20" w:before="20"/>
            </w:pPr>
            <w:r/>
            <w:r>
              <w:rPr>
                <w:sz w:val="16"/>
              </w:rPr>
              <w:t>+0.2250</w:t>
            </w:r>
          </w:p>
        </w:tc>
        <w:tc>
          <w:tcPr>
            <w:tcW w:type="dxa" w:w="1224"/>
          </w:tcPr>
          <w:p>
            <w:pPr>
              <w:spacing w:after="20" w:before="20"/>
            </w:pPr>
            <w:r/>
            <w:r>
              <w:rPr>
                <w:sz w:val="16"/>
              </w:rPr>
              <w:t>+0.1624</w:t>
            </w:r>
          </w:p>
        </w:tc>
        <w:tc>
          <w:tcPr>
            <w:tcW w:type="dxa" w:w="1728"/>
          </w:tcPr>
          <w:p>
            <w:pPr>
              <w:spacing w:after="20" w:before="20"/>
            </w:pPr>
            <w:r/>
            <w:r>
              <w:rPr>
                <w:sz w:val="16"/>
              </w:rPr>
              <w:t>second</w:t>
            </w:r>
          </w:p>
        </w:tc>
      </w:tr>
      <w:tr>
        <w:tc>
          <w:tcPr>
            <w:tcW w:type="dxa" w:w="2088"/>
            <w:shd w:val="clear" w:fill="F1F4F8"/>
          </w:tcPr>
          <w:p>
            <w:pPr>
              <w:spacing w:after="20" w:before="20"/>
            </w:pPr>
            <w:r/>
            <w:r>
              <w:rPr>
                <w:sz w:val="16"/>
              </w:rPr>
              <w:t>in-regime (correct)</w:t>
            </w:r>
          </w:p>
        </w:tc>
        <w:tc>
          <w:tcPr>
            <w:tcW w:type="dxa" w:w="1656"/>
            <w:shd w:val="clear" w:fill="F1F4F8"/>
          </w:tcPr>
          <w:p>
            <w:pPr>
              <w:spacing w:after="20" w:before="20"/>
            </w:pPr>
            <w:r/>
            <w:r>
              <w:rPr>
                <w:sz w:val="16"/>
              </w:rPr>
              <w:t>thesis</w:t>
            </w:r>
          </w:p>
        </w:tc>
        <w:tc>
          <w:tcPr>
            <w:tcW w:type="dxa" w:w="1296"/>
            <w:shd w:val="clear" w:fill="F1F4F8"/>
          </w:tcPr>
          <w:p>
            <w:pPr>
              <w:spacing w:after="20" w:before="20"/>
            </w:pPr>
            <w:r/>
            <w:r>
              <w:rPr>
                <w:b/>
                <w:color w:val="9B1C1C"/>
                <w:sz w:val="16"/>
              </w:rPr>
              <w:t>+0.1854</w:t>
            </w:r>
          </w:p>
        </w:tc>
        <w:tc>
          <w:tcPr>
            <w:tcW w:type="dxa" w:w="1224"/>
            <w:shd w:val="clear" w:fill="F1F4F8"/>
          </w:tcPr>
          <w:p>
            <w:pPr>
              <w:spacing w:after="20" w:before="20"/>
            </w:pPr>
            <w:r/>
            <w:r>
              <w:rPr>
                <w:b/>
                <w:color w:val="9B1C1C"/>
                <w:sz w:val="16"/>
              </w:rPr>
              <w:t>+0.0552</w:t>
            </w:r>
          </w:p>
        </w:tc>
        <w:tc>
          <w:tcPr>
            <w:tcW w:type="dxa" w:w="1728"/>
            <w:shd w:val="clear" w:fill="F1F4F8"/>
          </w:tcPr>
          <w:p>
            <w:pPr>
              <w:spacing w:after="20" w:before="20"/>
            </w:pPr>
            <w:r/>
            <w:r>
              <w:rPr>
                <w:b/>
                <w:color w:val="9B1C1C"/>
                <w:sz w:val="16"/>
              </w:rPr>
              <w:t>LAST on both</w:t>
            </w:r>
          </w:p>
        </w:tc>
      </w:tr>
    </w:tbl>
    <w:p>
      <w:pPr>
        <w:spacing w:after="40"/>
      </w:pPr>
    </w:p>
    <w:p>
      <w:r>
        <w:rPr>
          <w:b w:val="0"/>
          <w:i w:val="0"/>
        </w:rPr>
        <w:t xml:space="preserve">Pooled, the thesis model appeared to win by a wide margin. Computed within regime — so that “unhealthy” means degraded rather than parked — </w:t>
      </w:r>
      <w:r>
        <w:rPr>
          <w:b/>
          <w:i w:val="0"/>
          <w:color w:val="9B1C1C"/>
        </w:rPr>
        <w:t>the ordering reverses and the thesis model comes last on both targets</w:t>
      </w:r>
      <w:r>
        <w:rPr>
          <w:b w:val="0"/>
          <w:i w:val="0"/>
        </w:rPr>
        <w:t>. The pooled advantage was entirely extrapolation failure: 65.7% of the “unhealthy” complement (132,906 of 202,418 rows) sits below the training floor.</w:t>
      </w:r>
    </w:p>
    <w:p>
      <w:r>
        <w:rPr>
          <w:b w:val="0"/>
          <w:i w:val="0"/>
        </w:rPr>
        <w:t>Two consequences, both recorded in LIM-035. The dual-criterion reframing must not be used to answer the unfiltered-slice reversal — §6.4 does that correctly. And a separate reading stands on its own: on this dataset a linear reference separates healthy from unhealthy behaviour marginally better than the tuned NBM, which is a real limitation of the thesis model for detection use, consistent with LIM-031 and the B3 arm.</w:t>
      </w:r>
    </w:p>
    <w:p>
      <w:r>
        <w:rPr>
          <w:b w:val="0"/>
          <w:i/>
          <w:color w:val="5A5A5A"/>
          <w:sz w:val="18"/>
        </w:rPr>
        <w:t>The stored artifact retains the pooled figures only under the key `pooled_uncorrected`, carrying an explicit warning string, so they cannot be cited by accident.</w:t>
      </w:r>
    </w:p>
    <w:p>
      <w:r>
        <w:br w:type="page"/>
      </w:r>
    </w:p>
    <w:p>
      <w:pPr>
        <w:pStyle w:val="Heading1"/>
      </w:pPr>
      <w:r>
        <w:t>7. Did the project answer its research questions?</w:t>
      </w:r>
    </w:p>
    <w:p>
      <w:pPr>
        <w:pStyle w:val="Heading2"/>
      </w:pPr>
      <w:r>
        <w:t>7.1 RQ1 — accuracy of the normal behaviour model</w:t>
      </w:r>
    </w:p>
    <w:p>
      <w:pPr>
        <w:spacing w:before="120" w:after="120"/>
      </w:pPr>
      <w:r>
        <w:rPr>
          <w:b/>
          <w:sz w:val="22"/>
        </w:rPr>
        <w:t xml:space="preserve">Verdict:  </w:t>
      </w:r>
      <w:r>
        <w:rPr>
          <w:b/>
          <w:color w:val="1B5E20"/>
          <w:sz w:val="22"/>
        </w:rPr>
        <w:t>ANSWERED, affirmatively — and stronger after remediation than before it.</w:t>
      </w:r>
    </w:p>
    <w:p>
      <w:r>
        <w:rPr>
          <w:b w:val="0"/>
          <w:i w:val="0"/>
        </w:rPr>
        <w:t>Reasons, each traceable to a stored artifact:</w:t>
      </w:r>
    </w:p>
    <w:p>
      <w:pPr>
        <w:pStyle w:val="ListBullet"/>
        <w:spacing w:after="60"/>
        <w:ind w:left="360"/>
      </w:pPr>
      <w:r>
        <w:t>On the pre-registered headline slice the thesis model achieves RMSE 2.1647 °C (bearing) and 2.6904 °C (oil) against 2.5635 and 2.9165 for OLS — margins of 0.4007 and 0.2310 °C.</w:t>
      </w:r>
    </w:p>
    <w:p>
      <w:pPr>
        <w:pStyle w:val="ListBullet"/>
        <w:spacing w:after="60"/>
        <w:ind w:left="360"/>
      </w:pPr>
      <w:r>
        <w:t>Panel-bootstrap 95% intervals are DISJOINT from the OLS intervals on both targets. On oil this is a strictly new result: the pooled bootstrap produced overlapping intervals.</w:t>
      </w:r>
    </w:p>
    <w:p>
      <w:pPr>
        <w:pStyle w:val="ListBullet"/>
        <w:spacing w:after="60"/>
        <w:ind w:left="360"/>
      </w:pPr>
      <w:r>
        <w:t>Per-turbine Diebold–Mariano with autocorrelation-derived HAC lags favours the thesis model 6/6 turbines on bearing (weakest p = 5.862e−14) and 5/6 on oil (weakest p = 3.532e−04), against BOTH baselines.</w:t>
      </w:r>
    </w:p>
    <w:p>
      <w:pPr>
        <w:pStyle w:val="ListBullet"/>
        <w:spacing w:after="60"/>
        <w:ind w:left="360"/>
      </w:pPr>
      <w:r>
        <w:t>Against the regularised Elastic Net comparator the result holds with the same structure (6/6 bearing, weakest p = 8.882e−16), which localises the advantage to NON-LINEARITY rather than to regularisation.</w:t>
      </w:r>
    </w:p>
    <w:p>
      <w:pPr>
        <w:pStyle w:val="ListBullet"/>
        <w:spacing w:after="60"/>
        <w:ind w:left="360"/>
      </w:pPr>
      <w:r>
        <w:t>Across seeds 42 / 7 / 2024 the margin exceeds the seed spread by 79× (bearing) and 20× (oil). margin_exceeds_seed_spread = true.</w:t>
      </w:r>
    </w:p>
    <w:p>
      <w:pPr>
        <w:pStyle w:val="ListBullet"/>
        <w:spacing w:after="60"/>
        <w:ind w:left="360"/>
      </w:pPr>
      <w:r>
        <w:t>Twenty-one configurations were evaluated in total (thesis 12, elastic_net 9, baseline 0 — untuned), and this is now recorded in the multiple_comparison_register so the selection burden is auditable rather than implicit.</w:t>
      </w:r>
    </w:p>
    <w:p/>
    <w:p>
      <w:pPr>
        <w:pStyle w:val="ListBullet"/>
        <w:spacing w:after="60"/>
        <w:ind w:left="360"/>
      </w:pPr>
      <w:r>
        <w:t>The ordering is confirmed WITHIN the fitted operating regime (ADR-047): thesis 2.1867 vs OLS 2.5911 vs Elastic Net 2.5823 on bearing, 2.6967 vs 2.9387 vs 2.9476 on oil. The claim is not an artefact of the healthy-slice definition.</w:t>
      </w:r>
    </w:p>
    <w:p/>
    <w:p>
      <w:r>
        <w:rPr>
          <w:b/>
          <w:i w:val="0"/>
          <w:color w:val="8A5A00"/>
        </w:rPr>
        <w:t xml:space="preserve">What limits the claim. </w:t>
      </w:r>
      <w:r>
        <w:rPr>
          <w:b w:val="0"/>
          <w:i w:val="0"/>
        </w:rPr>
        <w:t>R² is 0.66 (bearing) and 0.49 (oil) — the model explains half to two-thirds of healthy variance, not most of it. The multi-TARGET framing buys nothing (A8: Δ −0.025 to +0.004 °C, within seed noise), so the thesis should claim a gradient-boosted NBM, not a multi-target one. The advantage does not transfer to the unfiltered stream (0/6, §5.3) — now explained by ADR-047 rather than merely caveated. And LIM-035 adds a genuinely unfavourable finding: for the specific job of SEPARATING healthy from unhealthy behaviour, a linear reference does marginally better than the tuned NBM within regime.</w:t>
      </w:r>
    </w:p>
    <w:p>
      <w:pPr>
        <w:pStyle w:val="Heading2"/>
      </w:pPr>
      <w:r>
        <w:t>7.2 RQ2 — coordinated versus single-channel detection</w:t>
      </w:r>
    </w:p>
    <w:p>
      <w:pPr>
        <w:spacing w:before="120" w:after="120"/>
      </w:pPr>
      <w:r>
        <w:rPr>
          <w:b/>
          <w:sz w:val="22"/>
        </w:rPr>
        <w:t xml:space="preserve">Verdict:  </w:t>
      </w:r>
      <w:r>
        <w:rPr>
          <w:b/>
          <w:color w:val="8A5A00"/>
          <w:sz w:val="22"/>
        </w:rPr>
        <w:t>MEASURED and NEGATIVE, and now citable — but it is not an answer to RQ2 as posed.</w:t>
      </w:r>
    </w:p>
    <w:p>
      <w:r>
        <w:rPr>
          <w:b w:val="0"/>
          <w:i w:val="0"/>
        </w:rPr>
        <w:t>What changed on 2026-08-19, and what did not:</w:t>
      </w:r>
    </w:p>
    <w:p>
      <w:pPr>
        <w:pStyle w:val="ListBullet"/>
        <w:spacing w:after="60"/>
        <w:ind w:left="360"/>
      </w:pPr>
      <w:r>
        <w:rPr>
          <w:b/>
        </w:rPr>
        <w:t xml:space="preserve">(1) FIXED — the verdict is no longer stale. </w:t>
      </w:r>
      <w:r>
        <w:t>The sweep was re-run under the ADR-028 row-time denominator (ADR-048). The ADR-016 criterion is PREDOMINANTLY NOT MET — 6 met of 22 evaluable pairs — and the verdict hardens at literature-anchored persistence, with the “met” verdicts vanishing entirely at λ=0.2 for boundaries 10, 12 and 20. The negative is robust to the one parameter most likely to be attacked.</w:t>
      </w:r>
    </w:p>
    <w:p>
      <w:pPr>
        <w:pStyle w:val="ListBullet"/>
        <w:spacing w:after="60"/>
        <w:ind w:left="360"/>
      </w:pPr>
      <w:r>
        <w:rPr>
          <w:b/>
        </w:rPr>
        <w:t xml:space="preserve">(2) UNCHANGED — the premise is still falsified. </w:t>
      </w:r>
      <w:r>
        <w:t>Cross-target residual Pearson correlation is 0.9320 (training), 0.9345 (validation) and 0.9519 (test). At r ≈ 0.95, a 1-of-2 rule and a 2-of-2 rule fire on almost the same rows. ADR-035 records the consequence exactly: the verdict “was never evidence about the coordination rule; it is evidence about the channels”. A correctly-computed negative about the channels is still not an answer about the rule.</w:t>
      </w:r>
    </w:p>
    <w:p>
      <w:pPr>
        <w:pStyle w:val="ListBullet"/>
        <w:spacing w:after="60"/>
        <w:ind w:left="360"/>
      </w:pPr>
      <w:r>
        <w:rPr>
          <w:b/>
        </w:rPr>
        <w:t xml:space="preserve">(3) PARTLY ADDRESSED — the substrate is measured (LIM-034 / ADR-047). </w:t>
      </w:r>
      <w:r>
        <w:t>Below the training floor the residual mean is −11.75 °C and 17.9% of rows carry 50.4% of total residual variance. The swept population is therefore 17.9% out-of-regime. ADR-047 now reports every figure split, so the contamination is visible and bounded rather than silent — but the sweep itself was run on the unfiltered stream, so its curves still describe that mixed population.</w:t>
      </w:r>
    </w:p>
    <w:p/>
    <w:p>
      <w:r>
        <w:rPr>
          <w:b/>
          <w:i w:val="0"/>
        </w:rPr>
        <w:t xml:space="preserve">Supporting evidence against the detection claim more broadly. </w:t>
      </w:r>
      <w:r>
        <w:rPr>
          <w:b w:val="0"/>
          <w:i w:val="0"/>
        </w:rPr>
        <w:t>The B3 arm shows a fleet-median-only detector — no model, no training period, no tuning — reaching a comparable in-control rate (0.17302 vs 0.16214) and a BETTER signal spread on the oil channel (2.2551 vs 2.5776 °C). The in-control rate is 60.06× the theoretical rate, flagged materially_inflated = true, across 276,304 points in 7,752 segments with 7,740 discontinuities.</w:t>
      </w:r>
    </w:p>
    <w:p>
      <w:pPr>
        <w:pStyle w:val="Heading2"/>
      </w:pPr>
      <w:r>
        <w:t>7.3 RQ3 — FMEA-informed interpretation</w:t>
      </w:r>
    </w:p>
    <w:p>
      <w:pPr>
        <w:spacing w:before="120" w:after="120"/>
      </w:pPr>
      <w:r>
        <w:rPr>
          <w:b/>
          <w:sz w:val="22"/>
        </w:rPr>
        <w:t xml:space="preserve">Verdict:  </w:t>
      </w:r>
      <w:r>
        <w:rPr>
          <w:b/>
          <w:color w:val="9B1C1C"/>
          <w:sz w:val="22"/>
        </w:rPr>
        <w:t>NOT ANSWERED, and not answerable on this dataset as posed.</w:t>
      </w:r>
    </w:p>
    <w:p>
      <w:r>
        <w:rPr>
          <w:b w:val="0"/>
          <w:i w:val="0"/>
        </w:rPr>
        <w:t>Reasons:</w:t>
      </w:r>
    </w:p>
    <w:p>
      <w:pPr>
        <w:pStyle w:val="ListBullet"/>
        <w:spacing w:after="60"/>
        <w:ind w:left="360"/>
      </w:pPr>
      <w:r>
        <w:rPr>
          <w:b/>
        </w:rPr>
        <w:t xml:space="preserve">n = 1. </w:t>
      </w:r>
      <w:r>
        <w:t>There is one labelled event (code 1860, Kelmarsh 1, 2019-02-24 16:46 UTC). The run records inferential_allowed = false. A descriptive-only branch was pre-committed, which is methodologically correct — and it also means no inferential claim about interpretation quality can be made.</w:t>
      </w:r>
    </w:p>
    <w:p>
      <w:pPr>
        <w:pStyle w:val="ListBullet"/>
        <w:spacing w:after="60"/>
        <w:ind w:left="360"/>
      </w:pPr>
      <w:r>
        <w:rPr>
          <w:b/>
        </w:rPr>
        <w:t xml:space="preserve">The one match points the wrong way. </w:t>
      </w:r>
      <w:r>
        <w:t>The matched detection is at 2019-02-10 20:50 UTC with lead time 19,910 minutes and direction −1 (LOW). The recorded pattern is “bearing temperature LOW (EWMA −1.24); oil temperature normal (EWMA −1.23)” at a severity of only 1.24 σ sustained for a single 10-minute sample.</w:t>
      </w:r>
    </w:p>
    <w:p>
      <w:pPr>
        <w:pStyle w:val="ListBullet"/>
        <w:spacing w:after="60"/>
        <w:ind w:left="360"/>
      </w:pPr>
      <w:r>
        <w:rPr>
          <w:b/>
        </w:rPr>
        <w:t xml:space="preserve">No FMEA rule matched. </w:t>
      </w:r>
      <w:r>
        <w:t>The stored diagnostic states it plainly: “No candidate mechanism: the anomalous pattern matched no FMEA rule.” Reporting that honestly is correct practice, but a rule set that fires on zero of one available events has not been assessed.</w:t>
      </w:r>
    </w:p>
    <w:p>
      <w:pPr>
        <w:pStyle w:val="ListBullet"/>
        <w:spacing w:after="60"/>
        <w:ind w:left="360"/>
      </w:pPr>
      <w:r>
        <w:rPr>
          <w:b/>
        </w:rPr>
        <w:t xml:space="preserve">The rules are not discriminable. </w:t>
      </w:r>
      <w:r>
        <w:t>At r ≈ 0.95, three of the four instantiable rules co-fire and the fourth is near-unreachable (LIM-030). A fifth, FMEA-005, is recorded as “not assessable with modelled channels”. All five rules remain validated: false with the Guard 7 banner active.</w:t>
      </w:r>
    </w:p>
    <w:p>
      <w:pPr>
        <w:pStyle w:val="ListBullet"/>
        <w:spacing w:after="60"/>
        <w:ind w:left="360"/>
      </w:pPr>
      <w:r>
        <w:rPr>
          <w:b/>
        </w:rPr>
        <w:t xml:space="preserve">Channel–mechanism mismatch. </w:t>
      </w:r>
      <w:r>
        <w:t>The bearing target is a designated main-shaft channel (LIM-001 / ADR-012), not the internal gearbox bearing the FMEA rules describe. Temporal qualifiers in the rules are not mechanically matched.</w:t>
      </w:r>
    </w:p>
    <w:p>
      <w:pPr>
        <w:pStyle w:val="ListBullet"/>
        <w:spacing w:after="60"/>
        <w:ind w:left="360"/>
      </w:pPr>
      <w:r>
        <w:rPr>
          <w:b/>
        </w:rPr>
        <w:t xml:space="preserve">Alert volume, now measured. </w:t>
      </w:r>
      <w:r>
        <w:t>19,326 false-alarm episodes accompany the single detection (10,027 high / 9,299 low). ADR-047 now measures the attribution rather than asserting it: out of regime the exceedance rate is 0.7645 against 0.1716 in regime, and the low:high ratio is 8.9:1 against 1.9:1.</w:t>
      </w:r>
    </w:p>
    <w:p>
      <w:pPr>
        <w:pStyle w:val="ListBullet"/>
        <w:spacing w:after="60"/>
        <w:ind w:left="360"/>
      </w:pPr>
      <w:r>
        <w:rPr>
          <w:b/>
        </w:rPr>
        <w:t xml:space="preserve">NEW (LIM-036) — the decisive reason. </w:t>
      </w:r>
      <w:r>
        <w:t>EVENT-001 is code 1860, “Oil filter gear choked” — a lubrication-system restriction. Chapter 2's own Table 2.4 classifies that mode's documented evidence as “Mechanism documented; DIRECT SIGNALS NOT THERMAL”, and Table 2.5 maps it to “oil pressure level; oil-filter status”. This project models two thermal channels. The one labelled event it possesses belongs to the one failure mode its own literature review says thermal channels cannot see. FMEA-004, the rule describing this mechanism, requires oil HIGH and bearing HIGH; the match is bearing LOW with oil normal.</w:t>
      </w:r>
    </w:p>
    <w:p>
      <w:pPr>
        <w:pStyle w:val="Heading2"/>
      </w:pPr>
      <w:r>
        <w:t>7.4 Objectives O1–O4</w:t>
      </w:r>
    </w:p>
    <w:tbl>
      <w:tblPr>
        <w:tblStyle w:val="TableGrid"/>
        <w:tblW w:type="auto" w:w="0"/>
        <w:jc w:val="center"/>
        <w:tblLook w:firstColumn="1" w:firstRow="1" w:lastColumn="0" w:lastRow="0" w:noHBand="0" w:noVBand="1" w:val="04A0"/>
      </w:tblPr>
      <w:tblGrid>
        <w:gridCol w:w="3058"/>
        <w:gridCol w:w="3058"/>
        <w:gridCol w:w="3058"/>
      </w:tblGrid>
      <w:tr>
        <w:tc>
          <w:tcPr>
            <w:tcW w:type="dxa" w:w="2520"/>
            <w:shd w:val="clear" w:fill="1F406B"/>
          </w:tcPr>
          <w:p>
            <w:pPr>
              <w:spacing w:after="20" w:before="20"/>
            </w:pPr>
            <w:r/>
            <w:r>
              <w:rPr>
                <w:b/>
                <w:color w:val="FFFFFF"/>
                <w:sz w:val="16"/>
              </w:rPr>
              <w:t>Objective</w:t>
            </w:r>
          </w:p>
        </w:tc>
        <w:tc>
          <w:tcPr>
            <w:tcW w:type="dxa" w:w="1224"/>
            <w:shd w:val="clear" w:fill="1F406B"/>
          </w:tcPr>
          <w:p>
            <w:pPr>
              <w:spacing w:after="20" w:before="20"/>
            </w:pPr>
            <w:r/>
            <w:r>
              <w:rPr>
                <w:b/>
                <w:color w:val="FFFFFF"/>
                <w:sz w:val="16"/>
              </w:rPr>
              <w:t>Verdict</w:t>
            </w:r>
          </w:p>
        </w:tc>
        <w:tc>
          <w:tcPr>
            <w:tcW w:type="dxa" w:w="5328"/>
            <w:shd w:val="clear" w:fill="1F406B"/>
          </w:tcPr>
          <w:p>
            <w:pPr>
              <w:spacing w:after="20" w:before="20"/>
            </w:pPr>
            <w:r/>
            <w:r>
              <w:rPr>
                <w:b/>
                <w:color w:val="FFFFFF"/>
                <w:sz w:val="16"/>
              </w:rPr>
              <w:t>Evidence</w:t>
            </w:r>
          </w:p>
        </w:tc>
      </w:tr>
      <w:tr>
        <w:tc>
          <w:tcPr>
            <w:tcW w:type="dxa" w:w="2520"/>
          </w:tcPr>
          <w:p>
            <w:pPr>
              <w:spacing w:after="20" w:before="20"/>
            </w:pPr>
            <w:r/>
            <w:r>
              <w:rPr>
                <w:sz w:val="16"/>
              </w:rPr>
              <w:t>O1 — construct a healthy-behaviour dataset with causal separation</w:t>
            </w:r>
          </w:p>
        </w:tc>
        <w:tc>
          <w:tcPr>
            <w:tcW w:type="dxa" w:w="1224"/>
          </w:tcPr>
          <w:p>
            <w:pPr>
              <w:spacing w:after="20" w:before="20"/>
            </w:pPr>
            <w:r/>
            <w:r>
              <w:rPr>
                <w:b/>
                <w:color w:val="1B5E20"/>
                <w:sz w:val="16"/>
              </w:rPr>
              <w:t>ACHIEVED</w:t>
            </w:r>
          </w:p>
        </w:tc>
        <w:tc>
          <w:tcPr>
            <w:tcW w:type="dxa" w:w="5328"/>
          </w:tcPr>
          <w:p>
            <w:pPr>
              <w:spacing w:after="20" w:before="20"/>
            </w:pPr>
            <w:r/>
            <w:r>
              <w:rPr>
                <w:sz w:val="16"/>
              </w:rPr>
              <w:t>656,293 rows accepted (77.48% retention); zero cross-split key overlap verified on real artifacts; Guards 1/2/8 enforce causal separation structurally; split 671,636 / 175,375 / 740,463.</w:t>
            </w:r>
          </w:p>
        </w:tc>
      </w:tr>
      <w:tr>
        <w:tc>
          <w:tcPr>
            <w:tcW w:type="dxa" w:w="2520"/>
            <w:shd w:val="clear" w:fill="F1F4F8"/>
          </w:tcPr>
          <w:p>
            <w:pPr>
              <w:spacing w:after="20" w:before="20"/>
            </w:pPr>
            <w:r/>
            <w:r>
              <w:rPr>
                <w:sz w:val="16"/>
              </w:rPr>
              <w:t>O2 — train a multi-target NBM and report RMSE / MAE / R² / bias</w:t>
            </w:r>
          </w:p>
        </w:tc>
        <w:tc>
          <w:tcPr>
            <w:tcW w:type="dxa" w:w="1224"/>
            <w:shd w:val="clear" w:fill="F1F4F8"/>
          </w:tcPr>
          <w:p>
            <w:pPr>
              <w:spacing w:after="20" w:before="20"/>
            </w:pPr>
            <w:r/>
            <w:r>
              <w:rPr>
                <w:b/>
                <w:color w:val="1B5E20"/>
                <w:sz w:val="16"/>
              </w:rPr>
              <w:t>ACHIEVED</w:t>
            </w:r>
          </w:p>
        </w:tc>
        <w:tc>
          <w:tcPr>
            <w:tcW w:type="dxa" w:w="5328"/>
            <w:shd w:val="clear" w:fill="F1F4F8"/>
          </w:tcPr>
          <w:p>
            <w:pPr>
              <w:spacing w:after="20" w:before="20"/>
            </w:pPr>
            <w:r/>
            <w:r>
              <w:rPr>
                <w:sz w:val="16"/>
              </w:rPr>
              <w:t>All four metrics produced for three models × two targets × three periods, now with panel confidence intervals and reliability flags.</w:t>
            </w:r>
          </w:p>
        </w:tc>
      </w:tr>
      <w:tr>
        <w:tc>
          <w:tcPr>
            <w:tcW w:type="dxa" w:w="2520"/>
          </w:tcPr>
          <w:p>
            <w:pPr>
              <w:spacing w:after="20" w:before="20"/>
            </w:pPr>
            <w:r/>
            <w:r>
              <w:rPr>
                <w:sz w:val="16"/>
              </w:rPr>
              <w:t>O3 — produce residual streams for monitoring</w:t>
            </w:r>
          </w:p>
        </w:tc>
        <w:tc>
          <w:tcPr>
            <w:tcW w:type="dxa" w:w="1224"/>
          </w:tcPr>
          <w:p>
            <w:pPr>
              <w:spacing w:after="20" w:before="20"/>
            </w:pPr>
            <w:r/>
            <w:r>
              <w:rPr>
                <w:b/>
                <w:color w:val="1B5E20"/>
                <w:sz w:val="16"/>
              </w:rPr>
              <w:t>ACHIEVED</w:t>
            </w:r>
          </w:p>
        </w:tc>
        <w:tc>
          <w:tcPr>
            <w:tcW w:type="dxa" w:w="5328"/>
          </w:tcPr>
          <w:p>
            <w:pPr>
              <w:spacing w:after="20" w:before="20"/>
            </w:pPr>
            <w:r/>
            <w:r>
              <w:rPr>
                <w:sz w:val="16"/>
              </w:rPr>
              <w:t>residuals/{training,validation,test}.parquet plus normalizer_stats.json and, new in this range, residual_diagnostics.json and conditions.parquet.</w:t>
            </w:r>
          </w:p>
        </w:tc>
      </w:tr>
      <w:tr>
        <w:tc>
          <w:tcPr>
            <w:tcW w:type="dxa" w:w="2520"/>
            <w:shd w:val="clear" w:fill="F1F4F8"/>
          </w:tcPr>
          <w:p>
            <w:pPr>
              <w:spacing w:after="20" w:before="20"/>
            </w:pPr>
            <w:r/>
            <w:r>
              <w:rPr>
                <w:sz w:val="16"/>
              </w:rPr>
              <w:t>O4 — assess interpretation through detection indicators such as lead time and false-alarm rate</w:t>
            </w:r>
          </w:p>
        </w:tc>
        <w:tc>
          <w:tcPr>
            <w:tcW w:type="dxa" w:w="1224"/>
            <w:shd w:val="clear" w:fill="F1F4F8"/>
          </w:tcPr>
          <w:p>
            <w:pPr>
              <w:spacing w:after="20" w:before="20"/>
            </w:pPr>
            <w:r/>
            <w:r>
              <w:rPr>
                <w:b/>
                <w:color w:val="9B1C1C"/>
                <w:sz w:val="16"/>
              </w:rPr>
              <w:t>NOT ACHIEVED</w:t>
            </w:r>
          </w:p>
        </w:tc>
        <w:tc>
          <w:tcPr>
            <w:tcW w:type="dxa" w:w="5328"/>
            <w:shd w:val="clear" w:fill="F1F4F8"/>
          </w:tcPr>
          <w:p>
            <w:pPr>
              <w:spacing w:after="20" w:before="20"/>
            </w:pPr>
            <w:r/>
            <w:r>
              <w:rPr>
                <w:sz w:val="16"/>
              </w:rPr>
              <w:t>The lead-time indicator is direction-wrong (−1 on a hot-side fault) and derived from n = 1; the false-alarm indicator is dominated by regime mismatch (LIM-034), so neither indicator currently measures the interpretation layer.</w:t>
            </w:r>
          </w:p>
        </w:tc>
      </w:tr>
    </w:tbl>
    <w:p>
      <w:pPr>
        <w:spacing w:after="40"/>
      </w:pPr>
    </w:p>
    <w:p>
      <w:r>
        <w:br w:type="page"/>
      </w:r>
    </w:p>
    <w:p>
      <w:pPr>
        <w:pStyle w:val="Heading1"/>
      </w:pPr>
      <w:r>
        <w:t>8. What the trajectory actually demonstrates</w:t>
      </w:r>
    </w:p>
    <w:p>
      <w:pPr>
        <w:pStyle w:val="Heading2"/>
      </w:pPr>
      <w:r>
        <w:t>8.1 The character of these 24 commits</w:t>
      </w:r>
    </w:p>
    <w:p>
      <w:r>
        <w:rPr>
          <w:b w:val="0"/>
          <w:i w:val="0"/>
        </w:rPr>
        <w:t>Read as a whole, this range is a project systematically dismantling its own premises with evidence. That is unusual and it is good science. Four of the findings that most damage the original framing — the r ≈ 0.95 collinearity, the competitive no-model baseline, the regime-mismatch variance decomposition, and the LIM-035 separation reversal — were produced by instrumentation the project built for itself, not extracted under examination. The last of these refuted a hypothesis advanced in this very report one day earlier.</w:t>
      </w:r>
    </w:p>
    <w:p>
      <w:r>
        <w:rPr>
          <w:b w:val="0"/>
          <w:i w:val="0"/>
        </w:rPr>
        <w:t>The corrective work also did something structurally important: it made the difference between a reporting defect and a science defect measurable. Because EXP-20260818-001 reproduces EXP-20260817-001 bit-for-bit on every accuracy metric, the project can now state — with proof rather than assertion — that thirteen ADRs' worth of remediation changed correctness of reporting and provenance, not scientific outputs. Exactly two conclusions moved, and both moved for stated methodological reasons: the oil-target CI separation (favourable) and the reliability disqualification of the bearing-target baseline intervals (unfavourable).</w:t>
      </w:r>
    </w:p>
    <w:p>
      <w:pPr>
        <w:pStyle w:val="Heading2"/>
      </w:pPr>
      <w:r>
        <w:t>8.2 The honest thesis</w:t>
      </w:r>
    </w:p>
    <w:tbl>
      <w:tblPr>
        <w:tblStyle w:val="TableGrid"/>
        <w:tblW w:type="auto" w:w="0"/>
        <w:tblLook w:firstColumn="1" w:firstRow="1" w:lastColumn="0" w:lastRow="0" w:noHBand="0" w:noVBand="1" w:val="04A0"/>
      </w:tblPr>
      <w:tblGrid>
        <w:gridCol w:w="9173"/>
      </w:tblGrid>
      <w:tr>
        <w:tc>
          <w:tcPr>
            <w:tcW w:type="dxa" w:w="9173"/>
            <w:shd w:val="clear" w:fill="EDF7EE"/>
          </w:tcPr>
          <w:p>
            <w:r/>
            <w:r>
              <w:rPr>
                <w:b/>
                <w:color w:val="1B5E20"/>
                <w:sz w:val="19"/>
              </w:rPr>
              <w:t>What this work supports</w:t>
            </w:r>
          </w:p>
          <w:p>
            <w:pPr>
              <w:spacing w:after="40"/>
            </w:pPr>
            <w:r>
              <w:rPr>
                <w:sz w:val="19"/>
              </w:rPr>
              <w:t>A tuned gradient-boosted normal behaviour model represents healthy gearbox thermal behaviour more accurately than both unregularised and regularised linear references — robustly across seeds, unanimously across turbines on the bearing target, and specifically WITHIN the operating regime it was fitted on, which is the only place it claims to hold. That accuracy does not by itself yield working anomaly detection, for reasons this work now measures rather than asserts.</w:t>
            </w:r>
          </w:p>
        </w:tc>
      </w:tr>
    </w:tbl>
    <w:p>
      <w:pPr>
        <w:spacing w:after="40"/>
      </w:pPr>
    </w:p>
    <w:tbl>
      <w:tblPr>
        <w:tblStyle w:val="TableGrid"/>
        <w:tblW w:type="auto" w:w="0"/>
        <w:tblLook w:firstColumn="1" w:firstRow="1" w:lastColumn="0" w:lastRow="0" w:noHBand="0" w:noVBand="1" w:val="04A0"/>
      </w:tblPr>
      <w:tblGrid>
        <w:gridCol w:w="9173"/>
      </w:tblGrid>
      <w:tr>
        <w:tc>
          <w:tcPr>
            <w:tcW w:type="dxa" w:w="9173"/>
            <w:shd w:val="clear" w:fill="FDECEC"/>
          </w:tcPr>
          <w:p>
            <w:r/>
            <w:r>
              <w:rPr>
                <w:b/>
                <w:color w:val="9B1C1C"/>
                <w:sz w:val="19"/>
              </w:rPr>
              <w:t>What this work does NOT support</w:t>
            </w:r>
          </w:p>
          <w:p>
            <w:pPr>
              <w:spacing w:after="40"/>
            </w:pPr>
            <w:r>
              <w:rPr>
                <w:sz w:val="19"/>
              </w:rPr>
              <w:t>Any claim that coordinated two-channel detection was tested as a RULE (the negative is citable, but it is about the channels); any claim that the FMEA interpretation layer was validated; any quoted false-alarm rate as a property of the EWMA design; the word 'multi-target' as a source of accuracy; and — per LIM-035 — any claim that the NBM separates healthy from unhealthy behaviour better than a linear reference.</w:t>
            </w:r>
          </w:p>
        </w:tc>
      </w:tr>
    </w:tbl>
    <w:p>
      <w:pPr>
        <w:spacing w:after="40"/>
      </w:pPr>
    </w:p>
    <w:p>
      <w:pPr>
        <w:pStyle w:val="Heading2"/>
      </w:pPr>
      <w:r>
        <w:t>8.3 What would still prevent this from being called strong and defensible</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432"/>
            <w:shd w:val="clear" w:fill="1F406B"/>
          </w:tcPr>
          <w:p>
            <w:pPr>
              <w:spacing w:after="20" w:before="20"/>
            </w:pPr>
            <w:r/>
            <w:r>
              <w:rPr>
                <w:b/>
                <w:color w:val="FFFFFF"/>
                <w:sz w:val="16"/>
              </w:rPr>
              <w:t>#</w:t>
            </w:r>
          </w:p>
        </w:tc>
        <w:tc>
          <w:tcPr>
            <w:tcW w:type="dxa" w:w="2448"/>
            <w:shd w:val="clear" w:fill="1F406B"/>
          </w:tcPr>
          <w:p>
            <w:pPr>
              <w:spacing w:after="20" w:before="20"/>
            </w:pPr>
            <w:r/>
            <w:r>
              <w:rPr>
                <w:b/>
                <w:color w:val="FFFFFF"/>
                <w:sz w:val="16"/>
              </w:rPr>
              <w:t>Blocker</w:t>
            </w:r>
          </w:p>
        </w:tc>
        <w:tc>
          <w:tcPr>
            <w:tcW w:type="dxa" w:w="3744"/>
            <w:shd w:val="clear" w:fill="1F406B"/>
          </w:tcPr>
          <w:p>
            <w:pPr>
              <w:spacing w:after="20" w:before="20"/>
            </w:pPr>
            <w:r/>
            <w:r>
              <w:rPr>
                <w:b/>
                <w:color w:val="FFFFFF"/>
                <w:sz w:val="16"/>
              </w:rPr>
              <w:t>Why it blocks</w:t>
            </w:r>
          </w:p>
        </w:tc>
        <w:tc>
          <w:tcPr>
            <w:tcW w:type="dxa" w:w="2448"/>
            <w:shd w:val="clear" w:fill="1F406B"/>
          </w:tcPr>
          <w:p>
            <w:pPr>
              <w:spacing w:after="20" w:before="20"/>
            </w:pPr>
            <w:r/>
            <w:r>
              <w:rPr>
                <w:b/>
                <w:color w:val="FFFFFF"/>
                <w:sz w:val="16"/>
              </w:rPr>
              <w:t>Cost to remove</w:t>
            </w:r>
          </w:p>
        </w:tc>
      </w:tr>
      <w:tr>
        <w:tc>
          <w:tcPr>
            <w:tcW w:type="dxa" w:w="432"/>
          </w:tcPr>
          <w:p>
            <w:pPr>
              <w:spacing w:after="20" w:before="20"/>
            </w:pPr>
            <w:r/>
            <w:r>
              <w:rPr>
                <w:b/>
                <w:color w:val="1B5E20"/>
                <w:sz w:val="16"/>
              </w:rPr>
              <w:t>✔</w:t>
            </w:r>
          </w:p>
        </w:tc>
        <w:tc>
          <w:tcPr>
            <w:tcW w:type="dxa" w:w="2448"/>
          </w:tcPr>
          <w:p>
            <w:pPr>
              <w:spacing w:after="20" w:before="20"/>
            </w:pPr>
            <w:r/>
            <w:r>
              <w:rPr>
                <w:sz w:val="16"/>
              </w:rPr>
              <w:t>DISCHARGED 2026-08-19 — the RQ2 sweep under the ADR-028 denominator</w:t>
            </w:r>
          </w:p>
        </w:tc>
        <w:tc>
          <w:tcPr>
            <w:tcW w:type="dxa" w:w="3744"/>
          </w:tcPr>
          <w:p>
            <w:pPr>
              <w:spacing w:after="20" w:before="20"/>
            </w:pPr>
            <w:r/>
            <w:r>
              <w:rPr>
                <w:sz w:val="16"/>
              </w:rPr>
              <w:t>Was: no citable RQ2 result existed. Now: ADR-048 records predominantly NOT MET, 6 of 22, robust across three λ and hardening at literature-anchored persistence.</w:t>
            </w:r>
          </w:p>
        </w:tc>
        <w:tc>
          <w:tcPr>
            <w:tcW w:type="dxa" w:w="2448"/>
          </w:tcPr>
          <w:p>
            <w:pPr>
              <w:spacing w:after="20" w:before="20"/>
            </w:pPr>
            <w:r/>
            <w:r>
              <w:rPr>
                <w:sz w:val="16"/>
              </w:rPr>
              <w:t>Done. One sweep run.</w:t>
            </w:r>
          </w:p>
        </w:tc>
      </w:tr>
      <w:tr>
        <w:tc>
          <w:tcPr>
            <w:tcW w:type="dxa" w:w="432"/>
            <w:shd w:val="clear" w:fill="F1F4F8"/>
          </w:tcPr>
          <w:p>
            <w:pPr>
              <w:spacing w:after="20" w:before="20"/>
            </w:pPr>
            <w:r/>
            <w:r>
              <w:rPr>
                <w:b/>
                <w:color w:val="1B5E20"/>
                <w:sz w:val="16"/>
              </w:rPr>
              <w:t>✔</w:t>
            </w:r>
          </w:p>
        </w:tc>
        <w:tc>
          <w:tcPr>
            <w:tcW w:type="dxa" w:w="2448"/>
            <w:shd w:val="clear" w:fill="F1F4F8"/>
          </w:tcPr>
          <w:p>
            <w:pPr>
              <w:spacing w:after="20" w:before="20"/>
            </w:pPr>
            <w:r/>
            <w:r>
              <w:rPr>
                <w:sz w:val="16"/>
              </w:rPr>
              <w:t>DISCHARGED 2026-08-19 — detection results split by regime</w:t>
            </w:r>
          </w:p>
        </w:tc>
        <w:tc>
          <w:tcPr>
            <w:tcW w:type="dxa" w:w="3744"/>
            <w:shd w:val="clear" w:fill="F1F4F8"/>
          </w:tcPr>
          <w:p>
            <w:pPr>
              <w:spacing w:after="20" w:before="20"/>
            </w:pPr>
            <w:r/>
            <w:r>
              <w:rPr>
                <w:sz w:val="16"/>
              </w:rPr>
              <w:t>Was: no detection number measured the detector. Now: ADR-047 reports every figure split, and the unfiltered-slice reversal is quantitatively explained.</w:t>
            </w:r>
          </w:p>
        </w:tc>
        <w:tc>
          <w:tcPr>
            <w:tcW w:type="dxa" w:w="2448"/>
            <w:shd w:val="clear" w:fill="F1F4F8"/>
          </w:tcPr>
          <w:p>
            <w:pPr>
              <w:spacing w:after="20" w:before="20"/>
            </w:pPr>
            <w:r/>
            <w:r>
              <w:rPr>
                <w:sz w:val="16"/>
              </w:rPr>
              <w:t>Done. One analysis pass, no new modelling.</w:t>
            </w:r>
          </w:p>
        </w:tc>
      </w:tr>
      <w:tr>
        <w:tc>
          <w:tcPr>
            <w:tcW w:type="dxa" w:w="432"/>
          </w:tcPr>
          <w:p>
            <w:pPr>
              <w:spacing w:after="20" w:before="20"/>
            </w:pPr>
            <w:r/>
            <w:r>
              <w:rPr>
                <w:sz w:val="16"/>
              </w:rPr>
              <w:t>3</w:t>
            </w:r>
          </w:p>
        </w:tc>
        <w:tc>
          <w:tcPr>
            <w:tcW w:type="dxa" w:w="2448"/>
          </w:tcPr>
          <w:p>
            <w:pPr>
              <w:spacing w:after="20" w:before="20"/>
            </w:pPr>
            <w:r/>
            <w:r>
              <w:rPr>
                <w:sz w:val="16"/>
              </w:rPr>
              <w:t>RQ2 as posed cannot be answered on collinear channels</w:t>
            </w:r>
          </w:p>
        </w:tc>
        <w:tc>
          <w:tcPr>
            <w:tcW w:type="dxa" w:w="3744"/>
          </w:tcPr>
          <w:p>
            <w:pPr>
              <w:spacing w:after="20" w:before="20"/>
            </w:pPr>
            <w:r/>
            <w:r>
              <w:rPr>
                <w:sz w:val="16"/>
              </w:rPr>
              <w:t>r ≈ 0.95 makes 1-of-2 and 2-of-2 near-identical rules. This is a research-question problem, not a code problem, and only the author may re-scope it (PROJECT.md §34).</w:t>
            </w:r>
          </w:p>
        </w:tc>
        <w:tc>
          <w:tcPr>
            <w:tcW w:type="dxa" w:w="2448"/>
          </w:tcPr>
          <w:p>
            <w:pPr>
              <w:spacing w:after="20" w:before="20"/>
            </w:pPr>
            <w:r/>
            <w:r>
              <w:rPr>
                <w:sz w:val="16"/>
              </w:rPr>
              <w:t>A methodological ruling, then possibly a re-scope.</w:t>
            </w:r>
          </w:p>
        </w:tc>
      </w:tr>
      <w:tr>
        <w:tc>
          <w:tcPr>
            <w:tcW w:type="dxa" w:w="432"/>
            <w:shd w:val="clear" w:fill="F1F4F8"/>
          </w:tcPr>
          <w:p>
            <w:pPr>
              <w:spacing w:after="20" w:before="20"/>
            </w:pPr>
            <w:r/>
            <w:r>
              <w:rPr>
                <w:sz w:val="16"/>
              </w:rPr>
              <w:t>4</w:t>
            </w:r>
          </w:p>
        </w:tc>
        <w:tc>
          <w:tcPr>
            <w:tcW w:type="dxa" w:w="2448"/>
            <w:shd w:val="clear" w:fill="F1F4F8"/>
          </w:tcPr>
          <w:p>
            <w:pPr>
              <w:spacing w:after="20" w:before="20"/>
            </w:pPr>
            <w:r/>
            <w:r>
              <w:rPr>
                <w:sz w:val="16"/>
              </w:rPr>
              <w:t>n = 1 labelled event — and it is the WRONG KIND of event (LIM-036)</w:t>
            </w:r>
          </w:p>
        </w:tc>
        <w:tc>
          <w:tcPr>
            <w:tcW w:type="dxa" w:w="3744"/>
            <w:shd w:val="clear" w:fill="F1F4F8"/>
          </w:tcPr>
          <w:p>
            <w:pPr>
              <w:spacing w:after="20" w:before="20"/>
            </w:pPr>
            <w:r/>
            <w:r>
              <w:rPr>
                <w:sz w:val="16"/>
              </w:rPr>
              <w:t>No inferential statement is available at any significance level. Worse, the one event is an oil-filter restriction, a mode Chapter 2 Table 2.4 records as having 'direct signals not thermal'. RQ3 asks thermal channels to see a non-thermal mode.</w:t>
            </w:r>
          </w:p>
        </w:tc>
        <w:tc>
          <w:tcPr>
            <w:tcW w:type="dxa" w:w="2448"/>
            <w:shd w:val="clear" w:fill="F1F4F8"/>
          </w:tcPr>
          <w:p>
            <w:pPr>
              <w:spacing w:after="20" w:before="20"/>
            </w:pPr>
            <w:r/>
            <w:r>
              <w:rPr>
                <w:sz w:val="16"/>
              </w:rPr>
              <w:t>Not removable without additional labelled data of a different kind.</w:t>
            </w:r>
          </w:p>
        </w:tc>
      </w:tr>
      <w:tr>
        <w:tc>
          <w:tcPr>
            <w:tcW w:type="dxa" w:w="432"/>
          </w:tcPr>
          <w:p>
            <w:pPr>
              <w:spacing w:after="20" w:before="20"/>
            </w:pPr>
            <w:r/>
            <w:r>
              <w:rPr>
                <w:sz w:val="16"/>
              </w:rPr>
              <w:t>5</w:t>
            </w:r>
          </w:p>
        </w:tc>
        <w:tc>
          <w:tcPr>
            <w:tcW w:type="dxa" w:w="2448"/>
          </w:tcPr>
          <w:p>
            <w:pPr>
              <w:spacing w:after="20" w:before="20"/>
            </w:pPr>
            <w:r/>
            <w:r>
              <w:rPr>
                <w:sz w:val="16"/>
              </w:rPr>
              <w:t>All five FMEA rules remain validated: false</w:t>
            </w:r>
          </w:p>
        </w:tc>
        <w:tc>
          <w:tcPr>
            <w:tcW w:type="dxa" w:w="3744"/>
          </w:tcPr>
          <w:p>
            <w:pPr>
              <w:spacing w:after="20" w:before="20"/>
            </w:pPr>
            <w:r/>
            <w:r>
              <w:rPr>
                <w:sz w:val="16"/>
              </w:rPr>
              <w:t>Guard 7 correctly banners them, but an interpretation layer whose rules are all unvalidated cannot support a plausibility claim.</w:t>
            </w:r>
          </w:p>
        </w:tc>
        <w:tc>
          <w:tcPr>
            <w:tcW w:type="dxa" w:w="2448"/>
          </w:tcPr>
          <w:p>
            <w:pPr>
              <w:spacing w:after="20" w:before="20"/>
            </w:pPr>
            <w:r/>
            <w:r>
              <w:rPr>
                <w:sz w:val="16"/>
              </w:rPr>
              <w:t>Domain validation — outside the repository.</w:t>
            </w:r>
          </w:p>
        </w:tc>
      </w:tr>
      <w:tr>
        <w:tc>
          <w:tcPr>
            <w:tcW w:type="dxa" w:w="432"/>
            <w:shd w:val="clear" w:fill="F1F4F8"/>
          </w:tcPr>
          <w:p>
            <w:pPr>
              <w:spacing w:after="20" w:before="20"/>
            </w:pPr>
            <w:r/>
            <w:r>
              <w:rPr>
                <w:sz w:val="16"/>
              </w:rPr>
              <w:t>6</w:t>
            </w:r>
          </w:p>
        </w:tc>
        <w:tc>
          <w:tcPr>
            <w:tcW w:type="dxa" w:w="2448"/>
            <w:shd w:val="clear" w:fill="F1F4F8"/>
          </w:tcPr>
          <w:p>
            <w:pPr>
              <w:spacing w:after="20" w:before="20"/>
            </w:pPr>
            <w:r/>
            <w:r>
              <w:rPr>
                <w:sz w:val="16"/>
              </w:rPr>
              <w:t>The multi-target framing is unsupported by A8</w:t>
            </w:r>
          </w:p>
        </w:tc>
        <w:tc>
          <w:tcPr>
            <w:tcW w:type="dxa" w:w="3744"/>
            <w:shd w:val="clear" w:fill="F1F4F8"/>
          </w:tcPr>
          <w:p>
            <w:pPr>
              <w:spacing w:after="20" w:before="20"/>
            </w:pPr>
            <w:r/>
            <w:r>
              <w:rPr>
                <w:sz w:val="16"/>
              </w:rPr>
              <w:t>The thesis title and framing claim something the ablation shows is worth −0.025 to +0.004 °C.</w:t>
            </w:r>
          </w:p>
        </w:tc>
        <w:tc>
          <w:tcPr>
            <w:tcW w:type="dxa" w:w="2448"/>
            <w:shd w:val="clear" w:fill="F1F4F8"/>
          </w:tcPr>
          <w:p>
            <w:pPr>
              <w:spacing w:after="20" w:before="20"/>
            </w:pPr>
            <w:r/>
            <w:r>
              <w:rPr>
                <w:sz w:val="16"/>
              </w:rPr>
              <w:t>A framing correction, not an experiment.</w:t>
            </w:r>
          </w:p>
        </w:tc>
      </w:tr>
      <w:tr>
        <w:tc>
          <w:tcPr>
            <w:tcW w:type="dxa" w:w="432"/>
          </w:tcPr>
          <w:p>
            <w:pPr>
              <w:spacing w:after="20" w:before="20"/>
            </w:pPr>
            <w:r/>
            <w:r>
              <w:rPr>
                <w:sz w:val="16"/>
              </w:rPr>
              <w:t>7</w:t>
            </w:r>
          </w:p>
        </w:tc>
        <w:tc>
          <w:tcPr>
            <w:tcW w:type="dxa" w:w="2448"/>
          </w:tcPr>
          <w:p>
            <w:pPr>
              <w:spacing w:after="20" w:before="20"/>
            </w:pPr>
            <w:r/>
            <w:r>
              <w:rPr>
                <w:sz w:val="16"/>
              </w:rPr>
              <w:t>Test-slice extrapolation is unresolved</w:t>
            </w:r>
          </w:p>
        </w:tc>
        <w:tc>
          <w:tcPr>
            <w:tcW w:type="dxa" w:w="3744"/>
          </w:tcPr>
          <w:p>
            <w:pPr>
              <w:spacing w:after="20" w:before="20"/>
            </w:pPr>
            <w:r/>
            <w:r>
              <w:rPr>
                <w:sz w:val="16"/>
              </w:rPr>
              <w:t>Test ambient reaches 43.99 °C against a training maximum of 37.58 °C; the run records the warning “the model extrapolates”.</w:t>
            </w:r>
          </w:p>
        </w:tc>
        <w:tc>
          <w:tcPr>
            <w:tcW w:type="dxa" w:w="2448"/>
          </w:tcPr>
          <w:p>
            <w:pPr>
              <w:spacing w:after="20" w:before="20"/>
            </w:pPr>
            <w:r/>
            <w:r>
              <w:rPr>
                <w:sz w:val="16"/>
              </w:rPr>
              <w:t>Acknowledge in limitations, or bound the reporting slice.</w:t>
            </w:r>
          </w:p>
        </w:tc>
      </w:tr>
      <w:tr>
        <w:tc>
          <w:tcPr>
            <w:tcW w:type="dxa" w:w="432"/>
            <w:shd w:val="clear" w:fill="F1F4F8"/>
          </w:tcPr>
          <w:p>
            <w:pPr>
              <w:spacing w:after="20" w:before="20"/>
            </w:pPr>
            <w:r/>
            <w:r>
              <w:rPr>
                <w:sz w:val="16"/>
              </w:rPr>
              <w:t>8</w:t>
            </w:r>
          </w:p>
        </w:tc>
        <w:tc>
          <w:tcPr>
            <w:tcW w:type="dxa" w:w="2448"/>
            <w:shd w:val="clear" w:fill="F1F4F8"/>
          </w:tcPr>
          <w:p>
            <w:pPr>
              <w:spacing w:after="20" w:before="20"/>
            </w:pPr>
            <w:r/>
            <w:r>
              <w:rPr>
                <w:sz w:val="16"/>
              </w:rPr>
              <w:t>NEW (LIM-035) — a linear reference separates healthy from unhealthy better than the NBM</w:t>
            </w:r>
          </w:p>
        </w:tc>
        <w:tc>
          <w:tcPr>
            <w:tcW w:type="dxa" w:w="3744"/>
            <w:shd w:val="clear" w:fill="F1F4F8"/>
          </w:tcPr>
          <w:p>
            <w:pPr>
              <w:spacing w:after="20" w:before="20"/>
            </w:pPr>
            <w:r/>
            <w:r>
              <w:rPr>
                <w:sz w:val="16"/>
              </w:rPr>
              <w:t>Within regime the Chesterman Δ is +0.1854 (thesis) against +0.2323 (OLS) on bearing and +0.0552 against +0.1884 on oil. For the specific job detection needs, the tuned model is not the best of the three.</w:t>
            </w:r>
          </w:p>
        </w:tc>
        <w:tc>
          <w:tcPr>
            <w:tcW w:type="dxa" w:w="2448"/>
            <w:shd w:val="clear" w:fill="F1F4F8"/>
          </w:tcPr>
          <w:p>
            <w:pPr>
              <w:spacing w:after="20" w:before="20"/>
            </w:pPr>
            <w:r/>
            <w:r>
              <w:rPr>
                <w:sz w:val="16"/>
              </w:rPr>
              <w:t>Not removable — it is a measurement. Must be reported.</w:t>
            </w:r>
          </w:p>
        </w:tc>
      </w:tr>
    </w:tbl>
    <w:p>
      <w:pPr>
        <w:spacing w:after="40"/>
      </w:pPr>
    </w:p>
    <w:p>
      <w:pPr>
        <w:pStyle w:val="Heading2"/>
      </w:pPr>
      <w:r>
        <w:t>8.4 Ranked next actions</w:t>
      </w:r>
    </w:p>
    <w:p>
      <w:r>
        <w:rPr>
          <w:b w:val="0"/>
          <w:i/>
          <w:color w:val="5A5A5A"/>
        </w:rPr>
        <w:t>Items 1 and 2 of the previous revision are complete. What remains, re-ranked:</w:t>
      </w:r>
    </w:p>
    <w:p>
      <w:pPr>
        <w:pStyle w:val="ListBullet"/>
        <w:spacing w:after="60"/>
        <w:ind w:left="360"/>
      </w:pPr>
      <w:r>
        <w:rPr>
          <w:b/>
        </w:rPr>
        <w:t xml:space="preserve">1. </w:t>
      </w:r>
      <w:r>
        <w:t>Restate the RQ1 claim as gradient-boosted rather than multi-target (A8 measured the multi-target contribution at −0.025 to +0.004 °C), and present the unfiltered-slice reversal WITH its ADR-047 explanation rather than letting an examiner find the row first.</w:t>
      </w:r>
    </w:p>
    <w:p>
      <w:pPr>
        <w:pStyle w:val="ListBullet"/>
        <w:spacing w:after="60"/>
        <w:ind w:left="360"/>
      </w:pPr>
      <w:r>
        <w:rPr>
          <w:b/>
        </w:rPr>
        <w:t xml:space="preserve">2. </w:t>
      </w:r>
      <w:r>
        <w:t>Obtain an author ruling on the PROJECT.md §13 / §14 conflict LIM-034 exposes — whether detection may be gated on operating state. It is reserved to the author under §34 and is the gate on LIM-034 mitigations (b) and (c).</w:t>
      </w:r>
    </w:p>
    <w:p>
      <w:pPr>
        <w:pStyle w:val="ListBullet"/>
        <w:spacing w:after="60"/>
        <w:ind w:left="360"/>
      </w:pPr>
      <w:r>
        <w:rPr>
          <w:b/>
        </w:rPr>
        <w:t xml:space="preserve">3. </w:t>
      </w:r>
      <w:r>
        <w:t>Decide RQ3's framing. LIM-036 makes the choice sharper than it was: implementing lag and load-slope features so the FMEA qualifiers become computable would be building discrimination for a mechanism Chapter 2 says thermal channels cannot resolve. Reframing RQ3 as an architecture demonstration with the discrimination gap stated is the better-supported of the two honest exits.</w:t>
      </w:r>
    </w:p>
    <w:p>
      <w:pPr>
        <w:pStyle w:val="ListBullet"/>
        <w:spacing w:after="60"/>
        <w:ind w:left="360"/>
      </w:pPr>
      <w:r>
        <w:rPr>
          <w:b/>
        </w:rPr>
        <w:t xml:space="preserve">4. </w:t>
      </w:r>
      <w:r>
        <w:t>Consider re-scoping RQ2 from ‘coordinated vs single-channel’ to a question the channels can actually distinguish. The negative is now robust and citable, so this is a framing decision rather than a rescue.</w:t>
      </w:r>
    </w:p>
    <w:p>
      <w:pPr>
        <w:pStyle w:val="ListBullet"/>
        <w:spacing w:after="60"/>
        <w:ind w:left="360"/>
      </w:pPr>
      <w:r>
        <w:rPr>
          <w:b/>
        </w:rPr>
        <w:t xml:space="preserve">5. </w:t>
      </w:r>
      <w:r>
        <w:t>Report a CARE-style decomposition (coverage, normal-behaviour accuracy, event-level reliability, earliness). It is the only remaining route to making the negative externally comparable, and it is the last unexecuted item from the methodology review's roadmap that is both cheap and valuable.</w:t>
      </w:r>
    </w:p>
    <w:p>
      <w:pPr>
        <w:pStyle w:val="ListBullet"/>
        <w:spacing w:after="60"/>
        <w:ind w:left="360"/>
      </w:pPr>
      <w:r>
        <w:rPr>
          <w:b/>
        </w:rPr>
        <w:t xml:space="preserve">6. </w:t>
      </w:r>
      <w:r>
        <w:t>Resolve P-5 — justify or abandon pooled residual statistics. Measured at 0.87–0.93 pooled scales of centre spread; it is the one methodology-review proposal that remains genuinely open.</w:t>
      </w:r>
    </w:p>
    <w:p>
      <w:r>
        <w:br w:type="page"/>
      </w:r>
    </w:p>
    <w:p>
      <w:pPr>
        <w:pStyle w:val="Heading1"/>
      </w:pPr>
      <w:r>
        <w:t>Appendix A — Evidence index</w:t>
      </w:r>
    </w:p>
    <w:p>
      <w:r>
        <w:rPr>
          <w:b w:val="0"/>
          <w:i w:val="0"/>
        </w:rPr>
        <w:t>Every figure quoted in this report resolves to one of the following paths.</w:t>
      </w:r>
    </w:p>
    <w:tbl>
      <w:tblPr>
        <w:tblStyle w:val="TableGrid"/>
        <w:tblW w:type="auto" w:w="0"/>
        <w:jc w:val="center"/>
        <w:tblLook w:firstColumn="1" w:firstRow="1" w:lastColumn="0" w:lastRow="0" w:noHBand="0" w:noVBand="1" w:val="04A0"/>
      </w:tblPr>
      <w:tblGrid>
        <w:gridCol w:w="4586"/>
        <w:gridCol w:w="4586"/>
      </w:tblGrid>
      <w:tr>
        <w:tc>
          <w:tcPr>
            <w:tcW w:type="dxa" w:w="3600"/>
            <w:shd w:val="clear" w:fill="1F406B"/>
          </w:tcPr>
          <w:p>
            <w:pPr>
              <w:spacing w:after="20" w:before="20"/>
            </w:pPr>
            <w:r/>
            <w:r>
              <w:rPr>
                <w:b/>
                <w:color w:val="FFFFFF"/>
                <w:sz w:val="16"/>
              </w:rPr>
              <w:t>Artifact</w:t>
            </w:r>
          </w:p>
        </w:tc>
        <w:tc>
          <w:tcPr>
            <w:tcW w:type="dxa" w:w="5472"/>
            <w:shd w:val="clear" w:fill="1F406B"/>
          </w:tcPr>
          <w:p>
            <w:pPr>
              <w:spacing w:after="20" w:before="20"/>
            </w:pPr>
            <w:r/>
            <w:r>
              <w:rPr>
                <w:b/>
                <w:color w:val="FFFFFF"/>
                <w:sz w:val="16"/>
              </w:rPr>
              <w:t>What it evidences here</w:t>
            </w:r>
          </w:p>
        </w:tc>
      </w:tr>
      <w:tr>
        <w:tc>
          <w:tcPr>
            <w:tcW w:type="dxa" w:w="3600"/>
          </w:tcPr>
          <w:p>
            <w:pPr>
              <w:spacing w:after="20" w:before="20"/>
            </w:pPr>
            <w:r/>
            <w:r>
              <w:rPr>
                <w:sz w:val="16"/>
              </w:rPr>
              <w:t>artifacts/EXP-20260818-001/metadata.json</w:t>
            </w:r>
          </w:p>
        </w:tc>
        <w:tc>
          <w:tcPr>
            <w:tcW w:type="dxa" w:w="5472"/>
          </w:tcPr>
          <w:p>
            <w:pPr>
              <w:spacing w:after="20" w:before="20"/>
            </w:pPr>
            <w:r/>
            <w:r>
              <w:rPr>
                <w:sz w:val="16"/>
              </w:rPr>
              <w:t>seeds {bootstrap: 42, model: 42}; multiple_comparison_register {baseline 0, elastic_net 9, thesis 12, total 21}; version stamp; cleaning operations; split</w:t>
            </w:r>
          </w:p>
        </w:tc>
      </w:tr>
      <w:tr>
        <w:tc>
          <w:tcPr>
            <w:tcW w:type="dxa" w:w="3600"/>
            <w:shd w:val="clear" w:fill="F1F4F8"/>
          </w:tcPr>
          <w:p>
            <w:pPr>
              <w:spacing w:after="20" w:before="20"/>
            </w:pPr>
            <w:r/>
            <w:r>
              <w:rPr>
                <w:sz w:val="16"/>
              </w:rPr>
              <w:t>artifacts/EXP-20260818-001/metrics.json</w:t>
            </w:r>
          </w:p>
        </w:tc>
        <w:tc>
          <w:tcPr>
            <w:tcW w:type="dxa" w:w="5472"/>
            <w:shd w:val="clear" w:fill="F1F4F8"/>
          </w:tcPr>
          <w:p>
            <w:pPr>
              <w:spacing w:after="20" w:before="20"/>
            </w:pPr>
            <w:r/>
            <w:r>
              <w:rPr>
                <w:sz w:val="16"/>
              </w:rPr>
              <w:t>all RMSE / MAE / R² / bias by model × target × period; RQ1 slice and exclusions; in-control block; residual_diagnostics correlations; healthy_state</w:t>
            </w:r>
          </w:p>
        </w:tc>
      </w:tr>
      <w:tr>
        <w:tc>
          <w:tcPr>
            <w:tcW w:type="dxa" w:w="3600"/>
          </w:tcPr>
          <w:p>
            <w:pPr>
              <w:spacing w:after="20" w:before="20"/>
            </w:pPr>
            <w:r/>
            <w:r>
              <w:rPr>
                <w:sz w:val="16"/>
              </w:rPr>
              <w:t>artifacts/EXP-20260818-001/evaluation/first_run_summary.json</w:t>
            </w:r>
          </w:p>
        </w:tc>
        <w:tc>
          <w:tcPr>
            <w:tcW w:type="dxa" w:w="5472"/>
          </w:tcPr>
          <w:p>
            <w:pPr>
              <w:spacing w:after="20" w:before="20"/>
            </w:pPr>
            <w:r/>
            <w:r>
              <w:rPr>
                <w:sz w:val="16"/>
              </w:rPr>
              <w:t>panel CIs with reliability flags and min_blocks; per-turbine DM for all three slices; tuning trials; event_001 block; seasonal coverage warning</w:t>
            </w:r>
          </w:p>
        </w:tc>
      </w:tr>
      <w:tr>
        <w:tc>
          <w:tcPr>
            <w:tcW w:type="dxa" w:w="3600"/>
            <w:shd w:val="clear" w:fill="F1F4F8"/>
          </w:tcPr>
          <w:p>
            <w:pPr>
              <w:spacing w:after="20" w:before="20"/>
            </w:pPr>
            <w:r/>
            <w:r>
              <w:rPr>
                <w:sz w:val="16"/>
              </w:rPr>
              <w:t>artifacts/EXP-20260818-001/evaluation/condition_diagnostics.json</w:t>
            </w:r>
          </w:p>
        </w:tc>
        <w:tc>
          <w:tcPr>
            <w:tcW w:type="dxa" w:w="5472"/>
            <w:shd w:val="clear" w:fill="F1F4F8"/>
          </w:tcPr>
          <w:p>
            <w:pPr>
              <w:spacing w:after="20" w:before="20"/>
            </w:pPr>
            <w:r/>
            <w:r>
              <w:rPr>
                <w:sz w:val="16"/>
              </w:rPr>
              <w:t>LIM-034 power-band decomposition</w:t>
            </w:r>
          </w:p>
        </w:tc>
      </w:tr>
      <w:tr>
        <w:tc>
          <w:tcPr>
            <w:tcW w:type="dxa" w:w="3600"/>
          </w:tcPr>
          <w:p>
            <w:pPr>
              <w:spacing w:after="20" w:before="20"/>
            </w:pPr>
            <w:r/>
            <w:r>
              <w:rPr>
                <w:sz w:val="16"/>
              </w:rPr>
              <w:t>artifacts/EXP-20260818-001/evaluation/event001_diagnostic.txt</w:t>
            </w:r>
          </w:p>
        </w:tc>
        <w:tc>
          <w:tcPr>
            <w:tcW w:type="dxa" w:w="5472"/>
          </w:tcPr>
          <w:p>
            <w:pPr>
              <w:spacing w:after="20" w:before="20"/>
            </w:pPr>
            <w:r/>
            <w:r>
              <w:rPr>
                <w:sz w:val="16"/>
              </w:rPr>
              <w:t>the single event's pattern, severity, persistence and 'no candidate mechanism' result</w:t>
            </w:r>
          </w:p>
        </w:tc>
      </w:tr>
      <w:tr>
        <w:tc>
          <w:tcPr>
            <w:tcW w:type="dxa" w:w="3600"/>
            <w:shd w:val="clear" w:fill="F1F4F8"/>
          </w:tcPr>
          <w:p>
            <w:pPr>
              <w:spacing w:after="20" w:before="20"/>
            </w:pPr>
            <w:r/>
            <w:r>
              <w:rPr>
                <w:sz w:val="16"/>
              </w:rPr>
              <w:t>artifacts/EXP-20260817-001/evaluation/robustness_suite.json</w:t>
            </w:r>
          </w:p>
        </w:tc>
        <w:tc>
          <w:tcPr>
            <w:tcW w:type="dxa" w:w="5472"/>
            <w:shd w:val="clear" w:fill="F1F4F8"/>
          </w:tcPr>
          <w:p>
            <w:pPr>
              <w:spacing w:after="20" w:before="20"/>
            </w:pPr>
            <w:r/>
            <w:r>
              <w:rPr>
                <w:sz w:val="16"/>
              </w:rPr>
              <w:t>B3, seed-variance and multi-output arms</w:t>
            </w:r>
          </w:p>
        </w:tc>
      </w:tr>
      <w:tr>
        <w:tc>
          <w:tcPr>
            <w:tcW w:type="dxa" w:w="3600"/>
          </w:tcPr>
          <w:p>
            <w:pPr>
              <w:spacing w:after="20" w:before="20"/>
            </w:pPr>
            <w:r/>
            <w:r>
              <w:rPr>
                <w:sz w:val="16"/>
              </w:rPr>
              <w:t>artifacts/EXP-20260818-001/evaluation/regime_split.json</w:t>
            </w:r>
          </w:p>
        </w:tc>
        <w:tc>
          <w:tcPr>
            <w:tcW w:type="dxa" w:w="5472"/>
          </w:tcPr>
          <w:p>
            <w:pPr>
              <w:spacing w:after="20" w:before="20"/>
            </w:pPr>
            <w:r/>
            <w:r>
              <w:rPr>
                <w:sz w:val="16"/>
              </w:rPr>
              <w:t>NEW (ADR-047) — accuracy by regime, the Chesterman Δ in both computations, the exceedance census, and the in-control scope note</w:t>
            </w:r>
          </w:p>
        </w:tc>
      </w:tr>
      <w:tr>
        <w:tc>
          <w:tcPr>
            <w:tcW w:type="dxa" w:w="3600"/>
            <w:shd w:val="clear" w:fill="F1F4F8"/>
          </w:tcPr>
          <w:p>
            <w:pPr>
              <w:spacing w:after="20" w:before="20"/>
            </w:pPr>
            <w:r/>
            <w:r>
              <w:rPr>
                <w:sz w:val="16"/>
              </w:rPr>
              <w:t>artifacts/EXP-20260818-001/evaluation/matched_fpr_sweep.json</w:t>
            </w:r>
          </w:p>
        </w:tc>
        <w:tc>
          <w:tcPr>
            <w:tcW w:type="dxa" w:w="5472"/>
            <w:shd w:val="clear" w:fill="F1F4F8"/>
          </w:tcPr>
          <w:p>
            <w:pPr>
              <w:spacing w:after="20" w:before="20"/>
            </w:pPr>
            <w:r/>
            <w:r>
              <w:rPr>
                <w:sz w:val="16"/>
              </w:rPr>
              <w:t>NEW (ADR-048) — the RQ2 verdict under the row-time denominator, and the boundary sensitivity at 2/3/5/10/12/20 samples</w:t>
            </w:r>
          </w:p>
        </w:tc>
      </w:tr>
      <w:tr>
        <w:tc>
          <w:tcPr>
            <w:tcW w:type="dxa" w:w="3600"/>
          </w:tcPr>
          <w:p>
            <w:pPr>
              <w:spacing w:after="20" w:before="20"/>
            </w:pPr>
            <w:r/>
            <w:r>
              <w:rPr>
                <w:sz w:val="16"/>
              </w:rPr>
              <w:t>docs/DECISIONS.md</w:t>
            </w:r>
          </w:p>
        </w:tc>
        <w:tc>
          <w:tcPr>
            <w:tcW w:type="dxa" w:w="5472"/>
          </w:tcPr>
          <w:p>
            <w:pPr>
              <w:spacing w:after="20" w:before="20"/>
            </w:pPr>
            <w:r/>
            <w:r>
              <w:rPr>
                <w:sz w:val="16"/>
              </w:rPr>
              <w:t>ADR-001..048, including ADR-028/030/032/035/036/038/045/047/048</w:t>
            </w:r>
          </w:p>
        </w:tc>
      </w:tr>
      <w:tr>
        <w:tc>
          <w:tcPr>
            <w:tcW w:type="dxa" w:w="3600"/>
            <w:shd w:val="clear" w:fill="F1F4F8"/>
          </w:tcPr>
          <w:p>
            <w:pPr>
              <w:spacing w:after="20" w:before="20"/>
            </w:pPr>
            <w:r/>
            <w:r>
              <w:rPr>
                <w:sz w:val="16"/>
              </w:rPr>
              <w:t>docs/LIMITATIONS.md</w:t>
            </w:r>
          </w:p>
        </w:tc>
        <w:tc>
          <w:tcPr>
            <w:tcW w:type="dxa" w:w="5472"/>
            <w:shd w:val="clear" w:fill="F1F4F8"/>
          </w:tcPr>
          <w:p>
            <w:pPr>
              <w:spacing w:after="20" w:before="20"/>
            </w:pPr>
            <w:r/>
            <w:r>
              <w:rPr>
                <w:sz w:val="16"/>
              </w:rPr>
              <w:t>LIM-001..036, including LIM-024/026/029/030/031/034/035/036</w:t>
            </w:r>
          </w:p>
        </w:tc>
      </w:tr>
      <w:tr>
        <w:tc>
          <w:tcPr>
            <w:tcW w:type="dxa" w:w="3600"/>
          </w:tcPr>
          <w:p>
            <w:pPr>
              <w:spacing w:after="20" w:before="20"/>
            </w:pPr>
            <w:r/>
            <w:r>
              <w:rPr>
                <w:sz w:val="16"/>
              </w:rPr>
              <w:t>docs/METHODOLOGY_REVIEW.md, docs/EXPERIMENT_PROTOCOL.md</w:t>
            </w:r>
          </w:p>
        </w:tc>
        <w:tc>
          <w:tcPr>
            <w:tcW w:type="dxa" w:w="5472"/>
          </w:tcPr>
          <w:p>
            <w:pPr>
              <w:spacing w:after="20" w:before="20"/>
            </w:pPr>
            <w:r/>
            <w:r>
              <w:rPr>
                <w:sz w:val="16"/>
              </w:rPr>
              <w:t>the frozen protocol and minimum experiment matrix</w:t>
            </w:r>
          </w:p>
        </w:tc>
      </w:tr>
      <w:tr>
        <w:tc>
          <w:tcPr>
            <w:tcW w:type="dxa" w:w="3600"/>
            <w:shd w:val="clear" w:fill="F1F4F8"/>
          </w:tcPr>
          <w:p>
            <w:pPr>
              <w:spacing w:after="20" w:before="20"/>
            </w:pPr>
            <w:r/>
            <w:r>
              <w:rPr>
                <w:sz w:val="16"/>
              </w:rPr>
              <w:t>mokhles_docs/Chapter_2_draft.docx, Tables 2.4 and 2.5</w:t>
            </w:r>
          </w:p>
        </w:tc>
        <w:tc>
          <w:tcPr>
            <w:tcW w:type="dxa" w:w="5472"/>
            <w:shd w:val="clear" w:fill="F1F4F8"/>
          </w:tcPr>
          <w:p>
            <w:pPr>
              <w:spacing w:after="20" w:before="20"/>
            </w:pPr>
            <w:r/>
            <w:r>
              <w:rPr>
                <w:sz w:val="16"/>
              </w:rPr>
              <w:t>the LIM-036 finding that the lubrication mode's direct signals are not thermal</w:t>
            </w:r>
          </w:p>
        </w:tc>
      </w:tr>
      <w:tr>
        <w:tc>
          <w:tcPr>
            <w:tcW w:type="dxa" w:w="3600"/>
          </w:tcPr>
          <w:p>
            <w:pPr>
              <w:spacing w:after="20" w:before="20"/>
            </w:pPr>
            <w:r/>
            <w:r>
              <w:rPr>
                <w:sz w:val="16"/>
              </w:rPr>
              <w:t>git log / git diff 7df11f9..HEAD</w:t>
            </w:r>
          </w:p>
        </w:tc>
        <w:tc>
          <w:tcPr>
            <w:tcW w:type="dxa" w:w="5472"/>
          </w:tcPr>
          <w:p>
            <w:pPr>
              <w:spacing w:after="20" w:before="20"/>
            </w:pPr>
            <w:r/>
            <w:r>
              <w:rPr>
                <w:sz w:val="16"/>
              </w:rPr>
              <w:t>the 24 commits, 60 files, +19,854 / −197 lines, and the byte-identity claims</w:t>
            </w:r>
          </w:p>
        </w:tc>
      </w:tr>
    </w:tbl>
    <w:p>
      <w:pPr>
        <w:spacing w:after="40"/>
      </w:pPr>
    </w:p>
    <w:p>
      <w:pPr>
        <w:pStyle w:val="Heading1"/>
      </w:pPr>
      <w:r>
        <w:t>Appendix B — Quality gates at the last full verification</w:t>
      </w:r>
    </w:p>
    <w:tbl>
      <w:tblPr>
        <w:tblStyle w:val="TableGrid"/>
        <w:tblW w:type="auto" w:w="0"/>
        <w:jc w:val="center"/>
        <w:tblLook w:firstColumn="1" w:firstRow="1" w:lastColumn="0" w:lastRow="0" w:noHBand="0" w:noVBand="1" w:val="04A0"/>
      </w:tblPr>
      <w:tblGrid>
        <w:gridCol w:w="4586"/>
        <w:gridCol w:w="4586"/>
      </w:tblGrid>
      <w:tr>
        <w:tc>
          <w:tcPr>
            <w:tcW w:type="dxa" w:w="3168"/>
            <w:shd w:val="clear" w:fill="1F406B"/>
          </w:tcPr>
          <w:p>
            <w:pPr>
              <w:spacing w:after="20" w:before="20"/>
            </w:pPr>
            <w:r/>
            <w:r>
              <w:rPr>
                <w:b/>
                <w:color w:val="FFFFFF"/>
                <w:sz w:val="17"/>
              </w:rPr>
              <w:t>Gate</w:t>
            </w:r>
          </w:p>
        </w:tc>
        <w:tc>
          <w:tcPr>
            <w:tcW w:type="dxa" w:w="5904"/>
            <w:shd w:val="clear" w:fill="1F406B"/>
          </w:tcPr>
          <w:p>
            <w:pPr>
              <w:spacing w:after="20" w:before="20"/>
            </w:pPr>
            <w:r/>
            <w:r>
              <w:rPr>
                <w:b/>
                <w:color w:val="FFFFFF"/>
                <w:sz w:val="17"/>
              </w:rPr>
              <w:t>Result</w:t>
            </w:r>
          </w:p>
        </w:tc>
      </w:tr>
      <w:tr>
        <w:tc>
          <w:tcPr>
            <w:tcW w:type="dxa" w:w="3168"/>
          </w:tcPr>
          <w:p>
            <w:pPr>
              <w:spacing w:after="20" w:before="20"/>
            </w:pPr>
            <w:r/>
            <w:r>
              <w:rPr>
                <w:sz w:val="17"/>
              </w:rPr>
              <w:t>ruff</w:t>
            </w:r>
          </w:p>
        </w:tc>
        <w:tc>
          <w:tcPr>
            <w:tcW w:type="dxa" w:w="5904"/>
          </w:tcPr>
          <w:p>
            <w:pPr>
              <w:spacing w:after="20" w:before="20"/>
            </w:pPr>
            <w:r/>
            <w:r>
              <w:rPr>
                <w:sz w:val="17"/>
              </w:rPr>
              <w:t>clean</w:t>
            </w:r>
          </w:p>
        </w:tc>
      </w:tr>
      <w:tr>
        <w:tc>
          <w:tcPr>
            <w:tcW w:type="dxa" w:w="3168"/>
            <w:shd w:val="clear" w:fill="F1F4F8"/>
          </w:tcPr>
          <w:p>
            <w:pPr>
              <w:spacing w:after="20" w:before="20"/>
            </w:pPr>
            <w:r/>
            <w:r>
              <w:rPr>
                <w:sz w:val="17"/>
              </w:rPr>
              <w:t>formatting</w:t>
            </w:r>
          </w:p>
        </w:tc>
        <w:tc>
          <w:tcPr>
            <w:tcW w:type="dxa" w:w="5904"/>
            <w:shd w:val="clear" w:fill="F1F4F8"/>
          </w:tcPr>
          <w:p>
            <w:pPr>
              <w:spacing w:after="20" w:before="20"/>
            </w:pPr>
            <w:r/>
            <w:r>
              <w:rPr>
                <w:sz w:val="17"/>
              </w:rPr>
              <w:t>93 files formatted</w:t>
            </w:r>
          </w:p>
        </w:tc>
      </w:tr>
      <w:tr>
        <w:tc>
          <w:tcPr>
            <w:tcW w:type="dxa" w:w="3168"/>
          </w:tcPr>
          <w:p>
            <w:pPr>
              <w:spacing w:after="20" w:before="20"/>
            </w:pPr>
            <w:r/>
            <w:r>
              <w:rPr>
                <w:sz w:val="17"/>
              </w:rPr>
              <w:t>mypy --strict</w:t>
            </w:r>
          </w:p>
        </w:tc>
        <w:tc>
          <w:tcPr>
            <w:tcW w:type="dxa" w:w="5904"/>
          </w:tcPr>
          <w:p>
            <w:pPr>
              <w:spacing w:after="20" w:before="20"/>
            </w:pPr>
            <w:r/>
            <w:r>
              <w:rPr>
                <w:sz w:val="17"/>
              </w:rPr>
              <w:t>clean (53 source files)</w:t>
            </w:r>
          </w:p>
        </w:tc>
      </w:tr>
      <w:tr>
        <w:tc>
          <w:tcPr>
            <w:tcW w:type="dxa" w:w="3168"/>
            <w:shd w:val="clear" w:fill="F1F4F8"/>
          </w:tcPr>
          <w:p>
            <w:pPr>
              <w:spacing w:after="20" w:before="20"/>
            </w:pPr>
            <w:r/>
            <w:r>
              <w:rPr>
                <w:sz w:val="17"/>
              </w:rPr>
              <w:t>import-linter layer contract</w:t>
            </w:r>
          </w:p>
        </w:tc>
        <w:tc>
          <w:tcPr>
            <w:tcW w:type="dxa" w:w="5904"/>
            <w:shd w:val="clear" w:fill="F1F4F8"/>
          </w:tcPr>
          <w:p>
            <w:pPr>
              <w:spacing w:after="20" w:before="20"/>
            </w:pPr>
            <w:r/>
            <w:r>
              <w:rPr>
                <w:sz w:val="17"/>
              </w:rPr>
              <w:t>1 kept / 0 broken</w:t>
            </w:r>
          </w:p>
        </w:tc>
      </w:tr>
      <w:tr>
        <w:tc>
          <w:tcPr>
            <w:tcW w:type="dxa" w:w="3168"/>
          </w:tcPr>
          <w:p>
            <w:pPr>
              <w:spacing w:after="20" w:before="20"/>
            </w:pPr>
            <w:r/>
            <w:r>
              <w:rPr>
                <w:sz w:val="17"/>
              </w:rPr>
              <w:t>pytest</w:t>
            </w:r>
          </w:p>
        </w:tc>
        <w:tc>
          <w:tcPr>
            <w:tcW w:type="dxa" w:w="5904"/>
          </w:tcPr>
          <w:p>
            <w:pPr>
              <w:spacing w:after="20" w:before="20"/>
            </w:pPr>
            <w:r/>
            <w:r>
              <w:rPr>
                <w:sz w:val="17"/>
              </w:rPr>
              <w:t>542 passed</w:t>
            </w:r>
          </w:p>
        </w:tc>
      </w:tr>
      <w:tr>
        <w:tc>
          <w:tcPr>
            <w:tcW w:type="dxa" w:w="3168"/>
            <w:shd w:val="clear" w:fill="F1F4F8"/>
          </w:tcPr>
          <w:p>
            <w:pPr>
              <w:spacing w:after="20" w:before="20"/>
            </w:pPr>
            <w:r/>
            <w:r>
              <w:rPr>
                <w:sz w:val="17"/>
              </w:rPr>
              <w:t>coverage</w:t>
            </w:r>
          </w:p>
        </w:tc>
        <w:tc>
          <w:tcPr>
            <w:tcW w:type="dxa" w:w="5904"/>
            <w:shd w:val="clear" w:fill="F1F4F8"/>
          </w:tcPr>
          <w:p>
            <w:pPr>
              <w:spacing w:after="20" w:before="20"/>
            </w:pPr>
            <w:r/>
            <w:r>
              <w:rPr>
                <w:sz w:val="17"/>
              </w:rPr>
              <w:t>95.50% (gate: 93%)</w:t>
            </w:r>
          </w:p>
        </w:tc>
      </w:tr>
      <w:tr>
        <w:tc>
          <w:tcPr>
            <w:tcW w:type="dxa" w:w="3168"/>
          </w:tcPr>
          <w:p>
            <w:pPr>
              <w:spacing w:after="20" w:before="20"/>
            </w:pPr>
            <w:r/>
            <w:r>
              <w:rPr>
                <w:sz w:val="17"/>
              </w:rPr>
              <w:t>cross-document consistency audit</w:t>
            </w:r>
          </w:p>
        </w:tc>
        <w:tc>
          <w:tcPr>
            <w:tcW w:type="dxa" w:w="5904"/>
          </w:tcPr>
          <w:p>
            <w:pPr>
              <w:spacing w:after="20" w:before="20"/>
            </w:pPr>
            <w:r/>
            <w:r>
              <w:rPr>
                <w:sz w:val="17"/>
              </w:rPr>
              <w:t>ADR-001..048 and LIM-001..036 with no gaps or duplicates; 0 dangling cross-references across 10 documents; 0 mojibake; 0 stale claims</w:t>
            </w:r>
          </w:p>
        </w:tc>
      </w:tr>
      <w:tr>
        <w:tc>
          <w:tcPr>
            <w:tcW w:type="dxa" w:w="3168"/>
            <w:shd w:val="clear" w:fill="F1F4F8"/>
          </w:tcPr>
          <w:p>
            <w:pPr>
              <w:spacing w:after="20" w:before="20"/>
            </w:pPr>
            <w:r/>
            <w:r>
              <w:rPr>
                <w:sz w:val="17"/>
              </w:rPr>
              <w:t>working tree at EXP-20260818-001</w:t>
            </w:r>
          </w:p>
        </w:tc>
        <w:tc>
          <w:tcPr>
            <w:tcW w:type="dxa" w:w="5904"/>
            <w:shd w:val="clear" w:fill="F1F4F8"/>
          </w:tcPr>
          <w:p>
            <w:pPr>
              <w:spacing w:after="20" w:before="20"/>
            </w:pPr>
            <w:r/>
            <w:r>
              <w:rPr>
                <w:sz w:val="17"/>
              </w:rPr>
              <w:t>git_tracked_dirty = false; git_untracked_files = 3</w:t>
            </w:r>
          </w:p>
        </w:tc>
      </w:tr>
      <w:tr>
        <w:tc>
          <w:tcPr>
            <w:tcW w:type="dxa" w:w="3168"/>
          </w:tcPr>
          <w:p>
            <w:pPr>
              <w:spacing w:after="20" w:before="20"/>
            </w:pPr>
            <w:r/>
            <w:r>
              <w:rPr>
                <w:sz w:val="17"/>
              </w:rPr>
              <w:t>reproduce EXP-20260818-001</w:t>
            </w:r>
          </w:p>
        </w:tc>
        <w:tc>
          <w:tcPr>
            <w:tcW w:type="dxa" w:w="5904"/>
          </w:tcPr>
          <w:p>
            <w:pPr>
              <w:spacing w:after="20" w:before="20"/>
            </w:pPr>
            <w:r/>
            <w:r>
              <w:rPr>
                <w:sz w:val="17"/>
              </w:rPr>
              <w:t>EXACT MATCH — 0 diffs, 0 environment warnings</w:t>
            </w:r>
          </w:p>
        </w:tc>
      </w:tr>
    </w:tbl>
    <w:p>
      <w:pPr>
        <w:spacing w:after="40"/>
      </w:pPr>
    </w:p>
    <w:p>
      <w:pPr>
        <w:pStyle w:val="Heading1"/>
      </w:pPr>
      <w:r>
        <w:t>Appendix C — Reproduction check</w:t>
      </w:r>
    </w:p>
    <w:p>
      <w:r>
        <w:rPr>
          <w:b w:val="0"/>
          <w:i w:val="0"/>
        </w:rPr>
        <w:t>python -m app.experiments reproduce EXP-20260818-001 --root artifacts was executed against the clean headline run, twice, on 2026-08-18. Both invocations returned exit code 0 and the second captured the full report:</w:t>
      </w:r>
    </w:p>
    <w:p>
      <w:pPr>
        <w:spacing w:before="80" w:after="160"/>
        <w:ind w:left="360"/>
      </w:pPr>
      <w:r>
        <w:rPr>
          <w:rFonts w:ascii="Consolas" w:hAnsi="Consolas"/>
          <w:color w:val="2A2A2A"/>
          <w:sz w:val="17"/>
        </w:rPr>
        <w:t>{</w:t>
      </w:r>
      <w:r>
        <w:br/>
      </w:r>
      <w:r>
        <w:rPr>
          <w:rFonts w:ascii="Consolas" w:hAnsi="Consolas"/>
          <w:color w:val="2A2A2A"/>
          <w:sz w:val="17"/>
        </w:rPr>
        <w:t xml:space="preserve">  "experiment_id": "EXP-20260818-001",</w:t>
      </w:r>
      <w:r>
        <w:br/>
      </w:r>
      <w:r>
        <w:rPr>
          <w:rFonts w:ascii="Consolas" w:hAnsi="Consolas"/>
          <w:color w:val="2A2A2A"/>
          <w:sz w:val="17"/>
        </w:rPr>
        <w:t xml:space="preserve">  "status": "EXACT MATCH",</w:t>
      </w:r>
      <w:r>
        <w:br/>
      </w:r>
      <w:r>
        <w:rPr>
          <w:rFonts w:ascii="Consolas" w:hAnsi="Consolas"/>
          <w:color w:val="2A2A2A"/>
          <w:sz w:val="17"/>
        </w:rPr>
        <w:t xml:space="preserve">  "environment_warnings": [],</w:t>
      </w:r>
      <w:r>
        <w:br/>
      </w:r>
      <w:r>
        <w:rPr>
          <w:rFonts w:ascii="Consolas" w:hAnsi="Consolas"/>
          <w:color w:val="2A2A2A"/>
          <w:sz w:val="17"/>
        </w:rPr>
        <w:t xml:space="preserve">  "diffs": []</w:t>
      </w:r>
      <w:r>
        <w:br/>
      </w:r>
      <w:r>
        <w:rPr>
          <w:rFonts w:ascii="Consolas" w:hAnsi="Consolas"/>
          <w:color w:val="2A2A2A"/>
          <w:sz w:val="17"/>
        </w:rPr>
        <w:t>}</w:t>
      </w:r>
    </w:p>
    <w:p>
      <w:r>
        <w:rPr>
          <w:b w:val="0"/>
          <w:i w:val="0"/>
        </w:rPr>
        <w:t>EXACT MATCH is the strongest of the three statuses the driver can return (the others being TOLERANCE and MISMATCH): re-executing the experiment from its stored artifacts produced prediction frames equal to the stored ones, with no diffs and no environment warnings. This is a re-execution check rather than a checksum comparison, and it was performed at a working-tree state recording git_tracked_dirty = false. The clean headline run is therefore reproducible, not merely recorded.</w:t>
      </w:r>
    </w:p>
    <w:p>
      <w:pPr>
        <w:pStyle w:val="Heading1"/>
      </w:pPr>
      <w:r>
        <w:t>Appendix D — Statements this report does NOT make</w:t>
      </w:r>
    </w:p>
    <w:p>
      <w:pPr>
        <w:pStyle w:val="ListBullet"/>
        <w:spacing w:after="60"/>
        <w:ind w:left="360"/>
      </w:pPr>
      <w:r>
        <w:t>It does not claim RQ2 is answered. It claims a correctly-computed negative now exists and is citable, and that the negative is about the channels rather than the coordination rule.</w:t>
      </w:r>
    </w:p>
    <w:p>
      <w:pPr>
        <w:pStyle w:val="ListBullet"/>
        <w:spacing w:after="60"/>
        <w:ind w:left="360"/>
      </w:pPr>
      <w:r>
        <w:t>It does not claim the Chesterman dual criterion favours the thesis model. Measured correctly it does the opposite (LIM-035), and the favourable pooled figure this report's first revision advanced is withdrawn.</w:t>
      </w:r>
    </w:p>
    <w:p>
      <w:pPr>
        <w:pStyle w:val="ListBullet"/>
        <w:spacing w:after="60"/>
        <w:ind w:left="360"/>
      </w:pPr>
      <w:r>
        <w:t>It does not claim the regime split reduces the in-control false-alarm inflation. It cannot, and the reason is structural.</w:t>
      </w:r>
    </w:p>
    <w:p>
      <w:pPr>
        <w:pStyle w:val="ListBullet"/>
        <w:spacing w:after="60"/>
        <w:ind w:left="360"/>
      </w:pPr>
      <w:r>
        <w:t>It does not claim the FMEA rules are valid, invalid, or partially valid — only that they are untested on the available data, and that LIM-036 gives a reason why testing them on THIS event could not have succeeded.</w:t>
      </w:r>
    </w:p>
    <w:p>
      <w:pPr>
        <w:pStyle w:val="ListBullet"/>
        <w:spacing w:after="60"/>
        <w:ind w:left="360"/>
      </w:pPr>
      <w:r>
        <w:t>It does not re-verify the raw dataset checksums; dataset identity is taken from the recorded provenance block.</w:t>
      </w:r>
    </w:p>
    <w:p/>
    <w:p>
      <w:r>
        <w:rPr>
          <w:b w:val="0"/>
          <w:i/>
          <w:color w:val="5A5A5A"/>
        </w:rPr>
        <w:t>End of report.</w:t>
      </w:r>
    </w:p>
    <w:sectPr w:rsidR="00FC693F" w:rsidRPr="0006063C" w:rsidSect="00034616">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406B"/>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406B"/>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