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artHead"/>
        <w:spacing w:before="0"/>
      </w:pPr>
      <w:r>
        <w:rPr>
          <w:b w:val="0"/>
          <w:i w:val="0"/>
        </w:rPr>
        <w:t>Dataset, Preprocessing, Models and Training Pipeline</w:t>
      </w:r>
    </w:p>
    <w:p>
      <w:pPr>
        <w:pStyle w:val="PartSub"/>
      </w:pPr>
      <w:r>
        <w:rPr>
          <w:b w:val="0"/>
          <w:i w:val="0"/>
        </w:rPr>
        <w:t>Technical reference for wind-gearbox-diagnostics</w:t>
      </w:r>
    </w:p>
    <w:p>
      <w:r>
        <w:t>A complete technical description of the data the system consumes, every transformation applied to it, the literature that backs each choice, and the models and training pipeline built on top. Configuration values are read programmatically from the resolved application config at the documented commit — none are transcribed by hand.</w:t>
      </w:r>
    </w:p>
    <w:tbl>
      <w:tblPr>
        <w:tblStyle w:val="TableGrid"/>
        <w:tblW w:type="auto" w:w="0"/>
        <w:jc w:val="left"/>
        <w:tblLook w:firstColumn="1" w:firstRow="1" w:lastColumn="0" w:lastRow="0" w:noHBand="0" w:noVBand="1" w:val="04A0"/>
      </w:tblPr>
      <w:tblGrid>
        <w:gridCol w:w="4680"/>
        <w:gridCol w:w="4680"/>
      </w:tblGrid>
      <w:tr>
        <w:tc>
          <w:tcPr>
            <w:tcW w:type="dxa" w:w="2304"/>
            <w:shd w:val="clear" w:color="auto" w:fill="E7EDEF"/>
          </w:tcPr>
          <w:p>
            <w:pPr>
              <w:spacing w:before="60" w:after="60"/>
            </w:pPr>
            <w:r/>
            <w:r>
              <w:rPr>
                <w:rFonts w:ascii="Segoe UI" w:hAnsi="Segoe UI"/>
                <w:b/>
                <w:color w:val="101A1E"/>
                <w:sz w:val="16"/>
              </w:rPr>
              <w:t>Field</w:t>
            </w:r>
          </w:p>
        </w:tc>
        <w:tc>
          <w:tcPr>
            <w:tcW w:type="dxa" w:w="6912"/>
            <w:shd w:val="clear" w:color="auto" w:fill="E7EDEF"/>
          </w:tcPr>
          <w:p>
            <w:pPr>
              <w:spacing w:before="60" w:after="60"/>
            </w:pPr>
            <w:r/>
            <w:r>
              <w:rPr>
                <w:rFonts w:ascii="Segoe UI" w:hAnsi="Segoe UI"/>
                <w:b/>
                <w:color w:val="101A1E"/>
                <w:sz w:val="16"/>
              </w:rPr>
              <w:t>Value</w:t>
            </w:r>
          </w:p>
        </w:tc>
      </w:tr>
      <w:tr>
        <w:tc>
          <w:tcPr>
            <w:tcW w:type="dxa" w:w="2304"/>
          </w:tcPr>
          <w:p>
            <w:pPr>
              <w:spacing w:before="60" w:after="60"/>
            </w:pPr>
            <w:r/>
            <w:r>
              <w:rPr>
                <w:rFonts w:ascii="Segoe UI" w:hAnsi="Segoe UI"/>
                <w:b/>
                <w:color w:val="101A1E"/>
                <w:sz w:val="17"/>
              </w:rPr>
              <w:t>Repository</w:t>
            </w:r>
          </w:p>
        </w:tc>
        <w:tc>
          <w:tcPr>
            <w:tcW w:type="dxa" w:w="6912"/>
          </w:tcPr>
          <w:p>
            <w:pPr>
              <w:spacing w:before="60" w:after="60"/>
            </w:pPr>
            <w:r/>
            <w:r>
              <w:rPr>
                <w:rFonts w:ascii="Segoe UI" w:hAnsi="Segoe UI"/>
                <w:b w:val="0"/>
                <w:color w:val="3E4E55"/>
                <w:sz w:val="17"/>
              </w:rPr>
              <w:t>wind-gearbox-diagnostics</w:t>
            </w:r>
          </w:p>
        </w:tc>
      </w:tr>
      <w:tr>
        <w:tc>
          <w:tcPr>
            <w:tcW w:type="dxa" w:w="2304"/>
          </w:tcPr>
          <w:p>
            <w:pPr>
              <w:spacing w:before="60" w:after="60"/>
            </w:pPr>
            <w:r/>
            <w:r>
              <w:rPr>
                <w:rFonts w:ascii="Segoe UI" w:hAnsi="Segoe UI"/>
                <w:b/>
                <w:color w:val="101A1E"/>
                <w:sz w:val="17"/>
              </w:rPr>
              <w:t>Commit</w:t>
            </w:r>
          </w:p>
        </w:tc>
        <w:tc>
          <w:tcPr>
            <w:tcW w:type="dxa" w:w="6912"/>
          </w:tcPr>
          <w:p>
            <w:pPr>
              <w:spacing w:before="60" w:after="60"/>
            </w:pPr>
            <w:r/>
            <w:r>
              <w:rPr>
                <w:rFonts w:ascii="Segoe UI" w:hAnsi="Segoe UI"/>
                <w:b w:val="0"/>
                <w:color w:val="3E4E55"/>
                <w:sz w:val="17"/>
              </w:rPr>
              <w:t>ade50ee` (branch implementation)</w:t>
            </w:r>
          </w:p>
        </w:tc>
      </w:tr>
      <w:tr>
        <w:tc>
          <w:tcPr>
            <w:tcW w:type="dxa" w:w="2304"/>
          </w:tcPr>
          <w:p>
            <w:pPr>
              <w:spacing w:before="60" w:after="60"/>
            </w:pPr>
            <w:r/>
            <w:r>
              <w:rPr>
                <w:rFonts w:ascii="Segoe UI" w:hAnsi="Segoe UI"/>
                <w:b/>
                <w:color w:val="101A1E"/>
                <w:sz w:val="17"/>
              </w:rPr>
              <w:t>Canonical schema</w:t>
            </w:r>
          </w:p>
        </w:tc>
        <w:tc>
          <w:tcPr>
            <w:tcW w:type="dxa" w:w="6912"/>
          </w:tcPr>
          <w:p>
            <w:pPr>
              <w:spacing w:before="60" w:after="60"/>
            </w:pPr>
            <w:r/>
            <w:r>
              <w:rPr>
                <w:rFonts w:ascii="Consolas" w:hAnsi="Consolas"/>
                <w:b w:val="0"/>
                <w:color w:val="3E4E55"/>
                <w:sz w:val="17"/>
              </w:rPr>
              <w:t>1.3.0</w:t>
            </w:r>
          </w:p>
        </w:tc>
      </w:tr>
      <w:tr>
        <w:tc>
          <w:tcPr>
            <w:tcW w:type="dxa" w:w="2304"/>
          </w:tcPr>
          <w:p>
            <w:pPr>
              <w:spacing w:before="60" w:after="60"/>
            </w:pPr>
            <w:r/>
            <w:r>
              <w:rPr>
                <w:rFonts w:ascii="Segoe UI" w:hAnsi="Segoe UI"/>
                <w:b/>
                <w:color w:val="101A1E"/>
                <w:sz w:val="17"/>
              </w:rPr>
              <w:t>Report date</w:t>
            </w:r>
          </w:p>
        </w:tc>
        <w:tc>
          <w:tcPr>
            <w:tcW w:type="dxa" w:w="6912"/>
          </w:tcPr>
          <w:p>
            <w:pPr>
              <w:spacing w:before="60" w:after="60"/>
            </w:pPr>
            <w:r/>
            <w:r>
              <w:rPr>
                <w:rFonts w:ascii="Segoe UI" w:hAnsi="Segoe UI"/>
                <w:b w:val="0"/>
                <w:color w:val="3E4E55"/>
                <w:sz w:val="17"/>
              </w:rPr>
              <w:t>16 August 2026</w:t>
            </w:r>
          </w:p>
        </w:tc>
      </w:tr>
      <w:tr>
        <w:tc>
          <w:tcPr>
            <w:tcW w:type="dxa" w:w="2304"/>
          </w:tcPr>
          <w:p>
            <w:pPr>
              <w:spacing w:before="60" w:after="60"/>
            </w:pPr>
            <w:r/>
            <w:r>
              <w:rPr>
                <w:rFonts w:ascii="Segoe UI" w:hAnsi="Segoe UI"/>
                <w:b/>
                <w:color w:val="101A1E"/>
                <w:sz w:val="17"/>
              </w:rPr>
              <w:t>Test suite at time of writing</w:t>
            </w:r>
          </w:p>
        </w:tc>
        <w:tc>
          <w:tcPr>
            <w:tcW w:type="dxa" w:w="6912"/>
          </w:tcPr>
          <w:p>
            <w:pPr>
              <w:spacing w:before="60" w:after="60"/>
            </w:pPr>
            <w:r/>
            <w:r>
              <w:rPr>
                <w:rFonts w:ascii="Segoe UI" w:hAnsi="Segoe UI"/>
                <w:b w:val="0"/>
                <w:color w:val="3E4E55"/>
                <w:sz w:val="17"/>
              </w:rPr>
              <w:t>468 passed, 95% coverage; ruff, ruff-format, mypy strict, import-linter all green</w:t>
            </w:r>
          </w:p>
        </w:tc>
      </w:tr>
      <w:tr>
        <w:tc>
          <w:tcPr>
            <w:tcW w:type="dxa" w:w="2304"/>
          </w:tcPr>
          <w:p>
            <w:pPr>
              <w:spacing w:before="60" w:after="60"/>
            </w:pPr>
            <w:r/>
            <w:r>
              <w:rPr>
                <w:rFonts w:ascii="Segoe UI" w:hAnsi="Segoe UI"/>
                <w:b/>
                <w:color w:val="101A1E"/>
                <w:sz w:val="17"/>
              </w:rPr>
              <w:t>EDA script</w:t>
            </w:r>
          </w:p>
        </w:tc>
        <w:tc>
          <w:tcPr>
            <w:tcW w:type="dxa" w:w="6912"/>
          </w:tcPr>
          <w:p>
            <w:pPr>
              <w:spacing w:before="60" w:after="60"/>
            </w:pPr>
            <w:r/>
            <w:r>
              <w:rPr>
                <w:rFonts w:ascii="Segoe UI" w:hAnsi="Segoe UI"/>
                <w:b w:val="0"/>
                <w:color w:val="3E4E55"/>
                <w:sz w:val="17"/>
              </w:rPr>
              <w:t>scripts/run_eda.py` — built and validated, NOT yet executed (see §2.4)</w:t>
            </w:r>
          </w:p>
        </w:tc>
      </w:tr>
    </w:tbl>
    <w:p>
      <w:pPr>
        <w:spacing w:after="40"/>
      </w:pPr>
    </w:p>
    <w:p>
      <w:pPr>
        <w:pStyle w:val="Label"/>
      </w:pPr>
      <w:r>
        <w:rPr>
          <w:b w:val="0"/>
          <w:i w:val="0"/>
        </w:rPr>
        <w:t>Evidence discipline</w:t>
      </w:r>
    </w:p>
    <w:p>
      <w:r>
        <w:t xml:space="preserve">Three kinds of statement appear below and they are kept distinct. </w:t>
      </w:r>
      <w:r>
        <w:rPr>
          <w:b/>
        </w:rPr>
        <w:t>Verified from committed evidence</w:t>
      </w:r>
      <w:r>
        <w:t xml:space="preserve"> — figures re-derived independently from the census artefacts in </w:t>
      </w:r>
      <w:r>
        <w:rPr>
          <w:rFonts w:ascii="Consolas" w:hAnsi="Consolas"/>
          <w:color w:val="3E4E55"/>
          <w:sz w:val="18"/>
        </w:rPr>
        <w:t>docs/evidence/</w:t>
      </w:r>
      <w:r>
        <w:t xml:space="preserve">, which are under version control. </w:t>
      </w:r>
      <w:r>
        <w:rPr>
          <w:b/>
        </w:rPr>
        <w:t>Read from source</w:t>
      </w:r>
      <w:r>
        <w:t xml:space="preserve"> — configuration and pipeline behaviour extracted from the code at the commit above. </w:t>
      </w:r>
      <w:r>
        <w:rPr>
          <w:b/>
        </w:rPr>
        <w:t>Not yet measured</w:t>
      </w:r>
      <w:r>
        <w:t xml:space="preserve"> — quantities the EDA script computes but which have not been run, because the raw holdings are not present in the working environment. Nothing in the third category is given a number.</w:t>
      </w:r>
    </w:p>
    <w:p>
      <w:r>
        <w:br w:type="page"/>
      </w:r>
    </w:p>
    <w:p>
      <w:pPr>
        <w:pStyle w:val="PartHead"/>
      </w:pPr>
      <w:r>
        <w:rPr>
          <w:b w:val="0"/>
          <w:i w:val="0"/>
        </w:rPr>
        <w:t>Part 1</w:t>
      </w:r>
    </w:p>
    <w:p>
      <w:pPr>
        <w:pStyle w:val="PartSub"/>
      </w:pPr>
      <w:r>
        <w:rPr>
          <w:b w:val="0"/>
          <w:i w:val="0"/>
        </w:rPr>
        <w:t>The dataset</w:t>
      </w:r>
    </w:p>
    <w:p>
      <w:pPr>
        <w:pStyle w:val="H1x"/>
      </w:pPr>
      <w:r>
        <w:rPr>
          <w:b w:val="0"/>
          <w:i w:val="0"/>
        </w:rPr>
        <w:t>1.1  Provenance and licensing</w:t>
      </w:r>
    </w:p>
    <w:tbl>
      <w:tblPr>
        <w:tblStyle w:val="TableGrid"/>
        <w:tblW w:type="auto" w:w="0"/>
        <w:jc w:val="left"/>
        <w:tblLook w:firstColumn="1" w:firstRow="1" w:lastColumn="0" w:lastRow="0" w:noHBand="0" w:noVBand="1" w:val="04A0"/>
      </w:tblPr>
      <w:tblGrid>
        <w:gridCol w:w="4680"/>
        <w:gridCol w:w="4680"/>
      </w:tblGrid>
      <w:tr>
        <w:tc>
          <w:tcPr>
            <w:tcW w:type="dxa" w:w="2160"/>
            <w:shd w:val="clear" w:color="auto" w:fill="E7EDEF"/>
          </w:tcPr>
          <w:p>
            <w:pPr>
              <w:spacing w:before="60" w:after="60"/>
            </w:pPr>
            <w:r/>
            <w:r>
              <w:rPr>
                <w:rFonts w:ascii="Segoe UI" w:hAnsi="Segoe UI"/>
                <w:b/>
                <w:color w:val="101A1E"/>
                <w:sz w:val="16"/>
              </w:rPr>
              <w:t>Field</w:t>
            </w:r>
          </w:p>
        </w:tc>
        <w:tc>
          <w:tcPr>
            <w:tcW w:type="dxa" w:w="7056"/>
            <w:shd w:val="clear" w:color="auto" w:fill="E7EDEF"/>
          </w:tcPr>
          <w:p>
            <w:pPr>
              <w:spacing w:before="60" w:after="60"/>
            </w:pPr>
            <w:r/>
            <w:r>
              <w:rPr>
                <w:rFonts w:ascii="Segoe UI" w:hAnsi="Segoe UI"/>
                <w:b/>
                <w:color w:val="101A1E"/>
                <w:sz w:val="16"/>
              </w:rPr>
              <w:t>Value</w:t>
            </w:r>
          </w:p>
        </w:tc>
      </w:tr>
      <w:tr>
        <w:tc>
          <w:tcPr>
            <w:tcW w:type="dxa" w:w="2160"/>
          </w:tcPr>
          <w:p>
            <w:pPr>
              <w:spacing w:before="60" w:after="60"/>
            </w:pPr>
            <w:r/>
            <w:r>
              <w:rPr>
                <w:rFonts w:ascii="Segoe UI" w:hAnsi="Segoe UI"/>
                <w:b/>
                <w:color w:val="101A1E"/>
                <w:sz w:val="17"/>
              </w:rPr>
              <w:t>Name</w:t>
            </w:r>
          </w:p>
        </w:tc>
        <w:tc>
          <w:tcPr>
            <w:tcW w:type="dxa" w:w="7056"/>
          </w:tcPr>
          <w:p>
            <w:pPr>
              <w:spacing w:before="60" w:after="60"/>
            </w:pPr>
            <w:r/>
            <w:r>
              <w:rPr>
                <w:rFonts w:ascii="Segoe UI" w:hAnsi="Segoe UI"/>
                <w:b w:val="0"/>
                <w:color w:val="3E4E55"/>
                <w:sz w:val="17"/>
              </w:rPr>
              <w:t>Kelmarsh wind farm SCADA + status logs</w:t>
            </w:r>
          </w:p>
        </w:tc>
      </w:tr>
      <w:tr>
        <w:tc>
          <w:tcPr>
            <w:tcW w:type="dxa" w:w="2160"/>
          </w:tcPr>
          <w:p>
            <w:pPr>
              <w:spacing w:before="60" w:after="60"/>
            </w:pPr>
            <w:r/>
            <w:r>
              <w:rPr>
                <w:rFonts w:ascii="Segoe UI" w:hAnsi="Segoe UI"/>
                <w:b/>
                <w:color w:val="101A1E"/>
                <w:sz w:val="17"/>
              </w:rPr>
              <w:t>Turbines</w:t>
            </w:r>
          </w:p>
        </w:tc>
        <w:tc>
          <w:tcPr>
            <w:tcW w:type="dxa" w:w="7056"/>
          </w:tcPr>
          <w:p>
            <w:pPr>
              <w:spacing w:before="60" w:after="60"/>
            </w:pPr>
            <w:r/>
            <w:r>
              <w:rPr>
                <w:rFonts w:ascii="Segoe UI" w:hAnsi="Segoe UI"/>
                <w:b w:val="0"/>
                <w:color w:val="3E4E55"/>
                <w:sz w:val="17"/>
              </w:rPr>
              <w:t>Six Senvion MM92, declared in every file header</w:t>
            </w:r>
          </w:p>
        </w:tc>
      </w:tr>
      <w:tr>
        <w:tc>
          <w:tcPr>
            <w:tcW w:type="dxa" w:w="2160"/>
          </w:tcPr>
          <w:p>
            <w:pPr>
              <w:spacing w:before="60" w:after="60"/>
            </w:pPr>
            <w:r/>
            <w:r>
              <w:rPr>
                <w:rFonts w:ascii="Segoe UI" w:hAnsi="Segoe UI"/>
                <w:b/>
                <w:color w:val="101A1E"/>
                <w:sz w:val="17"/>
              </w:rPr>
              <w:t>Rated power</w:t>
            </w:r>
          </w:p>
        </w:tc>
        <w:tc>
          <w:tcPr>
            <w:tcW w:type="dxa" w:w="7056"/>
          </w:tcPr>
          <w:p>
            <w:pPr>
              <w:spacing w:before="60" w:after="60"/>
            </w:pPr>
            <w:r/>
            <w:r>
              <w:rPr>
                <w:rFonts w:ascii="Segoe UI" w:hAnsi="Segoe UI"/>
                <w:b w:val="0"/>
                <w:color w:val="3E4E55"/>
                <w:sz w:val="17"/>
              </w:rPr>
              <w:t>2.05 MW per machine</w:t>
            </w:r>
          </w:p>
        </w:tc>
      </w:tr>
      <w:tr>
        <w:tc>
          <w:tcPr>
            <w:tcW w:type="dxa" w:w="2160"/>
          </w:tcPr>
          <w:p>
            <w:pPr>
              <w:spacing w:before="60" w:after="60"/>
            </w:pPr>
            <w:r/>
            <w:r>
              <w:rPr>
                <w:rFonts w:ascii="Segoe UI" w:hAnsi="Segoe UI"/>
                <w:b/>
                <w:color w:val="101A1E"/>
                <w:sz w:val="17"/>
              </w:rPr>
              <w:t>Publisher</w:t>
            </w:r>
          </w:p>
        </w:tc>
        <w:tc>
          <w:tcPr>
            <w:tcW w:type="dxa" w:w="7056"/>
          </w:tcPr>
          <w:p>
            <w:pPr>
              <w:spacing w:before="60" w:after="60"/>
            </w:pPr>
            <w:r/>
            <w:r>
              <w:rPr>
                <w:rFonts w:ascii="Segoe UI" w:hAnsi="Segoe UI"/>
                <w:b w:val="0"/>
                <w:color w:val="3E4E55"/>
                <w:sz w:val="17"/>
              </w:rPr>
              <w:t>Cubico Sustainable Investments Ltd</w:t>
            </w:r>
          </w:p>
        </w:tc>
      </w:tr>
      <w:tr>
        <w:tc>
          <w:tcPr>
            <w:tcW w:type="dxa" w:w="2160"/>
          </w:tcPr>
          <w:p>
            <w:pPr>
              <w:spacing w:before="60" w:after="60"/>
            </w:pPr>
            <w:r/>
            <w:r>
              <w:rPr>
                <w:rFonts w:ascii="Segoe UI" w:hAnsi="Segoe UI"/>
                <w:b/>
                <w:color w:val="101A1E"/>
                <w:sz w:val="17"/>
              </w:rPr>
              <w:t>Repository</w:t>
            </w:r>
          </w:p>
        </w:tc>
        <w:tc>
          <w:tcPr>
            <w:tcW w:type="dxa" w:w="7056"/>
          </w:tcPr>
          <w:p>
            <w:pPr>
              <w:spacing w:before="60" w:after="60"/>
            </w:pPr>
            <w:r/>
            <w:r>
              <w:rPr>
                <w:rFonts w:ascii="Segoe UI" w:hAnsi="Segoe UI"/>
                <w:b w:val="0"/>
                <w:color w:val="3E4E55"/>
                <w:sz w:val="17"/>
              </w:rPr>
              <w:t>Zenodo, DOI 10.5281/zenodo.5841833 (all-versions DOI)</w:t>
            </w:r>
          </w:p>
        </w:tc>
      </w:tr>
      <w:tr>
        <w:tc>
          <w:tcPr>
            <w:tcW w:type="dxa" w:w="2160"/>
          </w:tcPr>
          <w:p>
            <w:pPr>
              <w:spacing w:before="60" w:after="60"/>
            </w:pPr>
            <w:r/>
            <w:r>
              <w:rPr>
                <w:rFonts w:ascii="Segoe UI" w:hAnsi="Segoe UI"/>
                <w:b/>
                <w:color w:val="101A1E"/>
                <w:sz w:val="17"/>
              </w:rPr>
              <w:t>Licence</w:t>
            </w:r>
          </w:p>
        </w:tc>
        <w:tc>
          <w:tcPr>
            <w:tcW w:type="dxa" w:w="7056"/>
          </w:tcPr>
          <w:p>
            <w:pPr>
              <w:spacing w:before="60" w:after="60"/>
            </w:pPr>
            <w:r/>
            <w:r>
              <w:rPr>
                <w:rFonts w:ascii="Segoe UI" w:hAnsi="Segoe UI"/>
                <w:b w:val="0"/>
                <w:color w:val="3E4E55"/>
                <w:sz w:val="17"/>
              </w:rPr>
              <w:t>CC-BY-4.0 — permits use and redistribution with attribution</w:t>
            </w:r>
          </w:p>
        </w:tc>
      </w:tr>
      <w:tr>
        <w:tc>
          <w:tcPr>
            <w:tcW w:type="dxa" w:w="2160"/>
          </w:tcPr>
          <w:p>
            <w:pPr>
              <w:spacing w:before="60" w:after="60"/>
            </w:pPr>
            <w:r/>
            <w:r>
              <w:rPr>
                <w:rFonts w:ascii="Segoe UI" w:hAnsi="Segoe UI"/>
                <w:b/>
                <w:color w:val="101A1E"/>
                <w:sz w:val="17"/>
              </w:rPr>
              <w:t>Format</w:t>
            </w:r>
          </w:p>
        </w:tc>
        <w:tc>
          <w:tcPr>
            <w:tcW w:type="dxa" w:w="7056"/>
          </w:tcPr>
          <w:p>
            <w:pPr>
              <w:spacing w:before="60" w:after="60"/>
            </w:pPr>
            <w:r/>
            <w:r>
              <w:rPr>
                <w:rFonts w:ascii="Segoe UI" w:hAnsi="Segoe UI"/>
                <w:b w:val="0"/>
                <w:color w:val="3E4E55"/>
                <w:sz w:val="17"/>
              </w:rPr>
              <w:t>Greenbyte CSV export; 9 comment lines then a header row itself prefixed '# '</w:t>
            </w:r>
          </w:p>
        </w:tc>
      </w:tr>
      <w:tr>
        <w:tc>
          <w:tcPr>
            <w:tcW w:type="dxa" w:w="2160"/>
          </w:tcPr>
          <w:p>
            <w:pPr>
              <w:spacing w:before="60" w:after="60"/>
            </w:pPr>
            <w:r/>
            <w:r>
              <w:rPr>
                <w:rFonts w:ascii="Segoe UI" w:hAnsi="Segoe UI"/>
                <w:b/>
                <w:color w:val="101A1E"/>
                <w:sz w:val="17"/>
              </w:rPr>
              <w:t>Missing token</w:t>
            </w:r>
          </w:p>
        </w:tc>
        <w:tc>
          <w:tcPr>
            <w:tcW w:type="dxa" w:w="7056"/>
          </w:tcPr>
          <w:p>
            <w:pPr>
              <w:spacing w:before="60" w:after="60"/>
            </w:pPr>
            <w:r/>
            <w:r>
              <w:rPr>
                <w:rFonts w:ascii="Segoe UI" w:hAnsi="Segoe UI"/>
                <w:b w:val="0"/>
                <w:color w:val="3E4E55"/>
                <w:sz w:val="17"/>
              </w:rPr>
              <w:t>literal string `NaN</w:t>
            </w:r>
          </w:p>
        </w:tc>
      </w:tr>
      <w:tr>
        <w:tc>
          <w:tcPr>
            <w:tcW w:type="dxa" w:w="2160"/>
          </w:tcPr>
          <w:p>
            <w:pPr>
              <w:spacing w:before="60" w:after="60"/>
            </w:pPr>
            <w:r/>
            <w:r>
              <w:rPr>
                <w:rFonts w:ascii="Segoe UI" w:hAnsi="Segoe UI"/>
                <w:b/>
                <w:color w:val="101A1E"/>
                <w:sz w:val="17"/>
              </w:rPr>
              <w:t>Declared timezone</w:t>
            </w:r>
          </w:p>
        </w:tc>
        <w:tc>
          <w:tcPr>
            <w:tcW w:type="dxa" w:w="7056"/>
          </w:tcPr>
          <w:p>
            <w:pPr>
              <w:spacing w:before="60" w:after="60"/>
            </w:pPr>
            <w:r/>
            <w:r>
              <w:rPr>
                <w:rFonts w:ascii="Segoe UI" w:hAnsi="Segoe UI"/>
                <w:b w:val="0"/>
                <w:color w:val="3E4E55"/>
                <w:sz w:val="17"/>
              </w:rPr>
              <w:t>UTC, stated in every file's banner — declared, not assumed</w:t>
            </w:r>
          </w:p>
        </w:tc>
      </w:tr>
      <w:tr>
        <w:tc>
          <w:tcPr>
            <w:tcW w:type="dxa" w:w="2160"/>
          </w:tcPr>
          <w:p>
            <w:pPr>
              <w:spacing w:before="60" w:after="60"/>
            </w:pPr>
            <w:r/>
            <w:r>
              <w:rPr>
                <w:rFonts w:ascii="Segoe UI" w:hAnsi="Segoe UI"/>
                <w:b/>
                <w:color w:val="101A1E"/>
                <w:sz w:val="17"/>
              </w:rPr>
              <w:t>Holdings</w:t>
            </w:r>
          </w:p>
        </w:tc>
        <w:tc>
          <w:tcPr>
            <w:tcW w:type="dxa" w:w="7056"/>
          </w:tcPr>
          <w:p>
            <w:pPr>
              <w:spacing w:before="60" w:after="60"/>
            </w:pPr>
            <w:r/>
            <w:r>
              <w:rPr>
                <w:rFonts w:ascii="Segoe UI" w:hAnsi="Segoe UI"/>
                <w:b w:val="0"/>
                <w:color w:val="3E4E55"/>
                <w:sz w:val="17"/>
              </w:rPr>
              <w:t>Year folders 2016–2021 (2021 is a half year)</w:t>
            </w:r>
          </w:p>
        </w:tc>
      </w:tr>
      <w:tr>
        <w:tc>
          <w:tcPr>
            <w:tcW w:type="dxa" w:w="2160"/>
          </w:tcPr>
          <w:p>
            <w:pPr>
              <w:spacing w:before="60" w:after="60"/>
            </w:pPr>
            <w:r/>
            <w:r>
              <w:rPr>
                <w:rFonts w:ascii="Segoe UI" w:hAnsi="Segoe UI"/>
                <w:b/>
                <w:color w:val="101A1E"/>
                <w:sz w:val="17"/>
              </w:rPr>
              <w:t>Raw data in git</w:t>
            </w:r>
          </w:p>
        </w:tc>
        <w:tc>
          <w:tcPr>
            <w:tcW w:type="dxa" w:w="7056"/>
          </w:tcPr>
          <w:p>
            <w:pPr>
              <w:spacing w:before="60" w:after="60"/>
            </w:pPr>
            <w:r/>
            <w:r>
              <w:rPr>
                <w:rFonts w:ascii="Segoe UI" w:hAnsi="Segoe UI"/>
                <w:b w:val="0"/>
                <w:color w:val="3E4E55"/>
                <w:sz w:val="17"/>
              </w:rPr>
              <w:t>Never. Provenance hashes only (PROJECT.md §10)</w:t>
            </w:r>
          </w:p>
        </w:tc>
      </w:tr>
    </w:tbl>
    <w:p>
      <w:pPr>
        <w:spacing w:after="40"/>
      </w:pPr>
    </w:p>
    <w:p>
      <w:pPr>
        <w:pStyle w:val="H1x"/>
      </w:pPr>
      <w:r>
        <w:rPr>
          <w:b w:val="0"/>
          <w:i w:val="0"/>
        </w:rPr>
        <w:t>1.2  Structure and scale — verified from committed census evidence</w:t>
      </w:r>
    </w:p>
    <w:p>
      <w:r>
        <w:t xml:space="preserve">Every figure in this section was re-derived from </w:t>
      </w:r>
      <w:r>
        <w:rPr>
          <w:rFonts w:ascii="Consolas" w:hAnsi="Consolas"/>
          <w:color w:val="3E4E55"/>
          <w:sz w:val="18"/>
        </w:rPr>
        <w:t>docs/evidence/KELMARSH_2020_CENSUS.json</w:t>
      </w:r>
      <w:r>
        <w:t xml:space="preserve"> and </w:t>
      </w:r>
      <w:r>
        <w:rPr>
          <w:rFonts w:ascii="Consolas" w:hAnsi="Consolas"/>
          <w:color w:val="3E4E55"/>
          <w:sz w:val="18"/>
        </w:rPr>
        <w:t>KELMARSH_STATUS_VOCABULARY_2016_2021.json</w:t>
      </w:r>
      <w:r>
        <w:t xml:space="preserve"> during an independent audit, and matched the project's prose exactly.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E7EDEF"/>
          </w:tcPr>
          <w:p>
            <w:pPr>
              <w:spacing w:before="60" w:after="60"/>
            </w:pPr>
            <w:r/>
            <w:r>
              <w:rPr>
                <w:rFonts w:ascii="Segoe UI" w:hAnsi="Segoe UI"/>
                <w:b/>
                <w:color w:val="101A1E"/>
                <w:sz w:val="16"/>
              </w:rPr>
              <w:t>Year folder</w:t>
            </w:r>
          </w:p>
        </w:tc>
        <w:tc>
          <w:tcPr>
            <w:tcW w:type="dxa" w:w="2592"/>
            <w:shd w:val="clear" w:color="auto" w:fill="E7EDEF"/>
          </w:tcPr>
          <w:p>
            <w:pPr>
              <w:spacing w:before="60" w:after="60"/>
            </w:pPr>
            <w:r/>
            <w:r>
              <w:rPr>
                <w:rFonts w:ascii="Segoe UI" w:hAnsi="Segoe UI"/>
                <w:b/>
                <w:color w:val="101A1E"/>
                <w:sz w:val="16"/>
              </w:rPr>
              <w:t>First timestamp</w:t>
            </w:r>
          </w:p>
        </w:tc>
        <w:tc>
          <w:tcPr>
            <w:tcW w:type="dxa" w:w="2592"/>
            <w:shd w:val="clear" w:color="auto" w:fill="E7EDEF"/>
          </w:tcPr>
          <w:p>
            <w:pPr>
              <w:spacing w:before="60" w:after="60"/>
            </w:pPr>
            <w:r/>
            <w:r>
              <w:rPr>
                <w:rFonts w:ascii="Segoe UI" w:hAnsi="Segoe UI"/>
                <w:b/>
                <w:color w:val="101A1E"/>
                <w:sz w:val="16"/>
              </w:rPr>
              <w:t>Last timestamp</w:t>
            </w:r>
          </w:p>
        </w:tc>
        <w:tc>
          <w:tcPr>
            <w:tcW w:type="dxa" w:w="1872"/>
            <w:shd w:val="clear" w:color="auto" w:fill="E7EDEF"/>
          </w:tcPr>
          <w:p>
            <w:pPr>
              <w:spacing w:before="60" w:after="60"/>
            </w:pPr>
            <w:r/>
            <w:r>
              <w:rPr>
                <w:rFonts w:ascii="Segoe UI" w:hAnsi="Segoe UI"/>
                <w:b/>
                <w:color w:val="101A1E"/>
                <w:sz w:val="16"/>
              </w:rPr>
              <w:t>Rows/turbine</w:t>
            </w:r>
          </w:p>
        </w:tc>
      </w:tr>
      <w:tr>
        <w:tc>
          <w:tcPr>
            <w:tcW w:type="dxa" w:w="2160"/>
          </w:tcPr>
          <w:p>
            <w:pPr>
              <w:spacing w:before="60" w:after="60"/>
            </w:pPr>
            <w:r/>
            <w:r>
              <w:rPr>
                <w:rFonts w:ascii="Segoe UI" w:hAnsi="Segoe UI"/>
                <w:b/>
                <w:color w:val="101A1E"/>
                <w:sz w:val="17"/>
              </w:rPr>
              <w:t>2016</w:t>
            </w:r>
          </w:p>
        </w:tc>
        <w:tc>
          <w:tcPr>
            <w:tcW w:type="dxa" w:w="2592"/>
          </w:tcPr>
          <w:p>
            <w:pPr>
              <w:spacing w:before="60" w:after="60"/>
            </w:pPr>
            <w:r/>
            <w:r>
              <w:rPr>
                <w:rFonts w:ascii="Segoe UI" w:hAnsi="Segoe UI"/>
                <w:b w:val="0"/>
                <w:color w:val="3E4E55"/>
                <w:sz w:val="17"/>
              </w:rPr>
              <w:t>2016-01-03 00:00</w:t>
            </w:r>
          </w:p>
        </w:tc>
        <w:tc>
          <w:tcPr>
            <w:tcW w:type="dxa" w:w="2592"/>
          </w:tcPr>
          <w:p>
            <w:pPr>
              <w:spacing w:before="60" w:after="60"/>
            </w:pPr>
            <w:r/>
            <w:r>
              <w:rPr>
                <w:rFonts w:ascii="Segoe UI" w:hAnsi="Segoe UI"/>
                <w:b w:val="0"/>
                <w:color w:val="3E4E55"/>
                <w:sz w:val="17"/>
              </w:rPr>
              <w:t>2016-12-31 23:50</w:t>
            </w:r>
          </w:p>
        </w:tc>
        <w:tc>
          <w:tcPr>
            <w:tcW w:type="dxa" w:w="1872"/>
          </w:tcPr>
          <w:p>
            <w:pPr>
              <w:spacing w:before="60" w:after="60"/>
            </w:pPr>
            <w:r/>
            <w:r>
              <w:rPr>
                <w:rFonts w:ascii="Segoe UI" w:hAnsi="Segoe UI"/>
                <w:b w:val="0"/>
                <w:color w:val="3E4E55"/>
                <w:sz w:val="17"/>
              </w:rPr>
              <w:t>52,416</w:t>
            </w:r>
          </w:p>
        </w:tc>
      </w:tr>
      <w:tr>
        <w:tc>
          <w:tcPr>
            <w:tcW w:type="dxa" w:w="2160"/>
          </w:tcPr>
          <w:p>
            <w:pPr>
              <w:spacing w:before="60" w:after="60"/>
            </w:pPr>
            <w:r/>
            <w:r>
              <w:rPr>
                <w:rFonts w:ascii="Segoe UI" w:hAnsi="Segoe UI"/>
                <w:b/>
                <w:color w:val="101A1E"/>
                <w:sz w:val="17"/>
              </w:rPr>
              <w:t>2017</w:t>
            </w:r>
          </w:p>
        </w:tc>
        <w:tc>
          <w:tcPr>
            <w:tcW w:type="dxa" w:w="2592"/>
          </w:tcPr>
          <w:p>
            <w:pPr>
              <w:spacing w:before="60" w:after="60"/>
            </w:pPr>
            <w:r/>
            <w:r>
              <w:rPr>
                <w:rFonts w:ascii="Segoe UI" w:hAnsi="Segoe UI"/>
                <w:b w:val="0"/>
                <w:color w:val="3E4E55"/>
                <w:sz w:val="17"/>
              </w:rPr>
              <w:t>2017-01-01 00:00</w:t>
            </w:r>
          </w:p>
        </w:tc>
        <w:tc>
          <w:tcPr>
            <w:tcW w:type="dxa" w:w="2592"/>
          </w:tcPr>
          <w:p>
            <w:pPr>
              <w:spacing w:before="60" w:after="60"/>
            </w:pPr>
            <w:r/>
            <w:r>
              <w:rPr>
                <w:rFonts w:ascii="Segoe UI" w:hAnsi="Segoe UI"/>
                <w:b w:val="0"/>
                <w:color w:val="3E4E55"/>
                <w:sz w:val="17"/>
              </w:rPr>
              <w:t>2017-12-31 23:50</w:t>
            </w:r>
          </w:p>
        </w:tc>
        <w:tc>
          <w:tcPr>
            <w:tcW w:type="dxa" w:w="1872"/>
          </w:tcPr>
          <w:p>
            <w:pPr>
              <w:spacing w:before="60" w:after="60"/>
            </w:pPr>
            <w:r/>
            <w:r>
              <w:rPr>
                <w:rFonts w:ascii="Segoe UI" w:hAnsi="Segoe UI"/>
                <w:b w:val="0"/>
                <w:color w:val="3E4E55"/>
                <w:sz w:val="17"/>
              </w:rPr>
              <w:t>52,560</w:t>
            </w:r>
          </w:p>
        </w:tc>
      </w:tr>
      <w:tr>
        <w:tc>
          <w:tcPr>
            <w:tcW w:type="dxa" w:w="2160"/>
          </w:tcPr>
          <w:p>
            <w:pPr>
              <w:spacing w:before="60" w:after="60"/>
            </w:pPr>
            <w:r/>
            <w:r>
              <w:rPr>
                <w:rFonts w:ascii="Segoe UI" w:hAnsi="Segoe UI"/>
                <w:b/>
                <w:color w:val="101A1E"/>
                <w:sz w:val="17"/>
              </w:rPr>
              <w:t>2018</w:t>
            </w:r>
          </w:p>
        </w:tc>
        <w:tc>
          <w:tcPr>
            <w:tcW w:type="dxa" w:w="2592"/>
          </w:tcPr>
          <w:p>
            <w:pPr>
              <w:spacing w:before="60" w:after="60"/>
            </w:pPr>
            <w:r/>
            <w:r>
              <w:rPr>
                <w:rFonts w:ascii="Segoe UI" w:hAnsi="Segoe UI"/>
                <w:b w:val="0"/>
                <w:color w:val="3E4E55"/>
                <w:sz w:val="17"/>
              </w:rPr>
              <w:t>2018-01-01 00:00</w:t>
            </w:r>
          </w:p>
        </w:tc>
        <w:tc>
          <w:tcPr>
            <w:tcW w:type="dxa" w:w="2592"/>
          </w:tcPr>
          <w:p>
            <w:pPr>
              <w:spacing w:before="60" w:after="60"/>
            </w:pPr>
            <w:r/>
            <w:r>
              <w:rPr>
                <w:rFonts w:ascii="Segoe UI" w:hAnsi="Segoe UI"/>
                <w:b w:val="0"/>
                <w:color w:val="3E4E55"/>
                <w:sz w:val="17"/>
              </w:rPr>
              <w:t>2018-12-31 23:50</w:t>
            </w:r>
          </w:p>
        </w:tc>
        <w:tc>
          <w:tcPr>
            <w:tcW w:type="dxa" w:w="1872"/>
          </w:tcPr>
          <w:p>
            <w:pPr>
              <w:spacing w:before="60" w:after="60"/>
            </w:pPr>
            <w:r/>
            <w:r>
              <w:rPr>
                <w:rFonts w:ascii="Segoe UI" w:hAnsi="Segoe UI"/>
                <w:b w:val="0"/>
                <w:color w:val="3E4E55"/>
                <w:sz w:val="17"/>
              </w:rPr>
              <w:t>52,560</w:t>
            </w:r>
          </w:p>
        </w:tc>
      </w:tr>
      <w:tr>
        <w:tc>
          <w:tcPr>
            <w:tcW w:type="dxa" w:w="2160"/>
          </w:tcPr>
          <w:p>
            <w:pPr>
              <w:spacing w:before="60" w:after="60"/>
            </w:pPr>
            <w:r/>
            <w:r>
              <w:rPr>
                <w:rFonts w:ascii="Segoe UI" w:hAnsi="Segoe UI"/>
                <w:b/>
                <w:color w:val="101A1E"/>
                <w:sz w:val="17"/>
              </w:rPr>
              <w:t>2019</w:t>
            </w:r>
          </w:p>
        </w:tc>
        <w:tc>
          <w:tcPr>
            <w:tcW w:type="dxa" w:w="2592"/>
          </w:tcPr>
          <w:p>
            <w:pPr>
              <w:spacing w:before="60" w:after="60"/>
            </w:pPr>
            <w:r/>
            <w:r>
              <w:rPr>
                <w:rFonts w:ascii="Segoe UI" w:hAnsi="Segoe UI"/>
                <w:b w:val="0"/>
                <w:color w:val="3E4E55"/>
                <w:sz w:val="17"/>
              </w:rPr>
              <w:t>2019-01-01 00:00</w:t>
            </w:r>
          </w:p>
        </w:tc>
        <w:tc>
          <w:tcPr>
            <w:tcW w:type="dxa" w:w="2592"/>
          </w:tcPr>
          <w:p>
            <w:pPr>
              <w:spacing w:before="60" w:after="60"/>
            </w:pPr>
            <w:r/>
            <w:r>
              <w:rPr>
                <w:rFonts w:ascii="Segoe UI" w:hAnsi="Segoe UI"/>
                <w:b w:val="0"/>
                <w:color w:val="3E4E55"/>
                <w:sz w:val="17"/>
              </w:rPr>
              <w:t>2019-12-31 23:50</w:t>
            </w:r>
          </w:p>
        </w:tc>
        <w:tc>
          <w:tcPr>
            <w:tcW w:type="dxa" w:w="1872"/>
          </w:tcPr>
          <w:p>
            <w:pPr>
              <w:spacing w:before="60" w:after="60"/>
            </w:pPr>
            <w:r/>
            <w:r>
              <w:rPr>
                <w:rFonts w:ascii="Segoe UI" w:hAnsi="Segoe UI"/>
                <w:b w:val="0"/>
                <w:color w:val="3E4E55"/>
                <w:sz w:val="17"/>
              </w:rPr>
              <w:t>52,560</w:t>
            </w:r>
          </w:p>
        </w:tc>
      </w:tr>
      <w:tr>
        <w:tc>
          <w:tcPr>
            <w:tcW w:type="dxa" w:w="2160"/>
          </w:tcPr>
          <w:p>
            <w:pPr>
              <w:spacing w:before="60" w:after="60"/>
            </w:pPr>
            <w:r/>
            <w:r>
              <w:rPr>
                <w:rFonts w:ascii="Segoe UI" w:hAnsi="Segoe UI"/>
                <w:b/>
                <w:color w:val="101A1E"/>
                <w:sz w:val="17"/>
              </w:rPr>
              <w:t>2020</w:t>
            </w:r>
          </w:p>
        </w:tc>
        <w:tc>
          <w:tcPr>
            <w:tcW w:type="dxa" w:w="2592"/>
          </w:tcPr>
          <w:p>
            <w:pPr>
              <w:spacing w:before="60" w:after="60"/>
            </w:pPr>
            <w:r/>
            <w:r>
              <w:rPr>
                <w:rFonts w:ascii="Segoe UI" w:hAnsi="Segoe UI"/>
                <w:b w:val="0"/>
                <w:color w:val="3E4E55"/>
                <w:sz w:val="17"/>
              </w:rPr>
              <w:t>2020-01-01 00:00</w:t>
            </w:r>
          </w:p>
        </w:tc>
        <w:tc>
          <w:tcPr>
            <w:tcW w:type="dxa" w:w="2592"/>
          </w:tcPr>
          <w:p>
            <w:pPr>
              <w:spacing w:before="60" w:after="60"/>
            </w:pPr>
            <w:r/>
            <w:r>
              <w:rPr>
                <w:rFonts w:ascii="Segoe UI" w:hAnsi="Segoe UI"/>
                <w:b w:val="0"/>
                <w:color w:val="3E4E55"/>
                <w:sz w:val="17"/>
              </w:rPr>
              <w:t>2020-12-31 23:50</w:t>
            </w:r>
          </w:p>
        </w:tc>
        <w:tc>
          <w:tcPr>
            <w:tcW w:type="dxa" w:w="1872"/>
          </w:tcPr>
          <w:p>
            <w:pPr>
              <w:spacing w:before="60" w:after="60"/>
            </w:pPr>
            <w:r/>
            <w:r>
              <w:rPr>
                <w:rFonts w:ascii="Segoe UI" w:hAnsi="Segoe UI"/>
                <w:b w:val="0"/>
                <w:color w:val="3E4E55"/>
                <w:sz w:val="17"/>
              </w:rPr>
              <w:t>52,704</w:t>
            </w:r>
          </w:p>
        </w:tc>
      </w:tr>
      <w:tr>
        <w:tc>
          <w:tcPr>
            <w:tcW w:type="dxa" w:w="2160"/>
          </w:tcPr>
          <w:p>
            <w:pPr>
              <w:spacing w:before="60" w:after="60"/>
            </w:pPr>
            <w:r/>
            <w:r>
              <w:rPr>
                <w:rFonts w:ascii="Segoe UI" w:hAnsi="Segoe UI"/>
                <w:b/>
                <w:color w:val="101A1E"/>
                <w:sz w:val="17"/>
              </w:rPr>
              <w:t>2021 (half year)</w:t>
            </w:r>
          </w:p>
        </w:tc>
        <w:tc>
          <w:tcPr>
            <w:tcW w:type="dxa" w:w="2592"/>
          </w:tcPr>
          <w:p>
            <w:pPr>
              <w:spacing w:before="60" w:after="60"/>
            </w:pPr>
            <w:r/>
            <w:r>
              <w:rPr>
                <w:rFonts w:ascii="Segoe UI" w:hAnsi="Segoe UI"/>
                <w:b w:val="0"/>
                <w:color w:val="3E4E55"/>
                <w:sz w:val="17"/>
              </w:rPr>
              <w:t>2021-01-01 00:00</w:t>
            </w:r>
          </w:p>
        </w:tc>
        <w:tc>
          <w:tcPr>
            <w:tcW w:type="dxa" w:w="2592"/>
          </w:tcPr>
          <w:p>
            <w:pPr>
              <w:spacing w:before="60" w:after="60"/>
            </w:pPr>
            <w:r/>
            <w:r>
              <w:rPr>
                <w:rFonts w:ascii="Segoe UI" w:hAnsi="Segoe UI"/>
                <w:b w:val="0"/>
                <w:color w:val="3E4E55"/>
                <w:sz w:val="17"/>
              </w:rPr>
              <w:t>2021-06-30 23:50</w:t>
            </w:r>
          </w:p>
        </w:tc>
        <w:tc>
          <w:tcPr>
            <w:tcW w:type="dxa" w:w="1872"/>
          </w:tcPr>
          <w:p>
            <w:pPr>
              <w:spacing w:before="60" w:after="60"/>
            </w:pPr>
            <w:r/>
            <w:r>
              <w:rPr>
                <w:rFonts w:ascii="Segoe UI" w:hAnsi="Segoe UI"/>
                <w:b w:val="0"/>
                <w:color w:val="3E4E55"/>
                <w:sz w:val="17"/>
              </w:rPr>
              <w:t>26,064</w:t>
            </w:r>
          </w:p>
        </w:tc>
      </w:tr>
    </w:tbl>
    <w:p>
      <w:pPr>
        <w:spacing w:after="40"/>
      </w:pPr>
    </w:p>
    <w:p>
      <w:pPr>
        <w:pStyle w:val="ListBullet"/>
        <w:spacing w:after="80"/>
        <w:ind w:left="490"/>
      </w:pPr>
      <w:r>
        <w:t xml:space="preserve">SCADA sampling: </w:t>
      </w:r>
      <w:r>
        <w:rPr>
          <w:b/>
        </w:rPr>
        <w:t>10-minute</w:t>
      </w:r>
      <w:r>
        <w:t>. In the 2020 export the interval is perfectly regular — modal interval 00:10:00 for 52,703 of 52,703 deltas, zero duplicate timestamps, zero gaps above the modal interval, on every turbine.</w:t>
      </w:r>
    </w:p>
    <w:p>
      <w:pPr>
        <w:pStyle w:val="ListBullet"/>
        <w:spacing w:after="80"/>
        <w:ind w:left="490"/>
      </w:pPr>
      <w:r>
        <w:t xml:space="preserve">Columns per SCADA file: </w:t>
      </w:r>
      <w:r>
        <w:rPr>
          <w:b/>
        </w:rPr>
        <w:t>299</w:t>
      </w:r>
      <w:r>
        <w:t>. Nine are mapped to canonical variables; the rest are Max/Min/StdDev aggregates, per-blade duplicates, and channels outside the thesis scope.</w:t>
      </w:r>
    </w:p>
    <w:p>
      <w:pPr>
        <w:pStyle w:val="ListBullet"/>
        <w:spacing w:after="80"/>
        <w:ind w:left="490"/>
      </w:pPr>
      <w:r>
        <w:t xml:space="preserve">Status records: </w:t>
      </w:r>
      <w:r>
        <w:rPr>
          <w:b/>
        </w:rPr>
        <w:t>282,235 rows, 188 distinct codes</w:t>
      </w:r>
      <w:r>
        <w:t xml:space="preserve"> across 2016–2021; 57,515 rows and 89 codes in 2020 alone. Event-timestamped to the second, not sampled.</w:t>
      </w:r>
    </w:p>
    <w:p>
      <w:pPr>
        <w:pStyle w:val="ListBullet"/>
        <w:spacing w:after="80"/>
        <w:ind w:left="490"/>
      </w:pPr>
      <w:r>
        <w:t xml:space="preserve">Status vocabulary: exactly four values — Informational 56,079, Stop 730, Warning 570, Communication 136 (2020 counts). </w:t>
      </w:r>
      <w:r>
        <w:rPr>
          <w:b/>
        </w:rPr>
        <w:t>There is no Error and no Fault tier.</w:t>
      </w:r>
    </w:p>
    <w:p>
      <w:pPr>
        <w:pStyle w:val="ListBullet"/>
        <w:spacing w:after="80"/>
        <w:ind w:left="490"/>
      </w:pPr>
      <w:r>
        <w:t xml:space="preserve">Pooled modelling rows: approximately </w:t>
      </w:r>
      <w:r>
        <w:rPr>
          <w:b/>
        </w:rPr>
        <w:t>1.73 million</w:t>
      </w:r>
      <w:r>
        <w:t xml:space="preserve"> across six turbines over the ADR-009 span.</w:t>
      </w:r>
    </w:p>
    <w:p>
      <w:pPr>
        <w:pStyle w:val="H1x"/>
      </w:pPr>
      <w:r>
        <w:rPr>
          <w:b w:val="0"/>
          <w:i w:val="0"/>
        </w:rPr>
        <w:t>1.3  Constraints the data imposes — verified</w:t>
      </w:r>
    </w:p>
    <w:p>
      <w:r>
        <w:t>These are not shortcomings of the analysis. They are properties of the holdings, established by a read-only census BEFORE any model was fitted, and each one bounds what the project can claim.</w:t>
      </w:r>
    </w:p>
    <w:tbl>
      <w:tblPr>
        <w:tblStyle w:val="TableGrid"/>
        <w:tblW w:type="auto" w:w="0"/>
        <w:jc w:val="left"/>
        <w:tblLook w:firstColumn="1" w:firstRow="1" w:lastColumn="0" w:lastRow="0" w:noHBand="0" w:noVBand="1" w:val="04A0"/>
      </w:tblPr>
      <w:tblGrid>
        <w:gridCol w:w="3120"/>
        <w:gridCol w:w="3120"/>
        <w:gridCol w:w="3120"/>
      </w:tblGrid>
      <w:tr>
        <w:tc>
          <w:tcPr>
            <w:tcW w:type="dxa" w:w="2520"/>
            <w:shd w:val="clear" w:color="auto" w:fill="E7EDEF"/>
          </w:tcPr>
          <w:p>
            <w:pPr>
              <w:spacing w:before="60" w:after="60"/>
            </w:pPr>
            <w:r/>
            <w:r>
              <w:rPr>
                <w:rFonts w:ascii="Segoe UI" w:hAnsi="Segoe UI"/>
                <w:b/>
                <w:color w:val="101A1E"/>
                <w:sz w:val="16"/>
              </w:rPr>
              <w:t>Constraint</w:t>
            </w:r>
          </w:p>
        </w:tc>
        <w:tc>
          <w:tcPr>
            <w:tcW w:type="dxa" w:w="3384"/>
            <w:shd w:val="clear" w:color="auto" w:fill="E7EDEF"/>
          </w:tcPr>
          <w:p>
            <w:pPr>
              <w:spacing w:before="60" w:after="60"/>
            </w:pPr>
            <w:r/>
            <w:r>
              <w:rPr>
                <w:rFonts w:ascii="Segoe UI" w:hAnsi="Segoe UI"/>
                <w:b/>
                <w:color w:val="101A1E"/>
                <w:sz w:val="16"/>
              </w:rPr>
              <w:t>Measured value</w:t>
            </w:r>
          </w:p>
        </w:tc>
        <w:tc>
          <w:tcPr>
            <w:tcW w:type="dxa" w:w="3456"/>
            <w:shd w:val="clear" w:color="auto" w:fill="E7EDEF"/>
          </w:tcPr>
          <w:p>
            <w:pPr>
              <w:spacing w:before="60" w:after="60"/>
            </w:pPr>
            <w:r/>
            <w:r>
              <w:rPr>
                <w:rFonts w:ascii="Segoe UI" w:hAnsi="Segoe UI"/>
                <w:b/>
                <w:color w:val="101A1E"/>
                <w:sz w:val="16"/>
              </w:rPr>
              <w:t>Consequence</w:t>
            </w:r>
          </w:p>
        </w:tc>
      </w:tr>
      <w:tr>
        <w:tc>
          <w:tcPr>
            <w:tcW w:type="dxa" w:w="2520"/>
          </w:tcPr>
          <w:p>
            <w:pPr>
              <w:spacing w:before="60" w:after="60"/>
            </w:pPr>
            <w:r/>
            <w:r>
              <w:rPr>
                <w:rFonts w:ascii="Segoe UI" w:hAnsi="Segoe UI"/>
                <w:b/>
                <w:color w:val="101A1E"/>
                <w:sz w:val="17"/>
              </w:rPr>
              <w:t>No channel is named as a gearbox bearing temperature</w:t>
            </w:r>
          </w:p>
        </w:tc>
        <w:tc>
          <w:tcPr>
            <w:tcW w:type="dxa" w:w="3384"/>
          </w:tcPr>
          <w:p>
            <w:pPr>
              <w:spacing w:before="60" w:after="60"/>
            </w:pPr>
            <w:r/>
            <w:r>
              <w:rPr>
                <w:rFonts w:ascii="Segoe UI" w:hAnsi="Segoe UI"/>
                <w:b w:val="0"/>
                <w:color w:val="3E4E55"/>
                <w:sz w:val="17"/>
              </w:rPr>
              <w:t>No column name contains both 'gear' and 'bearing'</w:t>
            </w:r>
          </w:p>
        </w:tc>
        <w:tc>
          <w:tcPr>
            <w:tcW w:type="dxa" w:w="3456"/>
          </w:tcPr>
          <w:p>
            <w:pPr>
              <w:spacing w:before="60" w:after="60"/>
            </w:pPr>
            <w:r/>
            <w:r>
              <w:rPr>
                <w:rFonts w:ascii="Segoe UI" w:hAnsi="Segoe UI"/>
                <w:b w:val="0"/>
                <w:color w:val="3E4E55"/>
                <w:sz w:val="17"/>
              </w:rPr>
              <w:t>The bearing target had to be designated by proxy from correlation evidence (ADR-012)</w:t>
            </w:r>
          </w:p>
        </w:tc>
      </w:tr>
      <w:tr>
        <w:tc>
          <w:tcPr>
            <w:tcW w:type="dxa" w:w="2520"/>
          </w:tcPr>
          <w:p>
            <w:pPr>
              <w:spacing w:before="60" w:after="60"/>
            </w:pPr>
            <w:r/>
            <w:r>
              <w:rPr>
                <w:rFonts w:ascii="Segoe UI" w:hAnsi="Segoe UI"/>
                <w:b/>
                <w:color w:val="101A1E"/>
                <w:sz w:val="17"/>
              </w:rPr>
              <w:t>No maintenance free text anywhere</w:t>
            </w:r>
          </w:p>
        </w:tc>
        <w:tc>
          <w:tcPr>
            <w:tcW w:type="dxa" w:w="3384"/>
          </w:tcPr>
          <w:p>
            <w:pPr>
              <w:spacing w:before="60" w:after="60"/>
            </w:pPr>
            <w:r/>
            <w:r>
              <w:rPr>
                <w:rFonts w:ascii="Segoe UI" w:hAnsi="Segoe UI"/>
                <w:b w:val="0"/>
                <w:color w:val="3E4E55"/>
                <w:sz w:val="17"/>
              </w:rPr>
              <w:t>Comment` non-empty in 0 of 57,515 rows; `Service comment` column absent entirely</w:t>
            </w:r>
          </w:p>
        </w:tc>
        <w:tc>
          <w:tcPr>
            <w:tcW w:type="dxa" w:w="3456"/>
          </w:tcPr>
          <w:p>
            <w:pPr>
              <w:spacing w:before="60" w:after="60"/>
            </w:pPr>
            <w:r/>
            <w:r>
              <w:rPr>
                <w:rFonts w:ascii="Segoe UI" w:hAnsi="Segoe UI"/>
                <w:b w:val="0"/>
                <w:color w:val="3E4E55"/>
                <w:sz w:val="17"/>
              </w:rPr>
              <w:t>Mechanism-level ground truth is unavailable. Ground truth is alarm-level ONLY</w:t>
            </w:r>
          </w:p>
        </w:tc>
      </w:tr>
      <w:tr>
        <w:tc>
          <w:tcPr>
            <w:tcW w:type="dxa" w:w="2520"/>
          </w:tcPr>
          <w:p>
            <w:pPr>
              <w:spacing w:before="60" w:after="60"/>
            </w:pPr>
            <w:r/>
            <w:r>
              <w:rPr>
                <w:rFonts w:ascii="Segoe UI" w:hAnsi="Segoe UI"/>
                <w:b/>
                <w:color w:val="101A1E"/>
                <w:sz w:val="17"/>
              </w:rPr>
              <w:t>Most status rows carry no duration</w:t>
            </w:r>
          </w:p>
        </w:tc>
        <w:tc>
          <w:tcPr>
            <w:tcW w:type="dxa" w:w="3384"/>
          </w:tcPr>
          <w:p>
            <w:pPr>
              <w:spacing w:before="60" w:after="60"/>
            </w:pPr>
            <w:r/>
            <w:r>
              <w:rPr>
                <w:rFonts w:ascii="Segoe UI" w:hAnsi="Segoe UI"/>
                <w:b w:val="0"/>
                <w:color w:val="3E4E55"/>
                <w:sz w:val="17"/>
              </w:rPr>
              <w:t>8,094 of 57,515 rows (14.1%) have a populated end timestamp; the rest hold '-'</w:t>
            </w:r>
          </w:p>
        </w:tc>
        <w:tc>
          <w:tcPr>
            <w:tcW w:type="dxa" w:w="3456"/>
          </w:tcPr>
          <w:p>
            <w:pPr>
              <w:spacing w:before="60" w:after="60"/>
            </w:pPr>
            <w:r/>
            <w:r>
              <w:rPr>
                <w:rFonts w:ascii="Segoe UI" w:hAnsi="Segoe UI"/>
                <w:b w:val="0"/>
                <w:color w:val="3E4E55"/>
                <w:sz w:val="17"/>
              </w:rPr>
              <w:t>Only 14.1% of status rows can define an exclusion window</w:t>
            </w:r>
          </w:p>
        </w:tc>
      </w:tr>
      <w:tr>
        <w:tc>
          <w:tcPr>
            <w:tcW w:type="dxa" w:w="2520"/>
          </w:tcPr>
          <w:p>
            <w:pPr>
              <w:spacing w:before="60" w:after="60"/>
            </w:pPr>
            <w:r/>
            <w:r>
              <w:rPr>
                <w:rFonts w:ascii="Segoe UI" w:hAnsi="Segoe UI"/>
                <w:b/>
                <w:color w:val="101A1E"/>
                <w:sz w:val="17"/>
              </w:rPr>
              <w:t>Gear-oil channels empty before 2016-05-03</w:t>
            </w:r>
          </w:p>
        </w:tc>
        <w:tc>
          <w:tcPr>
            <w:tcW w:type="dxa" w:w="3384"/>
          </w:tcPr>
          <w:p>
            <w:pPr>
              <w:spacing w:before="60" w:after="60"/>
            </w:pPr>
            <w:r/>
            <w:r>
              <w:rPr>
                <w:rFonts w:ascii="Segoe UI" w:hAnsi="Segoe UI"/>
                <w:b w:val="0"/>
                <w:color w:val="3E4E55"/>
                <w:sz w:val="17"/>
              </w:rPr>
              <w:t>100% null until 2016-05-03 09:40 on every turbine; monthly non-null 0.000 Jan–Apr 2016</w:t>
            </w:r>
          </w:p>
        </w:tc>
        <w:tc>
          <w:tcPr>
            <w:tcW w:type="dxa" w:w="3456"/>
          </w:tcPr>
          <w:p>
            <w:pPr>
              <w:spacing w:before="60" w:after="60"/>
            </w:pPr>
            <w:r/>
            <w:r>
              <w:rPr>
                <w:rFonts w:ascii="Segoe UI" w:hAnsi="Segoe UI"/>
                <w:b w:val="0"/>
                <w:color w:val="3E4E55"/>
                <w:sz w:val="17"/>
              </w:rPr>
              <w:t>780 status rows have zero preceding thermal coverage and cannot serve as evaluation targets</w:t>
            </w:r>
          </w:p>
        </w:tc>
      </w:tr>
      <w:tr>
        <w:tc>
          <w:tcPr>
            <w:tcW w:type="dxa" w:w="2520"/>
          </w:tcPr>
          <w:p>
            <w:pPr>
              <w:spacing w:before="60" w:after="60"/>
            </w:pPr>
            <w:r/>
            <w:r>
              <w:rPr>
                <w:rFonts w:ascii="Segoe UI" w:hAnsi="Segoe UI"/>
                <w:b/>
                <w:color w:val="101A1E"/>
                <w:sz w:val="17"/>
              </w:rPr>
              <w:t>Year folders overlap at boundaries</w:t>
            </w:r>
          </w:p>
        </w:tc>
        <w:tc>
          <w:tcPr>
            <w:tcW w:type="dxa" w:w="3384"/>
          </w:tcPr>
          <w:p>
            <w:pPr>
              <w:spacing w:before="60" w:after="60"/>
            </w:pPr>
            <w:r/>
            <w:r>
              <w:rPr>
                <w:rFonts w:ascii="Segoe UI" w:hAnsi="Segoe UI"/>
                <w:b w:val="0"/>
                <w:color w:val="3E4E55"/>
                <w:sz w:val="17"/>
              </w:rPr>
              <w:t>215 duplicate rows across 213 keys (2017 folder starts 2016-12-17; 2021 starts 2020-06-07)</w:t>
            </w:r>
          </w:p>
        </w:tc>
        <w:tc>
          <w:tcPr>
            <w:tcW w:type="dxa" w:w="3456"/>
          </w:tcPr>
          <w:p>
            <w:pPr>
              <w:spacing w:before="60" w:after="60"/>
            </w:pPr>
            <w:r/>
            <w:r>
              <w:rPr>
                <w:rFonts w:ascii="Segoe UI" w:hAnsi="Segoe UI"/>
                <w:b w:val="0"/>
                <w:color w:val="3E4E55"/>
                <w:sz w:val="17"/>
              </w:rPr>
              <w:t>Deduplication on (turbine, timestamp, code) is mandatory</w:t>
            </w:r>
          </w:p>
        </w:tc>
      </w:tr>
      <w:tr>
        <w:tc>
          <w:tcPr>
            <w:tcW w:type="dxa" w:w="2520"/>
          </w:tcPr>
          <w:p>
            <w:pPr>
              <w:spacing w:before="60" w:after="60"/>
            </w:pPr>
            <w:r/>
            <w:r>
              <w:rPr>
                <w:rFonts w:ascii="Segoe UI" w:hAnsi="Segoe UI"/>
                <w:b/>
                <w:color w:val="101A1E"/>
                <w:sz w:val="17"/>
              </w:rPr>
              <w:t>One malformed status row</w:t>
            </w:r>
          </w:p>
        </w:tc>
        <w:tc>
          <w:tcPr>
            <w:tcW w:type="dxa" w:w="3384"/>
          </w:tcPr>
          <w:p>
            <w:pPr>
              <w:spacing w:before="60" w:after="60"/>
            </w:pPr>
            <w:r/>
            <w:r>
              <w:rPr>
                <w:rFonts w:ascii="Segoe UI" w:hAnsi="Segoe UI"/>
                <w:b w:val="0"/>
                <w:color w:val="3E4E55"/>
                <w:sz w:val="17"/>
              </w:rPr>
              <w:t>1 of 282,234 has end before start (−36.8 min)</w:t>
            </w:r>
          </w:p>
        </w:tc>
        <w:tc>
          <w:tcPr>
            <w:tcW w:type="dxa" w:w="3456"/>
          </w:tcPr>
          <w:p>
            <w:pPr>
              <w:spacing w:before="60" w:after="60"/>
            </w:pPr>
            <w:r/>
            <w:r>
              <w:rPr>
                <w:rFonts w:ascii="Segoe UI" w:hAnsi="Segoe UI"/>
                <w:b w:val="0"/>
                <w:color w:val="3E4E55"/>
                <w:sz w:val="17"/>
              </w:rPr>
              <w:t>Refused by the event constructor, reported verbatim, defines no window</w:t>
            </w:r>
          </w:p>
        </w:tc>
      </w:tr>
      <w:tr>
        <w:tc>
          <w:tcPr>
            <w:tcW w:type="dxa" w:w="2520"/>
          </w:tcPr>
          <w:p>
            <w:pPr>
              <w:spacing w:before="60" w:after="60"/>
            </w:pPr>
            <w:r/>
            <w:r>
              <w:rPr>
                <w:rFonts w:ascii="Segoe UI" w:hAnsi="Segoe UI"/>
                <w:b/>
                <w:color w:val="101A1E"/>
                <w:sz w:val="17"/>
              </w:rPr>
              <w:t>Labelled gearbox events</w:t>
            </w:r>
          </w:p>
        </w:tc>
        <w:tc>
          <w:tcPr>
            <w:tcW w:type="dxa" w:w="3384"/>
          </w:tcPr>
          <w:p>
            <w:pPr>
              <w:spacing w:before="60" w:after="60"/>
            </w:pPr>
            <w:r/>
            <w:r>
              <w:rPr>
                <w:rFonts w:ascii="Segoe UI" w:hAnsi="Segoe UI"/>
                <w:b w:val="0"/>
                <w:color w:val="3E4E55"/>
                <w:sz w:val="17"/>
              </w:rPr>
              <w:t>ONE (code 1860 'Oil filter gear choked', Kelmarsh 1, 2019)</w:t>
            </w:r>
          </w:p>
        </w:tc>
        <w:tc>
          <w:tcPr>
            <w:tcW w:type="dxa" w:w="3456"/>
          </w:tcPr>
          <w:p>
            <w:pPr>
              <w:spacing w:before="60" w:after="60"/>
            </w:pPr>
            <w:r/>
            <w:r>
              <w:rPr>
                <w:rFonts w:ascii="Segoe UI" w:hAnsi="Segoe UI"/>
                <w:b w:val="0"/>
                <w:color w:val="3E4E55"/>
                <w:sz w:val="17"/>
              </w:rPr>
              <w:t>Forecloses all inferential detection-rate and lead-time claims; descriptive branch selected</w:t>
            </w:r>
          </w:p>
        </w:tc>
      </w:tr>
    </w:tbl>
    <w:p>
      <w:pPr>
        <w:spacing w:after="40"/>
      </w:pPr>
    </w:p>
    <w:p>
      <w:pPr>
        <w:pStyle w:val="Label"/>
      </w:pPr>
      <w:r>
        <w:rPr>
          <w:b w:val="0"/>
          <w:i w:val="0"/>
        </w:rPr>
        <w:t>The single labelled event</w:t>
      </w:r>
    </w:p>
    <w:p>
      <w:r>
        <w:t xml:space="preserve">EVENT-001: code 1860, Kelmarsh 1, three occurrences spanning 2019-02-24 16:46:28 → 2019-05-30 07:34:04, counted as ONE continuous episode because the gaps between occurrences are 4.9 and 7.45 days across a 95-day span with the alarm active roughly 82 days. It is a filter-restriction </w:t>
      </w:r>
      <w:r>
        <w:rPr>
          <w:i/>
        </w:rPr>
        <w:t>Warning</w:t>
      </w:r>
      <w:r>
        <w:t>, not maintenance-verified gearbox damage. Occurrence 3 coincides with abnormal operation — 27.1% null SCADA rows and mean power 375 kW against 743 and 804 kW for occurrences 1–2 — so case-study analysis focuses on the onset of occurrence 1.</w:t>
      </w:r>
    </w:p>
    <w:p>
      <w:pPr>
        <w:pStyle w:val="H1x"/>
      </w:pPr>
      <w:r>
        <w:rPr>
          <w:b w:val="0"/>
          <w:i w:val="0"/>
        </w:rPr>
        <w:t>1.4  Channels used</w:t>
      </w:r>
    </w:p>
    <w:p>
      <w:r>
        <w:t>Nine of 299 columns are mapped. Dataset-specific names exist ONLY in the mapping YAML; a meta-test AST-parses every module and fails if a canonical variable name appears as a string literal outside the schema module.</w:t>
      </w:r>
    </w:p>
    <w:tbl>
      <w:tblPr>
        <w:tblStyle w:val="TableGrid"/>
        <w:tblW w:type="auto" w:w="0"/>
        <w:jc w:val="left"/>
        <w:tblLook w:firstColumn="1" w:firstRow="1" w:lastColumn="0" w:lastRow="0" w:noHBand="0" w:noVBand="1" w:val="04A0"/>
      </w:tblPr>
      <w:tblGrid>
        <w:gridCol w:w="1872"/>
        <w:gridCol w:w="1872"/>
        <w:gridCol w:w="1872"/>
        <w:gridCol w:w="1872"/>
        <w:gridCol w:w="1872"/>
      </w:tblGrid>
      <w:tr>
        <w:tc>
          <w:tcPr>
            <w:tcW w:type="dxa" w:w="1944"/>
            <w:shd w:val="clear" w:color="auto" w:fill="E7EDEF"/>
          </w:tcPr>
          <w:p>
            <w:pPr>
              <w:spacing w:before="60" w:after="60"/>
            </w:pPr>
            <w:r/>
            <w:r>
              <w:rPr>
                <w:rFonts w:ascii="Segoe UI" w:hAnsi="Segoe UI"/>
                <w:b/>
                <w:color w:val="101A1E"/>
                <w:sz w:val="16"/>
              </w:rPr>
              <w:t>Canonical</w:t>
            </w:r>
          </w:p>
        </w:tc>
        <w:tc>
          <w:tcPr>
            <w:tcW w:type="dxa" w:w="2304"/>
            <w:shd w:val="clear" w:color="auto" w:fill="E7EDEF"/>
          </w:tcPr>
          <w:p>
            <w:pPr>
              <w:spacing w:before="60" w:after="60"/>
            </w:pPr>
            <w:r/>
            <w:r>
              <w:rPr>
                <w:rFonts w:ascii="Segoe UI" w:hAnsi="Segoe UI"/>
                <w:b/>
                <w:color w:val="101A1E"/>
                <w:sz w:val="16"/>
              </w:rPr>
              <w:t>Source column</w:t>
            </w:r>
          </w:p>
        </w:tc>
        <w:tc>
          <w:tcPr>
            <w:tcW w:type="dxa" w:w="1037"/>
            <w:shd w:val="clear" w:color="auto" w:fill="E7EDEF"/>
          </w:tcPr>
          <w:p>
            <w:pPr>
              <w:spacing w:before="60" w:after="60"/>
            </w:pPr>
            <w:r/>
            <w:r>
              <w:rPr>
                <w:rFonts w:ascii="Segoe UI" w:hAnsi="Segoe UI"/>
                <w:b/>
                <w:color w:val="101A1E"/>
                <w:sz w:val="16"/>
              </w:rPr>
              <w:t>Role</w:t>
            </w:r>
          </w:p>
        </w:tc>
        <w:tc>
          <w:tcPr>
            <w:tcW w:type="dxa" w:w="1325"/>
            <w:shd w:val="clear" w:color="auto" w:fill="E7EDEF"/>
          </w:tcPr>
          <w:p>
            <w:pPr>
              <w:spacing w:before="60" w:after="60"/>
            </w:pPr>
            <w:r/>
            <w:r>
              <w:rPr>
                <w:rFonts w:ascii="Segoe UI" w:hAnsi="Segoe UI"/>
                <w:b/>
                <w:color w:val="101A1E"/>
                <w:sz w:val="16"/>
              </w:rPr>
              <w:t>Plausible range</w:t>
            </w:r>
          </w:p>
        </w:tc>
        <w:tc>
          <w:tcPr>
            <w:tcW w:type="dxa" w:w="2664"/>
            <w:shd w:val="clear" w:color="auto" w:fill="E7EDEF"/>
          </w:tcPr>
          <w:p>
            <w:pPr>
              <w:spacing w:before="60" w:after="60"/>
            </w:pPr>
            <w:r/>
            <w:r>
              <w:rPr>
                <w:rFonts w:ascii="Segoe UI" w:hAnsi="Segoe UI"/>
                <w:b/>
                <w:color w:val="101A1E"/>
                <w:sz w:val="16"/>
              </w:rPr>
              <w:t>Note</w:t>
            </w:r>
          </w:p>
        </w:tc>
      </w:tr>
      <w:tr>
        <w:tc>
          <w:tcPr>
            <w:tcW w:type="dxa" w:w="1944"/>
          </w:tcPr>
          <w:p>
            <w:pPr>
              <w:spacing w:before="60" w:after="60"/>
            </w:pPr>
            <w:r/>
            <w:r>
              <w:rPr>
                <w:rFonts w:ascii="Segoe UI" w:hAnsi="Segoe UI"/>
                <w:b/>
                <w:color w:val="101A1E"/>
                <w:sz w:val="17"/>
              </w:rPr>
              <w:t>wind_speed</w:t>
            </w:r>
          </w:p>
        </w:tc>
        <w:tc>
          <w:tcPr>
            <w:tcW w:type="dxa" w:w="2304"/>
          </w:tcPr>
          <w:p>
            <w:pPr>
              <w:spacing w:before="60" w:after="60"/>
            </w:pPr>
            <w:r/>
            <w:r>
              <w:rPr>
                <w:rFonts w:ascii="Segoe UI" w:hAnsi="Segoe UI"/>
                <w:b w:val="0"/>
                <w:color w:val="3E4E55"/>
                <w:sz w:val="17"/>
              </w:rPr>
              <w:t>Wind speed (m/s)</w:t>
            </w:r>
          </w:p>
        </w:tc>
        <w:tc>
          <w:tcPr>
            <w:tcW w:type="dxa" w:w="1037"/>
          </w:tcPr>
          <w:p>
            <w:pPr>
              <w:spacing w:before="60" w:after="60"/>
            </w:pPr>
            <w:r/>
            <w:r>
              <w:rPr>
                <w:rFonts w:ascii="Segoe UI" w:hAnsi="Segoe UI"/>
                <w:b w:val="0"/>
                <w:color w:val="3E4E55"/>
                <w:sz w:val="17"/>
              </w:rPr>
              <w:t>Predictor</w:t>
            </w:r>
          </w:p>
        </w:tc>
        <w:tc>
          <w:tcPr>
            <w:tcW w:type="dxa" w:w="1325"/>
          </w:tcPr>
          <w:p>
            <w:pPr>
              <w:spacing w:before="60" w:after="60"/>
            </w:pPr>
            <w:r/>
            <w:r>
              <w:rPr>
                <w:rFonts w:ascii="Segoe UI" w:hAnsi="Segoe UI"/>
                <w:b w:val="0"/>
                <w:color w:val="3E4E55"/>
                <w:sz w:val="17"/>
              </w:rPr>
              <w:t>(0, 120)</w:t>
            </w:r>
          </w:p>
        </w:tc>
        <w:tc>
          <w:tcPr>
            <w:tcW w:type="dxa" w:w="2664"/>
          </w:tcPr>
          <w:p>
            <w:pPr>
              <w:spacing w:before="60" w:after="60"/>
            </w:pPr>
            <w:r/>
            <w:r>
              <w:rPr>
                <w:rFonts w:ascii="Segoe UI" w:hAnsi="Segoe UI"/>
                <w:b w:val="0"/>
                <w:color w:val="3E4E55"/>
                <w:sz w:val="17"/>
              </w:rPr>
              <w:t>—</w:t>
            </w:r>
          </w:p>
        </w:tc>
      </w:tr>
      <w:tr>
        <w:tc>
          <w:tcPr>
            <w:tcW w:type="dxa" w:w="1944"/>
          </w:tcPr>
          <w:p>
            <w:pPr>
              <w:spacing w:before="60" w:after="60"/>
            </w:pPr>
            <w:r/>
            <w:r>
              <w:rPr>
                <w:rFonts w:ascii="Segoe UI" w:hAnsi="Segoe UI"/>
                <w:b/>
                <w:color w:val="101A1E"/>
                <w:sz w:val="17"/>
              </w:rPr>
              <w:t>rotor_speed</w:t>
            </w:r>
          </w:p>
        </w:tc>
        <w:tc>
          <w:tcPr>
            <w:tcW w:type="dxa" w:w="2304"/>
          </w:tcPr>
          <w:p>
            <w:pPr>
              <w:spacing w:before="60" w:after="60"/>
            </w:pPr>
            <w:r/>
            <w:r>
              <w:rPr>
                <w:rFonts w:ascii="Segoe UI" w:hAnsi="Segoe UI"/>
                <w:b w:val="0"/>
                <w:color w:val="3E4E55"/>
                <w:sz w:val="17"/>
              </w:rPr>
              <w:t>Rotor speed (RPM)</w:t>
            </w:r>
          </w:p>
        </w:tc>
        <w:tc>
          <w:tcPr>
            <w:tcW w:type="dxa" w:w="1037"/>
          </w:tcPr>
          <w:p>
            <w:pPr>
              <w:spacing w:before="60" w:after="60"/>
            </w:pPr>
            <w:r/>
            <w:r>
              <w:rPr>
                <w:rFonts w:ascii="Segoe UI" w:hAnsi="Segoe UI"/>
                <w:b w:val="0"/>
                <w:color w:val="3E4E55"/>
                <w:sz w:val="17"/>
              </w:rPr>
              <w:t>Predictor</w:t>
            </w:r>
          </w:p>
        </w:tc>
        <w:tc>
          <w:tcPr>
            <w:tcW w:type="dxa" w:w="1325"/>
          </w:tcPr>
          <w:p>
            <w:pPr>
              <w:spacing w:before="60" w:after="60"/>
            </w:pPr>
            <w:r/>
            <w:r>
              <w:rPr>
                <w:rFonts w:ascii="Segoe UI" w:hAnsi="Segoe UI"/>
                <w:b w:val="0"/>
                <w:color w:val="3E4E55"/>
                <w:sz w:val="17"/>
              </w:rPr>
              <w:t>(−1, 100)</w:t>
            </w:r>
          </w:p>
        </w:tc>
        <w:tc>
          <w:tcPr>
            <w:tcW w:type="dxa" w:w="2664"/>
          </w:tcPr>
          <w:p>
            <w:pPr>
              <w:spacing w:before="60" w:after="60"/>
            </w:pPr>
            <w:r/>
            <w:r>
              <w:rPr>
                <w:rFonts w:ascii="Segoe UI" w:hAnsi="Segoe UI"/>
                <w:b w:val="0"/>
                <w:color w:val="3E4E55"/>
                <w:sz w:val="17"/>
              </w:rPr>
              <w:t>—</w:t>
            </w:r>
          </w:p>
        </w:tc>
      </w:tr>
      <w:tr>
        <w:tc>
          <w:tcPr>
            <w:tcW w:type="dxa" w:w="1944"/>
          </w:tcPr>
          <w:p>
            <w:pPr>
              <w:spacing w:before="60" w:after="60"/>
            </w:pPr>
            <w:r/>
            <w:r>
              <w:rPr>
                <w:rFonts w:ascii="Segoe UI" w:hAnsi="Segoe UI"/>
                <w:b/>
                <w:color w:val="101A1E"/>
                <w:sz w:val="17"/>
              </w:rPr>
              <w:t>generator_speed</w:t>
            </w:r>
          </w:p>
        </w:tc>
        <w:tc>
          <w:tcPr>
            <w:tcW w:type="dxa" w:w="2304"/>
          </w:tcPr>
          <w:p>
            <w:pPr>
              <w:spacing w:before="60" w:after="60"/>
            </w:pPr>
            <w:r/>
            <w:r>
              <w:rPr>
                <w:rFonts w:ascii="Segoe UI" w:hAnsi="Segoe UI"/>
                <w:b w:val="0"/>
                <w:color w:val="3E4E55"/>
                <w:sz w:val="17"/>
              </w:rPr>
              <w:t>Generator RPM (RPM)</w:t>
            </w:r>
          </w:p>
        </w:tc>
        <w:tc>
          <w:tcPr>
            <w:tcW w:type="dxa" w:w="1037"/>
          </w:tcPr>
          <w:p>
            <w:pPr>
              <w:spacing w:before="60" w:after="60"/>
            </w:pPr>
            <w:r/>
            <w:r>
              <w:rPr>
                <w:rFonts w:ascii="Segoe UI" w:hAnsi="Segoe UI"/>
                <w:b w:val="0"/>
                <w:color w:val="3E4E55"/>
                <w:sz w:val="17"/>
              </w:rPr>
              <w:t>Predictor</w:t>
            </w:r>
          </w:p>
        </w:tc>
        <w:tc>
          <w:tcPr>
            <w:tcW w:type="dxa" w:w="1325"/>
          </w:tcPr>
          <w:p>
            <w:pPr>
              <w:spacing w:before="60" w:after="60"/>
            </w:pPr>
            <w:r/>
            <w:r>
              <w:rPr>
                <w:rFonts w:ascii="Segoe UI" w:hAnsi="Segoe UI"/>
                <w:b w:val="0"/>
                <w:color w:val="3E4E55"/>
                <w:sz w:val="17"/>
              </w:rPr>
              <w:t>(−5, 5000)</w:t>
            </w:r>
          </w:p>
        </w:tc>
        <w:tc>
          <w:tcPr>
            <w:tcW w:type="dxa" w:w="2664"/>
          </w:tcPr>
          <w:p>
            <w:pPr>
              <w:spacing w:before="60" w:after="60"/>
            </w:pPr>
            <w:r/>
            <w:r>
              <w:rPr>
                <w:rFonts w:ascii="Segoe UI" w:hAnsi="Segoe UI"/>
                <w:b w:val="0"/>
                <w:color w:val="3E4E55"/>
                <w:sz w:val="17"/>
              </w:rPr>
              <w:t>Bound widened by ADR-020; carried a stuck-signal artefact</w:t>
            </w:r>
          </w:p>
        </w:tc>
      </w:tr>
      <w:tr>
        <w:tc>
          <w:tcPr>
            <w:tcW w:type="dxa" w:w="1944"/>
          </w:tcPr>
          <w:p>
            <w:pPr>
              <w:spacing w:before="60" w:after="60"/>
            </w:pPr>
            <w:r/>
            <w:r>
              <w:rPr>
                <w:rFonts w:ascii="Segoe UI" w:hAnsi="Segoe UI"/>
                <w:b/>
                <w:color w:val="101A1E"/>
                <w:sz w:val="17"/>
              </w:rPr>
              <w:t>active_power</w:t>
            </w:r>
          </w:p>
        </w:tc>
        <w:tc>
          <w:tcPr>
            <w:tcW w:type="dxa" w:w="2304"/>
          </w:tcPr>
          <w:p>
            <w:pPr>
              <w:spacing w:before="60" w:after="60"/>
            </w:pPr>
            <w:r/>
            <w:r>
              <w:rPr>
                <w:rFonts w:ascii="Segoe UI" w:hAnsi="Segoe UI"/>
                <w:b w:val="0"/>
                <w:color w:val="3E4E55"/>
                <w:sz w:val="17"/>
              </w:rPr>
              <w:t>Power (kW)</w:t>
            </w:r>
          </w:p>
        </w:tc>
        <w:tc>
          <w:tcPr>
            <w:tcW w:type="dxa" w:w="1037"/>
          </w:tcPr>
          <w:p>
            <w:pPr>
              <w:spacing w:before="60" w:after="60"/>
            </w:pPr>
            <w:r/>
            <w:r>
              <w:rPr>
                <w:rFonts w:ascii="Segoe UI" w:hAnsi="Segoe UI"/>
                <w:b w:val="0"/>
                <w:color w:val="3E4E55"/>
                <w:sz w:val="17"/>
              </w:rPr>
              <w:t>Predictor</w:t>
            </w:r>
          </w:p>
        </w:tc>
        <w:tc>
          <w:tcPr>
            <w:tcW w:type="dxa" w:w="1325"/>
          </w:tcPr>
          <w:p>
            <w:pPr>
              <w:spacing w:before="60" w:after="60"/>
            </w:pPr>
            <w:r/>
            <w:r>
              <w:rPr>
                <w:rFonts w:ascii="Segoe UI" w:hAnsi="Segoe UI"/>
                <w:b w:val="0"/>
                <w:color w:val="3E4E55"/>
                <w:sz w:val="17"/>
              </w:rPr>
              <w:t>none declared</w:t>
            </w:r>
          </w:p>
        </w:tc>
        <w:tc>
          <w:tcPr>
            <w:tcW w:type="dxa" w:w="2664"/>
          </w:tcPr>
          <w:p>
            <w:pPr>
              <w:spacing w:before="60" w:after="60"/>
            </w:pPr>
            <w:r/>
            <w:r>
              <w:rPr>
                <w:rFonts w:ascii="Segoe UI" w:hAnsi="Segoe UI"/>
                <w:b w:val="0"/>
                <w:color w:val="3E4E55"/>
                <w:sz w:val="17"/>
              </w:rPr>
              <w:t>Also drives the healthy-state power floor</w:t>
            </w:r>
          </w:p>
        </w:tc>
      </w:tr>
      <w:tr>
        <w:tc>
          <w:tcPr>
            <w:tcW w:type="dxa" w:w="1944"/>
          </w:tcPr>
          <w:p>
            <w:pPr>
              <w:spacing w:before="60" w:after="60"/>
            </w:pPr>
            <w:r/>
            <w:r>
              <w:rPr>
                <w:rFonts w:ascii="Segoe UI" w:hAnsi="Segoe UI"/>
                <w:b/>
                <w:color w:val="101A1E"/>
                <w:sz w:val="17"/>
              </w:rPr>
              <w:t>pitch_angle</w:t>
            </w:r>
          </w:p>
        </w:tc>
        <w:tc>
          <w:tcPr>
            <w:tcW w:type="dxa" w:w="2304"/>
          </w:tcPr>
          <w:p>
            <w:pPr>
              <w:spacing w:before="60" w:after="60"/>
            </w:pPr>
            <w:r/>
            <w:r>
              <w:rPr>
                <w:rFonts w:ascii="Segoe UI" w:hAnsi="Segoe UI"/>
                <w:b w:val="0"/>
                <w:color w:val="3E4E55"/>
                <w:sz w:val="17"/>
              </w:rPr>
              <w:t>Blade angle A (°)</w:t>
            </w:r>
          </w:p>
        </w:tc>
        <w:tc>
          <w:tcPr>
            <w:tcW w:type="dxa" w:w="1037"/>
          </w:tcPr>
          <w:p>
            <w:pPr>
              <w:spacing w:before="60" w:after="60"/>
            </w:pPr>
            <w:r/>
            <w:r>
              <w:rPr>
                <w:rFonts w:ascii="Segoe UI" w:hAnsi="Segoe UI"/>
                <w:b w:val="0"/>
                <w:color w:val="3E4E55"/>
                <w:sz w:val="17"/>
              </w:rPr>
              <w:t>Predictor</w:t>
            </w:r>
          </w:p>
        </w:tc>
        <w:tc>
          <w:tcPr>
            <w:tcW w:type="dxa" w:w="1325"/>
          </w:tcPr>
          <w:p>
            <w:pPr>
              <w:spacing w:before="60" w:after="60"/>
            </w:pPr>
            <w:r/>
            <w:r>
              <w:rPr>
                <w:rFonts w:ascii="Segoe UI" w:hAnsi="Segoe UI"/>
                <w:b w:val="0"/>
                <w:color w:val="3E4E55"/>
                <w:sz w:val="17"/>
              </w:rPr>
              <w:t>(−360, 360)</w:t>
            </w:r>
          </w:p>
        </w:tc>
        <w:tc>
          <w:tcPr>
            <w:tcW w:type="dxa" w:w="2664"/>
          </w:tcPr>
          <w:p>
            <w:pPr>
              <w:spacing w:before="60" w:after="60"/>
            </w:pPr>
            <w:r/>
            <w:r>
              <w:rPr>
                <w:rFonts w:ascii="Segoe UI" w:hAnsi="Segoe UI"/>
                <w:b w:val="0"/>
                <w:color w:val="3E4E55"/>
                <w:sz w:val="17"/>
              </w:rPr>
              <w:t>Blade A only; A/B/C move together under collective pitch</w:t>
            </w:r>
          </w:p>
        </w:tc>
      </w:tr>
      <w:tr>
        <w:tc>
          <w:tcPr>
            <w:tcW w:type="dxa" w:w="1944"/>
          </w:tcPr>
          <w:p>
            <w:pPr>
              <w:spacing w:before="60" w:after="60"/>
            </w:pPr>
            <w:r/>
            <w:r>
              <w:rPr>
                <w:rFonts w:ascii="Segoe UI" w:hAnsi="Segoe UI"/>
                <w:b/>
                <w:color w:val="101A1E"/>
                <w:sz w:val="17"/>
              </w:rPr>
              <w:t>ambient_temperature</w:t>
            </w:r>
          </w:p>
        </w:tc>
        <w:tc>
          <w:tcPr>
            <w:tcW w:type="dxa" w:w="2304"/>
          </w:tcPr>
          <w:p>
            <w:pPr>
              <w:spacing w:before="60" w:after="60"/>
            </w:pPr>
            <w:r/>
            <w:r>
              <w:rPr>
                <w:rFonts w:ascii="Segoe UI" w:hAnsi="Segoe UI"/>
                <w:b w:val="0"/>
                <w:color w:val="3E4E55"/>
                <w:sz w:val="17"/>
              </w:rPr>
              <w:t>Ambient temperature (converter) (°C)</w:t>
            </w:r>
          </w:p>
        </w:tc>
        <w:tc>
          <w:tcPr>
            <w:tcW w:type="dxa" w:w="1037"/>
          </w:tcPr>
          <w:p>
            <w:pPr>
              <w:spacing w:before="60" w:after="60"/>
            </w:pPr>
            <w:r/>
            <w:r>
              <w:rPr>
                <w:rFonts w:ascii="Segoe UI" w:hAnsi="Segoe UI"/>
                <w:b w:val="0"/>
                <w:color w:val="3E4E55"/>
                <w:sz w:val="17"/>
              </w:rPr>
              <w:t>Predictor</w:t>
            </w:r>
          </w:p>
        </w:tc>
        <w:tc>
          <w:tcPr>
            <w:tcW w:type="dxa" w:w="1325"/>
          </w:tcPr>
          <w:p>
            <w:pPr>
              <w:spacing w:before="60" w:after="60"/>
            </w:pPr>
            <w:r/>
            <w:r>
              <w:rPr>
                <w:rFonts w:ascii="Segoe UI" w:hAnsi="Segoe UI"/>
                <w:b w:val="0"/>
                <w:color w:val="3E4E55"/>
                <w:sz w:val="17"/>
              </w:rPr>
              <w:t>(−90, 70)</w:t>
            </w:r>
          </w:p>
        </w:tc>
        <w:tc>
          <w:tcPr>
            <w:tcW w:type="dxa" w:w="2664"/>
          </w:tcPr>
          <w:p>
            <w:pPr>
              <w:spacing w:before="60" w:after="60"/>
            </w:pPr>
            <w:r/>
            <w:r>
              <w:rPr>
                <w:rFonts w:ascii="Segoe UI" w:hAnsi="Segoe UI"/>
                <w:b w:val="0"/>
                <w:color w:val="3E4E55"/>
                <w:sz w:val="17"/>
              </w:rPr>
              <w:t>Reads near the converter cabinet, not free air</w:t>
            </w:r>
          </w:p>
        </w:tc>
      </w:tr>
      <w:tr>
        <w:tc>
          <w:tcPr>
            <w:tcW w:type="dxa" w:w="1944"/>
          </w:tcPr>
          <w:p>
            <w:pPr>
              <w:spacing w:before="60" w:after="60"/>
            </w:pPr>
            <w:r/>
            <w:r>
              <w:rPr>
                <w:rFonts w:ascii="Segoe UI" w:hAnsi="Segoe UI"/>
                <w:b/>
                <w:color w:val="101A1E"/>
                <w:sz w:val="17"/>
              </w:rPr>
              <w:t>nacelle_temperature</w:t>
            </w:r>
          </w:p>
        </w:tc>
        <w:tc>
          <w:tcPr>
            <w:tcW w:type="dxa" w:w="2304"/>
          </w:tcPr>
          <w:p>
            <w:pPr>
              <w:spacing w:before="60" w:after="60"/>
            </w:pPr>
            <w:r/>
            <w:r>
              <w:rPr>
                <w:rFonts w:ascii="Segoe UI" w:hAnsi="Segoe UI"/>
                <w:b w:val="0"/>
                <w:color w:val="3E4E55"/>
                <w:sz w:val="17"/>
              </w:rPr>
              <w:t>Nacelle temperature (°C)</w:t>
            </w:r>
          </w:p>
        </w:tc>
        <w:tc>
          <w:tcPr>
            <w:tcW w:type="dxa" w:w="1037"/>
          </w:tcPr>
          <w:p>
            <w:pPr>
              <w:spacing w:before="60" w:after="60"/>
            </w:pPr>
            <w:r/>
            <w:r>
              <w:rPr>
                <w:rFonts w:ascii="Segoe UI" w:hAnsi="Segoe UI"/>
                <w:b w:val="0"/>
                <w:color w:val="3E4E55"/>
                <w:sz w:val="17"/>
              </w:rPr>
              <w:t>Predictor</w:t>
            </w:r>
          </w:p>
        </w:tc>
        <w:tc>
          <w:tcPr>
            <w:tcW w:type="dxa" w:w="1325"/>
          </w:tcPr>
          <w:p>
            <w:pPr>
              <w:spacing w:before="60" w:after="60"/>
            </w:pPr>
            <w:r/>
            <w:r>
              <w:rPr>
                <w:rFonts w:ascii="Segoe UI" w:hAnsi="Segoe UI"/>
                <w:b w:val="0"/>
                <w:color w:val="3E4E55"/>
                <w:sz w:val="17"/>
              </w:rPr>
              <w:t>(−90, 120)</w:t>
            </w:r>
          </w:p>
        </w:tc>
        <w:tc>
          <w:tcPr>
            <w:tcW w:type="dxa" w:w="2664"/>
          </w:tcPr>
          <w:p>
            <w:pPr>
              <w:spacing w:before="60" w:after="60"/>
            </w:pPr>
            <w:r/>
            <w:r>
              <w:rPr>
                <w:rFonts w:ascii="Segoe UI" w:hAnsi="Segoe UI"/>
                <w:b w:val="0"/>
                <w:color w:val="3E4E55"/>
                <w:sz w:val="17"/>
              </w:rPr>
              <w:t>Partially drivetrain-heated; least strictly exogenous</w:t>
            </w:r>
          </w:p>
        </w:tc>
      </w:tr>
      <w:tr>
        <w:tc>
          <w:tcPr>
            <w:tcW w:type="dxa" w:w="1944"/>
          </w:tcPr>
          <w:p>
            <w:pPr>
              <w:spacing w:before="60" w:after="60"/>
            </w:pPr>
            <w:r/>
            <w:r>
              <w:rPr>
                <w:rFonts w:ascii="Segoe UI" w:hAnsi="Segoe UI"/>
                <w:b/>
                <w:color w:val="101A1E"/>
                <w:sz w:val="17"/>
              </w:rPr>
              <w:t>gearbox_oil_temperature</w:t>
            </w:r>
          </w:p>
        </w:tc>
        <w:tc>
          <w:tcPr>
            <w:tcW w:type="dxa" w:w="2304"/>
          </w:tcPr>
          <w:p>
            <w:pPr>
              <w:spacing w:before="60" w:after="60"/>
            </w:pPr>
            <w:r/>
            <w:r>
              <w:rPr>
                <w:rFonts w:ascii="Segoe UI" w:hAnsi="Segoe UI"/>
                <w:b w:val="0"/>
                <w:color w:val="3E4E55"/>
                <w:sz w:val="17"/>
              </w:rPr>
              <w:t>Gear oil temperature (°C)</w:t>
            </w:r>
          </w:p>
        </w:tc>
        <w:tc>
          <w:tcPr>
            <w:tcW w:type="dxa" w:w="1037"/>
          </w:tcPr>
          <w:p>
            <w:pPr>
              <w:spacing w:before="60" w:after="60"/>
            </w:pPr>
            <w:r/>
            <w:r>
              <w:rPr>
                <w:rFonts w:ascii="Segoe UI" w:hAnsi="Segoe UI"/>
                <w:b w:val="0"/>
                <w:color w:val="3E4E55"/>
                <w:sz w:val="17"/>
              </w:rPr>
              <w:t>TARGET</w:t>
            </w:r>
          </w:p>
        </w:tc>
        <w:tc>
          <w:tcPr>
            <w:tcW w:type="dxa" w:w="1325"/>
          </w:tcPr>
          <w:p>
            <w:pPr>
              <w:spacing w:before="60" w:after="60"/>
            </w:pPr>
            <w:r/>
            <w:r>
              <w:rPr>
                <w:rFonts w:ascii="Segoe UI" w:hAnsi="Segoe UI"/>
                <w:b w:val="0"/>
                <w:color w:val="3E4E55"/>
                <w:sz w:val="17"/>
              </w:rPr>
              <w:t>(−90, 200)</w:t>
            </w:r>
          </w:p>
        </w:tc>
        <w:tc>
          <w:tcPr>
            <w:tcW w:type="dxa" w:w="2664"/>
          </w:tcPr>
          <w:p>
            <w:pPr>
              <w:spacing w:before="60" w:after="60"/>
            </w:pPr>
            <w:r/>
            <w:r>
              <w:rPr>
                <w:rFonts w:ascii="Segoe UI" w:hAnsi="Segoe UI"/>
                <w:b w:val="0"/>
                <w:color w:val="3E4E55"/>
                <w:sz w:val="17"/>
              </w:rPr>
              <w:t>Sump oil</w:t>
            </w:r>
          </w:p>
        </w:tc>
      </w:tr>
      <w:tr>
        <w:tc>
          <w:tcPr>
            <w:tcW w:type="dxa" w:w="1944"/>
          </w:tcPr>
          <w:p>
            <w:pPr>
              <w:spacing w:before="60" w:after="60"/>
            </w:pPr>
            <w:r/>
            <w:r>
              <w:rPr>
                <w:rFonts w:ascii="Segoe UI" w:hAnsi="Segoe UI"/>
                <w:b/>
                <w:color w:val="101A1E"/>
                <w:sz w:val="17"/>
              </w:rPr>
              <w:t>gearbox_bearing_temperature</w:t>
            </w:r>
          </w:p>
        </w:tc>
        <w:tc>
          <w:tcPr>
            <w:tcW w:type="dxa" w:w="2304"/>
          </w:tcPr>
          <w:p>
            <w:pPr>
              <w:spacing w:before="60" w:after="60"/>
            </w:pPr>
            <w:r/>
            <w:r>
              <w:rPr>
                <w:rFonts w:ascii="Segoe UI" w:hAnsi="Segoe UI"/>
                <w:b w:val="0"/>
                <w:color w:val="3E4E55"/>
                <w:sz w:val="17"/>
              </w:rPr>
              <w:t>Rear bearing temperature (°C)</w:t>
            </w:r>
          </w:p>
        </w:tc>
        <w:tc>
          <w:tcPr>
            <w:tcW w:type="dxa" w:w="1037"/>
          </w:tcPr>
          <w:p>
            <w:pPr>
              <w:spacing w:before="60" w:after="60"/>
            </w:pPr>
            <w:r/>
            <w:r>
              <w:rPr>
                <w:rFonts w:ascii="Segoe UI" w:hAnsi="Segoe UI"/>
                <w:b w:val="0"/>
                <w:color w:val="3E4E55"/>
                <w:sz w:val="17"/>
              </w:rPr>
              <w:t>TARGET</w:t>
            </w:r>
          </w:p>
        </w:tc>
        <w:tc>
          <w:tcPr>
            <w:tcW w:type="dxa" w:w="1325"/>
          </w:tcPr>
          <w:p>
            <w:pPr>
              <w:spacing w:before="60" w:after="60"/>
            </w:pPr>
            <w:r/>
            <w:r>
              <w:rPr>
                <w:rFonts w:ascii="Segoe UI" w:hAnsi="Segoe UI"/>
                <w:b w:val="0"/>
                <w:color w:val="3E4E55"/>
                <w:sz w:val="17"/>
              </w:rPr>
              <w:t>(−90, 250)</w:t>
            </w:r>
          </w:p>
        </w:tc>
        <w:tc>
          <w:tcPr>
            <w:tcW w:type="dxa" w:w="2664"/>
          </w:tcPr>
          <w:p>
            <w:pPr>
              <w:spacing w:before="60" w:after="60"/>
            </w:pPr>
            <w:r/>
            <w:r>
              <w:rPr>
                <w:rFonts w:ascii="Segoe UI" w:hAnsi="Segoe UI"/>
                <w:b w:val="0"/>
                <w:color w:val="3E4E55"/>
                <w:sz w:val="17"/>
              </w:rPr>
              <w:t>Designated by proxy (ADR-012)</w:t>
            </w:r>
          </w:p>
        </w:tc>
      </w:tr>
    </w:tbl>
    <w:p>
      <w:pPr>
        <w:spacing w:after="40"/>
      </w:pPr>
    </w:p>
    <w:p>
      <w:pPr>
        <w:pStyle w:val="Label"/>
      </w:pPr>
      <w:r>
        <w:rPr>
          <w:b w:val="0"/>
          <w:i w:val="0"/>
        </w:rPr>
        <w:t>Why the rear bearing — verified evidence</w:t>
      </w:r>
    </w:p>
    <w:p>
      <w:r>
        <w:t xml:space="preserve">No column names a gearbox bearing, so the target was designated on power-bin correlation structure rather than overall correlation. This table was re-derived from </w:t>
      </w:r>
      <w:r>
        <w:rPr>
          <w:rFonts w:ascii="Consolas" w:hAnsi="Consolas"/>
          <w:color w:val="3E4E55"/>
          <w:sz w:val="18"/>
        </w:rPr>
        <w:t>EVIDENCE_D04_AND_TARGETS.json</w:t>
      </w:r>
      <w:r>
        <w:t xml:space="preserve"> (n = 1,733,184 pooled rows) and reproduces exactly.</w:t>
      </w:r>
    </w:p>
    <w:tbl>
      <w:tblPr>
        <w:tblStyle w:val="TableGrid"/>
        <w:tblW w:type="auto" w:w="0"/>
        <w:jc w:val="left"/>
        <w:tblLook w:firstColumn="1" w:firstRow="1" w:lastColumn="0" w:lastRow="0" w:noHBand="0" w:noVBand="1" w:val="04A0"/>
      </w:tblPr>
      <w:tblGrid>
        <w:gridCol w:w="2340"/>
        <w:gridCol w:w="2340"/>
        <w:gridCol w:w="2340"/>
        <w:gridCol w:w="2340"/>
      </w:tblGrid>
      <w:tr>
        <w:tc>
          <w:tcPr>
            <w:tcW w:type="dxa" w:w="2160"/>
            <w:shd w:val="clear" w:color="auto" w:fill="E7EDEF"/>
          </w:tcPr>
          <w:p>
            <w:pPr>
              <w:spacing w:before="60" w:after="60"/>
            </w:pPr>
            <w:r/>
            <w:r>
              <w:rPr>
                <w:rFonts w:ascii="Segoe UI" w:hAnsi="Segoe UI"/>
                <w:b/>
                <w:color w:val="101A1E"/>
                <w:sz w:val="16"/>
              </w:rPr>
              <w:t>Power bin (kW)</w:t>
            </w:r>
          </w:p>
        </w:tc>
        <w:tc>
          <w:tcPr>
            <w:tcW w:type="dxa" w:w="2016"/>
            <w:shd w:val="clear" w:color="auto" w:fill="E7EDEF"/>
          </w:tcPr>
          <w:p>
            <w:pPr>
              <w:spacing w:before="60" w:after="60"/>
            </w:pPr>
            <w:r/>
            <w:r>
              <w:rPr>
                <w:rFonts w:ascii="Segoe UI" w:hAnsi="Segoe UI"/>
                <w:b/>
                <w:color w:val="101A1E"/>
                <w:sz w:val="16"/>
              </w:rPr>
              <w:t>n rows</w:t>
            </w:r>
          </w:p>
        </w:tc>
        <w:tc>
          <w:tcPr>
            <w:tcW w:type="dxa" w:w="2448"/>
            <w:shd w:val="clear" w:color="auto" w:fill="E7EDEF"/>
          </w:tcPr>
          <w:p>
            <w:pPr>
              <w:spacing w:before="60" w:after="60"/>
            </w:pPr>
            <w:r/>
            <w:r>
              <w:rPr>
                <w:rFonts w:ascii="Segoe UI" w:hAnsi="Segoe UI"/>
                <w:b/>
                <w:color w:val="101A1E"/>
                <w:sz w:val="16"/>
              </w:rPr>
              <w:t>Front bearing r</w:t>
            </w:r>
          </w:p>
        </w:tc>
        <w:tc>
          <w:tcPr>
            <w:tcW w:type="dxa" w:w="2448"/>
            <w:shd w:val="clear" w:color="auto" w:fill="E7EDEF"/>
          </w:tcPr>
          <w:p>
            <w:pPr>
              <w:spacing w:before="60" w:after="60"/>
            </w:pPr>
            <w:r/>
            <w:r>
              <w:rPr>
                <w:rFonts w:ascii="Segoe UI" w:hAnsi="Segoe UI"/>
                <w:b/>
                <w:color w:val="101A1E"/>
                <w:sz w:val="16"/>
              </w:rPr>
              <w:t>Rear bearing r</w:t>
            </w:r>
          </w:p>
        </w:tc>
      </w:tr>
      <w:tr>
        <w:tc>
          <w:tcPr>
            <w:tcW w:type="dxa" w:w="2160"/>
          </w:tcPr>
          <w:p>
            <w:pPr>
              <w:spacing w:before="60" w:after="60"/>
            </w:pPr>
            <w:r/>
            <w:r>
              <w:rPr>
                <w:rFonts w:ascii="Segoe UI" w:hAnsi="Segoe UI"/>
                <w:b/>
                <w:color w:val="101A1E"/>
                <w:sz w:val="17"/>
              </w:rPr>
              <w:t>≤ 0</w:t>
            </w:r>
          </w:p>
        </w:tc>
        <w:tc>
          <w:tcPr>
            <w:tcW w:type="dxa" w:w="2016"/>
          </w:tcPr>
          <w:p>
            <w:pPr>
              <w:spacing w:before="60" w:after="60"/>
            </w:pPr>
            <w:r/>
            <w:r>
              <w:rPr>
                <w:rFonts w:ascii="Segoe UI" w:hAnsi="Segoe UI"/>
                <w:b w:val="0"/>
                <w:color w:val="3E4E55"/>
                <w:sz w:val="17"/>
              </w:rPr>
              <w:t>187,407</w:t>
            </w:r>
          </w:p>
        </w:tc>
        <w:tc>
          <w:tcPr>
            <w:tcW w:type="dxa" w:w="2448"/>
          </w:tcPr>
          <w:p>
            <w:pPr>
              <w:spacing w:before="60" w:after="60"/>
            </w:pPr>
            <w:r/>
            <w:r>
              <w:rPr>
                <w:rFonts w:ascii="Segoe UI" w:hAnsi="Segoe UI"/>
                <w:b w:val="0"/>
                <w:color w:val="3E4E55"/>
                <w:sz w:val="17"/>
              </w:rPr>
              <w:t>0.9886</w:t>
            </w:r>
          </w:p>
        </w:tc>
        <w:tc>
          <w:tcPr>
            <w:tcW w:type="dxa" w:w="2448"/>
          </w:tcPr>
          <w:p>
            <w:pPr>
              <w:spacing w:before="60" w:after="60"/>
            </w:pPr>
            <w:r/>
            <w:r>
              <w:rPr>
                <w:rFonts w:ascii="Segoe UI" w:hAnsi="Segoe UI"/>
                <w:b w:val="0"/>
                <w:color w:val="3E4E55"/>
                <w:sz w:val="17"/>
              </w:rPr>
              <w:t>0.9782</w:t>
            </w:r>
          </w:p>
        </w:tc>
      </w:tr>
      <w:tr>
        <w:tc>
          <w:tcPr>
            <w:tcW w:type="dxa" w:w="2160"/>
          </w:tcPr>
          <w:p>
            <w:pPr>
              <w:spacing w:before="60" w:after="60"/>
            </w:pPr>
            <w:r/>
            <w:r>
              <w:rPr>
                <w:rFonts w:ascii="Segoe UI" w:hAnsi="Segoe UI"/>
                <w:b/>
                <w:color w:val="101A1E"/>
                <w:sz w:val="17"/>
              </w:rPr>
              <w:t>0 – 50</w:t>
            </w:r>
          </w:p>
        </w:tc>
        <w:tc>
          <w:tcPr>
            <w:tcW w:type="dxa" w:w="2016"/>
          </w:tcPr>
          <w:p>
            <w:pPr>
              <w:spacing w:before="60" w:after="60"/>
            </w:pPr>
            <w:r/>
            <w:r>
              <w:rPr>
                <w:rFonts w:ascii="Segoe UI" w:hAnsi="Segoe UI"/>
                <w:b w:val="0"/>
                <w:color w:val="3E4E55"/>
                <w:sz w:val="17"/>
              </w:rPr>
              <w:t>107,820</w:t>
            </w:r>
          </w:p>
        </w:tc>
        <w:tc>
          <w:tcPr>
            <w:tcW w:type="dxa" w:w="2448"/>
          </w:tcPr>
          <w:p>
            <w:pPr>
              <w:spacing w:before="60" w:after="60"/>
            </w:pPr>
            <w:r/>
            <w:r>
              <w:rPr>
                <w:rFonts w:ascii="Segoe UI" w:hAnsi="Segoe UI"/>
                <w:b w:val="0"/>
                <w:color w:val="3E4E55"/>
                <w:sz w:val="17"/>
              </w:rPr>
              <w:t>0.9483</w:t>
            </w:r>
          </w:p>
        </w:tc>
        <w:tc>
          <w:tcPr>
            <w:tcW w:type="dxa" w:w="2448"/>
          </w:tcPr>
          <w:p>
            <w:pPr>
              <w:spacing w:before="60" w:after="60"/>
            </w:pPr>
            <w:r/>
            <w:r>
              <w:rPr>
                <w:rFonts w:ascii="Segoe UI" w:hAnsi="Segoe UI"/>
                <w:b w:val="0"/>
                <w:color w:val="3E4E55"/>
                <w:sz w:val="17"/>
              </w:rPr>
              <w:t>0.9426</w:t>
            </w:r>
          </w:p>
        </w:tc>
      </w:tr>
      <w:tr>
        <w:tc>
          <w:tcPr>
            <w:tcW w:type="dxa" w:w="2160"/>
          </w:tcPr>
          <w:p>
            <w:pPr>
              <w:spacing w:before="60" w:after="60"/>
            </w:pPr>
            <w:r/>
            <w:r>
              <w:rPr>
                <w:rFonts w:ascii="Segoe UI" w:hAnsi="Segoe UI"/>
                <w:b/>
                <w:color w:val="101A1E"/>
                <w:sz w:val="17"/>
              </w:rPr>
              <w:t>50 – 250</w:t>
            </w:r>
          </w:p>
        </w:tc>
        <w:tc>
          <w:tcPr>
            <w:tcW w:type="dxa" w:w="2016"/>
          </w:tcPr>
          <w:p>
            <w:pPr>
              <w:spacing w:before="60" w:after="60"/>
            </w:pPr>
            <w:r/>
            <w:r>
              <w:rPr>
                <w:rFonts w:ascii="Segoe UI" w:hAnsi="Segoe UI"/>
                <w:b w:val="0"/>
                <w:color w:val="3E4E55"/>
                <w:sz w:val="17"/>
              </w:rPr>
              <w:t>372,887</w:t>
            </w:r>
          </w:p>
        </w:tc>
        <w:tc>
          <w:tcPr>
            <w:tcW w:type="dxa" w:w="2448"/>
          </w:tcPr>
          <w:p>
            <w:pPr>
              <w:spacing w:before="60" w:after="60"/>
            </w:pPr>
            <w:r/>
            <w:r>
              <w:rPr>
                <w:rFonts w:ascii="Segoe UI" w:hAnsi="Segoe UI"/>
                <w:b w:val="0"/>
                <w:color w:val="3E4E55"/>
                <w:sz w:val="17"/>
              </w:rPr>
              <w:t>0.8969</w:t>
            </w:r>
          </w:p>
        </w:tc>
        <w:tc>
          <w:tcPr>
            <w:tcW w:type="dxa" w:w="2448"/>
          </w:tcPr>
          <w:p>
            <w:pPr>
              <w:spacing w:before="60" w:after="60"/>
            </w:pPr>
            <w:r/>
            <w:r>
              <w:rPr>
                <w:rFonts w:ascii="Segoe UI" w:hAnsi="Segoe UI"/>
                <w:b w:val="0"/>
                <w:color w:val="3E4E55"/>
                <w:sz w:val="17"/>
              </w:rPr>
              <w:t>0.9505</w:t>
            </w:r>
          </w:p>
        </w:tc>
      </w:tr>
      <w:tr>
        <w:tc>
          <w:tcPr>
            <w:tcW w:type="dxa" w:w="2160"/>
          </w:tcPr>
          <w:p>
            <w:pPr>
              <w:spacing w:before="60" w:after="60"/>
            </w:pPr>
            <w:r/>
            <w:r>
              <w:rPr>
                <w:rFonts w:ascii="Segoe UI" w:hAnsi="Segoe UI"/>
                <w:b/>
                <w:color w:val="101A1E"/>
                <w:sz w:val="17"/>
              </w:rPr>
              <w:t>250 – 500</w:t>
            </w:r>
          </w:p>
        </w:tc>
        <w:tc>
          <w:tcPr>
            <w:tcW w:type="dxa" w:w="2016"/>
          </w:tcPr>
          <w:p>
            <w:pPr>
              <w:spacing w:before="60" w:after="60"/>
            </w:pPr>
            <w:r/>
            <w:r>
              <w:rPr>
                <w:rFonts w:ascii="Segoe UI" w:hAnsi="Segoe UI"/>
                <w:b w:val="0"/>
                <w:color w:val="3E4E55"/>
                <w:sz w:val="17"/>
              </w:rPr>
              <w:t>306,564</w:t>
            </w:r>
          </w:p>
        </w:tc>
        <w:tc>
          <w:tcPr>
            <w:tcW w:type="dxa" w:w="2448"/>
          </w:tcPr>
          <w:p>
            <w:pPr>
              <w:spacing w:before="60" w:after="60"/>
            </w:pPr>
            <w:r/>
            <w:r>
              <w:rPr>
                <w:rFonts w:ascii="Segoe UI" w:hAnsi="Segoe UI"/>
                <w:b w:val="0"/>
                <w:color w:val="3E4E55"/>
                <w:sz w:val="17"/>
              </w:rPr>
              <w:t>0.7447</w:t>
            </w:r>
          </w:p>
        </w:tc>
        <w:tc>
          <w:tcPr>
            <w:tcW w:type="dxa" w:w="2448"/>
          </w:tcPr>
          <w:p>
            <w:pPr>
              <w:spacing w:before="60" w:after="60"/>
            </w:pPr>
            <w:r/>
            <w:r>
              <w:rPr>
                <w:rFonts w:ascii="Segoe UI" w:hAnsi="Segoe UI"/>
                <w:b w:val="0"/>
                <w:color w:val="3E4E55"/>
                <w:sz w:val="17"/>
              </w:rPr>
              <w:t>0.8846</w:t>
            </w:r>
          </w:p>
        </w:tc>
      </w:tr>
      <w:tr>
        <w:tc>
          <w:tcPr>
            <w:tcW w:type="dxa" w:w="2160"/>
          </w:tcPr>
          <w:p>
            <w:pPr>
              <w:spacing w:before="60" w:after="60"/>
            </w:pPr>
            <w:r/>
            <w:r>
              <w:rPr>
                <w:rFonts w:ascii="Segoe UI" w:hAnsi="Segoe UI"/>
                <w:b/>
                <w:color w:val="101A1E"/>
                <w:sz w:val="17"/>
              </w:rPr>
              <w:t>500 – 1000</w:t>
            </w:r>
          </w:p>
        </w:tc>
        <w:tc>
          <w:tcPr>
            <w:tcW w:type="dxa" w:w="2016"/>
          </w:tcPr>
          <w:p>
            <w:pPr>
              <w:spacing w:before="60" w:after="60"/>
            </w:pPr>
            <w:r/>
            <w:r>
              <w:rPr>
                <w:rFonts w:ascii="Segoe UI" w:hAnsi="Segoe UI"/>
                <w:b w:val="0"/>
                <w:color w:val="3E4E55"/>
                <w:sz w:val="17"/>
              </w:rPr>
              <w:t>325,666</w:t>
            </w:r>
          </w:p>
        </w:tc>
        <w:tc>
          <w:tcPr>
            <w:tcW w:type="dxa" w:w="2448"/>
          </w:tcPr>
          <w:p>
            <w:pPr>
              <w:spacing w:before="60" w:after="60"/>
            </w:pPr>
            <w:r/>
            <w:r>
              <w:rPr>
                <w:rFonts w:ascii="Segoe UI" w:hAnsi="Segoe UI"/>
                <w:b w:val="0"/>
                <w:color w:val="3E4E55"/>
                <w:sz w:val="17"/>
              </w:rPr>
              <w:t>0.4513</w:t>
            </w:r>
          </w:p>
        </w:tc>
        <w:tc>
          <w:tcPr>
            <w:tcW w:type="dxa" w:w="2448"/>
          </w:tcPr>
          <w:p>
            <w:pPr>
              <w:spacing w:before="60" w:after="60"/>
            </w:pPr>
            <w:r/>
            <w:r>
              <w:rPr>
                <w:rFonts w:ascii="Segoe UI" w:hAnsi="Segoe UI"/>
                <w:b w:val="0"/>
                <w:color w:val="3E4E55"/>
                <w:sz w:val="17"/>
              </w:rPr>
              <w:t>0.8949</w:t>
            </w:r>
          </w:p>
        </w:tc>
      </w:tr>
      <w:tr>
        <w:tc>
          <w:tcPr>
            <w:tcW w:type="dxa" w:w="2160"/>
          </w:tcPr>
          <w:p>
            <w:pPr>
              <w:spacing w:before="60" w:after="60"/>
            </w:pPr>
            <w:r/>
            <w:r>
              <w:rPr>
                <w:rFonts w:ascii="Segoe UI" w:hAnsi="Segoe UI"/>
                <w:b/>
                <w:color w:val="101A1E"/>
                <w:sz w:val="17"/>
              </w:rPr>
              <w:t>1000 – 1500</w:t>
            </w:r>
          </w:p>
        </w:tc>
        <w:tc>
          <w:tcPr>
            <w:tcW w:type="dxa" w:w="2016"/>
          </w:tcPr>
          <w:p>
            <w:pPr>
              <w:spacing w:before="60" w:after="60"/>
            </w:pPr>
            <w:r/>
            <w:r>
              <w:rPr>
                <w:rFonts w:ascii="Segoe UI" w:hAnsi="Segoe UI"/>
                <w:b w:val="0"/>
                <w:color w:val="3E4E55"/>
                <w:sz w:val="17"/>
              </w:rPr>
              <w:t>167,005</w:t>
            </w:r>
          </w:p>
        </w:tc>
        <w:tc>
          <w:tcPr>
            <w:tcW w:type="dxa" w:w="2448"/>
          </w:tcPr>
          <w:p>
            <w:pPr>
              <w:spacing w:before="60" w:after="60"/>
            </w:pPr>
            <w:r/>
            <w:r>
              <w:rPr>
                <w:rFonts w:ascii="Segoe UI" w:hAnsi="Segoe UI"/>
                <w:b w:val="0"/>
                <w:color w:val="3E4E55"/>
                <w:sz w:val="17"/>
              </w:rPr>
              <w:t>0.1462</w:t>
            </w:r>
          </w:p>
        </w:tc>
        <w:tc>
          <w:tcPr>
            <w:tcW w:type="dxa" w:w="2448"/>
          </w:tcPr>
          <w:p>
            <w:pPr>
              <w:spacing w:before="60" w:after="60"/>
            </w:pPr>
            <w:r/>
            <w:r>
              <w:rPr>
                <w:rFonts w:ascii="Segoe UI" w:hAnsi="Segoe UI"/>
                <w:b w:val="0"/>
                <w:color w:val="3E4E55"/>
                <w:sz w:val="17"/>
              </w:rPr>
              <w:t>0.9223</w:t>
            </w:r>
          </w:p>
        </w:tc>
      </w:tr>
      <w:tr>
        <w:tc>
          <w:tcPr>
            <w:tcW w:type="dxa" w:w="2160"/>
          </w:tcPr>
          <w:p>
            <w:pPr>
              <w:spacing w:before="60" w:after="60"/>
            </w:pPr>
            <w:r/>
            <w:r>
              <w:rPr>
                <w:rFonts w:ascii="Segoe UI" w:hAnsi="Segoe UI"/>
                <w:b/>
                <w:color w:val="101A1E"/>
                <w:sz w:val="17"/>
              </w:rPr>
              <w:t>&gt; 1500</w:t>
            </w:r>
          </w:p>
        </w:tc>
        <w:tc>
          <w:tcPr>
            <w:tcW w:type="dxa" w:w="2016"/>
          </w:tcPr>
          <w:p>
            <w:pPr>
              <w:spacing w:before="60" w:after="60"/>
            </w:pPr>
            <w:r/>
            <w:r>
              <w:rPr>
                <w:rFonts w:ascii="Segoe UI" w:hAnsi="Segoe UI"/>
                <w:b w:val="0"/>
                <w:color w:val="3E4E55"/>
                <w:sz w:val="17"/>
              </w:rPr>
              <w:t>218,882</w:t>
            </w:r>
          </w:p>
        </w:tc>
        <w:tc>
          <w:tcPr>
            <w:tcW w:type="dxa" w:w="2448"/>
          </w:tcPr>
          <w:p>
            <w:pPr>
              <w:spacing w:before="60" w:after="60"/>
            </w:pPr>
            <w:r/>
            <w:r>
              <w:rPr>
                <w:rFonts w:ascii="Segoe UI" w:hAnsi="Segoe UI"/>
                <w:b w:val="0"/>
                <w:color w:val="3E4E55"/>
                <w:sz w:val="17"/>
              </w:rPr>
              <w:t>0.0566</w:t>
            </w:r>
          </w:p>
        </w:tc>
        <w:tc>
          <w:tcPr>
            <w:tcW w:type="dxa" w:w="2448"/>
          </w:tcPr>
          <w:p>
            <w:pPr>
              <w:spacing w:before="60" w:after="60"/>
            </w:pPr>
            <w:r/>
            <w:r>
              <w:rPr>
                <w:rFonts w:ascii="Segoe UI" w:hAnsi="Segoe UI"/>
                <w:b w:val="0"/>
                <w:color w:val="3E4E55"/>
                <w:sz w:val="17"/>
              </w:rPr>
              <w:t>0.9179</w:t>
            </w:r>
          </w:p>
        </w:tc>
      </w:tr>
    </w:tbl>
    <w:p>
      <w:pPr>
        <w:spacing w:after="40"/>
      </w:pPr>
    </w:p>
    <w:p>
      <w:r>
        <w:t>Rear bearing holds 0.88–0.98 with gear oil in every bin. Front bearing collapses from 0.99 at idle to 0.06 above 1500 kW — at rated power, where gearbox thermal faults matter most, it carries essentially no relationship to oil temperature and is evidently measuring a different thermal node. Gear-oil INLET temperature was excluded as a target on physical grounds: it correlates −0.4164 with power and its per-bin mean falls monotonically from 53.4 °C to 39.3 °C as load rises while sump oil stays flat in the 50–57 °C band, making it a cooling-circuit response moving inversely to the quantity of interest.</w:t>
      </w:r>
    </w:p>
    <w:p>
      <w:pPr>
        <w:pStyle w:val="Label"/>
      </w:pPr>
      <w:r>
        <w:rPr>
          <w:b w:val="0"/>
          <w:i w:val="0"/>
        </w:rPr>
        <w:t>A caution this evidence carries</w:t>
      </w:r>
    </w:p>
    <w:p>
      <w:r>
        <w:t xml:space="preserve">The bearing target was selected BECAUSE it tracks the other target closely. The system's central claim is that coordinated multi-target residual evidence is richer than single-signal evidence, which requires the two signals to carry different information. The correlations above are on RAW temperatures and are dominated by common load and ambient drive, so they neither establish nor refute that. The decisive quantity is the </w:t>
      </w:r>
      <w:r>
        <w:rPr>
          <w:b/>
        </w:rPr>
        <w:t>residual-to-residual</w:t>
      </w:r>
      <w:r>
        <w:t xml:space="preserve"> correlation, which the pipeline now emits per run (§4.6) and which had never been computed before this work.</w:t>
      </w:r>
    </w:p>
    <w:p>
      <w:r>
        <w:br w:type="page"/>
      </w:r>
    </w:p>
    <w:p>
      <w:pPr>
        <w:pStyle w:val="PartHead"/>
      </w:pPr>
      <w:r>
        <w:rPr>
          <w:b w:val="0"/>
          <w:i w:val="0"/>
        </w:rPr>
        <w:t>Part 2</w:t>
      </w:r>
    </w:p>
    <w:p>
      <w:pPr>
        <w:pStyle w:val="PartSub"/>
      </w:pPr>
      <w:r>
        <w:rPr>
          <w:b w:val="0"/>
          <w:i w:val="0"/>
        </w:rPr>
        <w:t>Exploratory data analysis</w:t>
      </w:r>
    </w:p>
    <w:p>
      <w:r>
        <w:t xml:space="preserve">The EDA is implemented as </w:t>
      </w:r>
      <w:r>
        <w:rPr>
          <w:rFonts w:ascii="Consolas" w:hAnsi="Consolas"/>
          <w:color w:val="3E4E55"/>
          <w:sz w:val="18"/>
        </w:rPr>
        <w:t>scripts/run_eda.py</w:t>
      </w:r>
      <w:r>
        <w:t>. This section summarises what it computes and why each stage exists; it does not present results, because the script has not been executed — see §2.4.</w:t>
      </w:r>
    </w:p>
    <w:p>
      <w:pPr>
        <w:pStyle w:val="H1x"/>
      </w:pPr>
      <w:r>
        <w:rPr>
          <w:b w:val="0"/>
          <w:i w:val="0"/>
        </w:rPr>
        <w:t>2.1  Design principles</w:t>
      </w:r>
    </w:p>
    <w:p>
      <w:pPr>
        <w:pStyle w:val="ListBullet"/>
        <w:spacing w:after="80"/>
        <w:ind w:left="490"/>
      </w:pPr>
      <w:r>
        <w:rPr>
          <w:b/>
        </w:rPr>
        <w:t>Read-only, evidenced not asserted.</w:t>
      </w:r>
      <w:r>
        <w:t xml:space="preserve"> Every source file is SHA-256 hashed before and after the run and the equality recorded in the output. The run aborts if any file changed.</w:t>
      </w:r>
    </w:p>
    <w:p>
      <w:pPr>
        <w:pStyle w:val="ListBullet"/>
        <w:spacing w:after="80"/>
        <w:ind w:left="490"/>
      </w:pPr>
      <w:r>
        <w:rPr>
          <w:b/>
        </w:rPr>
        <w:t>Facts only.</w:t>
      </w:r>
      <w:r>
        <w:t xml:space="preserve"> No cleaning is applied to the source, no judgment emitted, no anomaly designated. Cleaning and healthy-state figures are PREVIEWS of what the pipeline would remove, not applied transformations. Designating an anomaly is a pipeline and author decision, not an EDA output.</w:t>
      </w:r>
    </w:p>
    <w:p>
      <w:pPr>
        <w:pStyle w:val="ListBullet"/>
        <w:spacing w:after="80"/>
        <w:ind w:left="490"/>
      </w:pPr>
      <w:r>
        <w:rPr>
          <w:b/>
        </w:rPr>
        <w:t>Describes the data BEFORE the pipeline touches it,</w:t>
      </w:r>
      <w:r>
        <w:t xml:space="preserve"> so attrition can be attributed to specific rules rather than inferred from the difference between raw and modelled row counts.</w:t>
      </w:r>
    </w:p>
    <w:p>
      <w:pPr>
        <w:pStyle w:val="ListBullet"/>
        <w:spacing w:after="80"/>
        <w:ind w:left="490"/>
      </w:pPr>
      <w:r>
        <w:rPr>
          <w:b/>
        </w:rPr>
        <w:t>Reuses the census reader.</w:t>
      </w:r>
      <w:r>
        <w:t xml:space="preserve"> Vendor-format parsing and provenance helpers come from dataset_census.py rather than being reimplemented, so the EDA reads the files exactly as the Phase 0.5 census did.</w:t>
      </w:r>
    </w:p>
    <w:p>
      <w:pPr>
        <w:pStyle w:val="H1x"/>
      </w:pPr>
      <w:r>
        <w:rPr>
          <w:b w:val="0"/>
          <w:i w:val="0"/>
        </w:rPr>
        <w:t>2.2  The eight stages</w:t>
      </w:r>
    </w:p>
    <w:tbl>
      <w:tblPr>
        <w:tblStyle w:val="TableGrid"/>
        <w:tblW w:type="auto" w:w="0"/>
        <w:jc w:val="left"/>
        <w:tblLook w:firstColumn="1" w:firstRow="1" w:lastColumn="0" w:lastRow="0" w:noHBand="0" w:noVBand="1" w:val="04A0"/>
      </w:tblPr>
      <w:tblGrid>
        <w:gridCol w:w="3120"/>
        <w:gridCol w:w="3120"/>
        <w:gridCol w:w="3120"/>
      </w:tblGrid>
      <w:tr>
        <w:tc>
          <w:tcPr>
            <w:tcW w:type="dxa" w:w="2304"/>
            <w:shd w:val="clear" w:color="auto" w:fill="E7EDEF"/>
          </w:tcPr>
          <w:p>
            <w:pPr>
              <w:spacing w:before="60" w:after="60"/>
            </w:pPr>
            <w:r/>
            <w:r>
              <w:rPr>
                <w:rFonts w:ascii="Segoe UI" w:hAnsi="Segoe UI"/>
                <w:b/>
                <w:color w:val="101A1E"/>
                <w:sz w:val="16"/>
              </w:rPr>
              <w:t>Stage</w:t>
            </w:r>
          </w:p>
        </w:tc>
        <w:tc>
          <w:tcPr>
            <w:tcW w:type="dxa" w:w="3456"/>
            <w:shd w:val="clear" w:color="auto" w:fill="E7EDEF"/>
          </w:tcPr>
          <w:p>
            <w:pPr>
              <w:spacing w:before="60" w:after="60"/>
            </w:pPr>
            <w:r/>
            <w:r>
              <w:rPr>
                <w:rFonts w:ascii="Segoe UI" w:hAnsi="Segoe UI"/>
                <w:b/>
                <w:color w:val="101A1E"/>
                <w:sz w:val="16"/>
              </w:rPr>
              <w:t>What it computes</w:t>
            </w:r>
          </w:p>
        </w:tc>
        <w:tc>
          <w:tcPr>
            <w:tcW w:type="dxa" w:w="3600"/>
            <w:shd w:val="clear" w:color="auto" w:fill="E7EDEF"/>
          </w:tcPr>
          <w:p>
            <w:pPr>
              <w:spacing w:before="60" w:after="60"/>
            </w:pPr>
            <w:r/>
            <w:r>
              <w:rPr>
                <w:rFonts w:ascii="Segoe UI" w:hAnsi="Segoe UI"/>
                <w:b/>
                <w:color w:val="101A1E"/>
                <w:sz w:val="16"/>
              </w:rPr>
              <w:t>Why it exists</w:t>
            </w:r>
          </w:p>
        </w:tc>
      </w:tr>
      <w:tr>
        <w:tc>
          <w:tcPr>
            <w:tcW w:type="dxa" w:w="2304"/>
          </w:tcPr>
          <w:p>
            <w:pPr>
              <w:spacing w:before="60" w:after="60"/>
            </w:pPr>
            <w:r/>
            <w:r>
              <w:rPr>
                <w:rFonts w:ascii="Segoe UI" w:hAnsi="Segoe UI"/>
                <w:b/>
                <w:color w:val="101A1E"/>
                <w:sz w:val="17"/>
              </w:rPr>
              <w:t>A — Inventory and provenance</w:t>
            </w:r>
          </w:p>
        </w:tc>
        <w:tc>
          <w:tcPr>
            <w:tcW w:type="dxa" w:w="3456"/>
          </w:tcPr>
          <w:p>
            <w:pPr>
              <w:spacing w:before="60" w:after="60"/>
            </w:pPr>
            <w:r/>
            <w:r>
              <w:rPr>
                <w:rFonts w:ascii="Segoe UI" w:hAnsi="Segoe UI"/>
                <w:b w:val="0"/>
                <w:color w:val="3E4E55"/>
                <w:sz w:val="17"/>
              </w:rPr>
              <w:t>File list, SHA-256 before and after, mapping hash, schema version</w:t>
            </w:r>
          </w:p>
        </w:tc>
        <w:tc>
          <w:tcPr>
            <w:tcW w:type="dxa" w:w="3600"/>
          </w:tcPr>
          <w:p>
            <w:pPr>
              <w:spacing w:before="60" w:after="60"/>
            </w:pPr>
            <w:r/>
            <w:r>
              <w:rPr>
                <w:rFonts w:ascii="Segoe UI" w:hAnsi="Segoe UI"/>
                <w:b w:val="0"/>
                <w:color w:val="3E4E55"/>
                <w:sz w:val="17"/>
              </w:rPr>
              <w:t>Makes the run auditable and proves read-only behaviour</w:t>
            </w:r>
          </w:p>
        </w:tc>
      </w:tr>
      <w:tr>
        <w:tc>
          <w:tcPr>
            <w:tcW w:type="dxa" w:w="2304"/>
          </w:tcPr>
          <w:p>
            <w:pPr>
              <w:spacing w:before="60" w:after="60"/>
            </w:pPr>
            <w:r/>
            <w:r>
              <w:rPr>
                <w:rFonts w:ascii="Segoe UI" w:hAnsi="Segoe UI"/>
                <w:b/>
                <w:color w:val="101A1E"/>
                <w:sz w:val="17"/>
              </w:rPr>
              <w:t>B — Per-channel statistics</w:t>
            </w:r>
          </w:p>
        </w:tc>
        <w:tc>
          <w:tcPr>
            <w:tcW w:type="dxa" w:w="3456"/>
          </w:tcPr>
          <w:p>
            <w:pPr>
              <w:spacing w:before="60" w:after="60"/>
            </w:pPr>
            <w:r/>
            <w:r>
              <w:rPr>
                <w:rFonts w:ascii="Segoe UI" w:hAnsi="Segoe UI"/>
                <w:b w:val="0"/>
                <w:color w:val="3E4E55"/>
                <w:sz w:val="17"/>
              </w:rPr>
              <w:t>Null fraction, min/p01/p05/p25/median/p75/p95/p99/max, mean, std, distinct count, constancy flag</w:t>
            </w:r>
          </w:p>
        </w:tc>
        <w:tc>
          <w:tcPr>
            <w:tcW w:type="dxa" w:w="3600"/>
          </w:tcPr>
          <w:p>
            <w:pPr>
              <w:spacing w:before="60" w:after="60"/>
            </w:pPr>
            <w:r/>
            <w:r>
              <w:rPr>
                <w:rFonts w:ascii="Segoe UI" w:hAnsi="Segoe UI"/>
                <w:b w:val="0"/>
                <w:color w:val="3E4E55"/>
                <w:sz w:val="17"/>
              </w:rPr>
              <w:t>Percentiles rather than mean and std alone, because SCADA channels are routinely bimodal — idle versus generating — and a mean sits between the two modes where no data lives</w:t>
            </w:r>
          </w:p>
        </w:tc>
      </w:tr>
      <w:tr>
        <w:tc>
          <w:tcPr>
            <w:tcW w:type="dxa" w:w="2304"/>
          </w:tcPr>
          <w:p>
            <w:pPr>
              <w:spacing w:before="60" w:after="60"/>
            </w:pPr>
            <w:r/>
            <w:r>
              <w:rPr>
                <w:rFonts w:ascii="Segoe UI" w:hAnsi="Segoe UI"/>
                <w:b/>
                <w:color w:val="101A1E"/>
                <w:sz w:val="17"/>
              </w:rPr>
              <w:t>C — Temporal coverage</w:t>
            </w:r>
          </w:p>
        </w:tc>
        <w:tc>
          <w:tcPr>
            <w:tcW w:type="dxa" w:w="3456"/>
          </w:tcPr>
          <w:p>
            <w:pPr>
              <w:spacing w:before="60" w:after="60"/>
            </w:pPr>
            <w:r/>
            <w:r>
              <w:rPr>
                <w:rFonts w:ascii="Segoe UI" w:hAnsi="Segoe UI"/>
                <w:b w:val="0"/>
                <w:color w:val="3E4E55"/>
                <w:sz w:val="17"/>
              </w:rPr>
              <w:t>Span, modal interval, intervals at modal, duplicate timestamps, gap count and total gap hours, largest gaps, and observed ROW TIME</w:t>
            </w:r>
          </w:p>
        </w:tc>
        <w:tc>
          <w:tcPr>
            <w:tcW w:type="dxa" w:w="3600"/>
          </w:tcPr>
          <w:p>
            <w:pPr>
              <w:spacing w:before="60" w:after="60"/>
            </w:pPr>
            <w:r/>
            <w:r>
              <w:rPr>
                <w:rFonts w:ascii="Segoe UI" w:hAnsi="Segoe UI"/>
                <w:b w:val="0"/>
                <w:color w:val="3E4E55"/>
                <w:sz w:val="17"/>
              </w:rPr>
              <w:t>Row time is reported beside calendar span because the two diverge on any gap-filled stream, and that divergence is what ADR-028 corrects in the false-alarm denominator</w:t>
            </w:r>
          </w:p>
        </w:tc>
      </w:tr>
      <w:tr>
        <w:tc>
          <w:tcPr>
            <w:tcW w:type="dxa" w:w="2304"/>
          </w:tcPr>
          <w:p>
            <w:pPr>
              <w:spacing w:before="60" w:after="60"/>
            </w:pPr>
            <w:r/>
            <w:r>
              <w:rPr>
                <w:rFonts w:ascii="Segoe UI" w:hAnsi="Segoe UI"/>
                <w:b/>
                <w:color w:val="101A1E"/>
                <w:sz w:val="17"/>
              </w:rPr>
              <w:t>D — Missingness structure</w:t>
            </w:r>
          </w:p>
        </w:tc>
        <w:tc>
          <w:tcPr>
            <w:tcW w:type="dxa" w:w="3456"/>
          </w:tcPr>
          <w:p>
            <w:pPr>
              <w:spacing w:before="60" w:after="60"/>
            </w:pPr>
            <w:r/>
            <w:r>
              <w:rPr>
                <w:rFonts w:ascii="Segoe UI" w:hAnsi="Segoe UI"/>
                <w:b w:val="0"/>
                <w:color w:val="3E4E55"/>
                <w:sz w:val="17"/>
              </w:rPr>
              <w:t>Per-channel null rates, rows complete, rows missing any, rows missing all, and the top joint missingness patterns</w:t>
            </w:r>
          </w:p>
        </w:tc>
        <w:tc>
          <w:tcPr>
            <w:tcW w:type="dxa" w:w="3600"/>
          </w:tcPr>
          <w:p>
            <w:pPr>
              <w:spacing w:before="60" w:after="60"/>
            </w:pPr>
            <w:r/>
            <w:r>
              <w:rPr>
                <w:rFonts w:ascii="Segoe UI" w:hAnsi="Segoe UI"/>
                <w:b w:val="0"/>
                <w:color w:val="3E4E55"/>
                <w:sz w:val="17"/>
              </w:rPr>
              <w:t>Marginal rates hide whether channels fail together. A row missing ANY predictor is dropped, so the JOINT pattern determines attrition</w:t>
            </w:r>
          </w:p>
        </w:tc>
      </w:tr>
      <w:tr>
        <w:tc>
          <w:tcPr>
            <w:tcW w:type="dxa" w:w="2304"/>
          </w:tcPr>
          <w:p>
            <w:pPr>
              <w:spacing w:before="60" w:after="60"/>
            </w:pPr>
            <w:r/>
            <w:r>
              <w:rPr>
                <w:rFonts w:ascii="Segoe UI" w:hAnsi="Segoe UI"/>
                <w:b/>
                <w:color w:val="101A1E"/>
                <w:sz w:val="17"/>
              </w:rPr>
              <w:t>E — Operating regime</w:t>
            </w:r>
          </w:p>
        </w:tc>
        <w:tc>
          <w:tcPr>
            <w:tcW w:type="dxa" w:w="3456"/>
          </w:tcPr>
          <w:p>
            <w:pPr>
              <w:spacing w:before="60" w:after="60"/>
            </w:pPr>
            <w:r/>
            <w:r>
              <w:rPr>
                <w:rFonts w:ascii="Segoe UI" w:hAnsi="Segoe UI"/>
                <w:b w:val="0"/>
                <w:color w:val="3E4E55"/>
                <w:sz w:val="17"/>
              </w:rPr>
              <w:t>Capacity factor, fraction below the 50 kW floor, fraction of negative power, population of each power bin</w:t>
            </w:r>
          </w:p>
        </w:tc>
        <w:tc>
          <w:tcPr>
            <w:tcW w:type="dxa" w:w="3600"/>
          </w:tcPr>
          <w:p>
            <w:pPr>
              <w:spacing w:before="60" w:after="60"/>
            </w:pPr>
            <w:r/>
            <w:r>
              <w:rPr>
                <w:rFonts w:ascii="Segoe UI" w:hAnsi="Segoe UI"/>
                <w:b w:val="0"/>
                <w:color w:val="3E4E55"/>
                <w:sz w:val="17"/>
              </w:rPr>
              <w:t>Establishes how much of the record is generating operation at all, which bounds how much data the healthy state can retain</w:t>
            </w:r>
          </w:p>
        </w:tc>
      </w:tr>
      <w:tr>
        <w:tc>
          <w:tcPr>
            <w:tcW w:type="dxa" w:w="2304"/>
          </w:tcPr>
          <w:p>
            <w:pPr>
              <w:spacing w:before="60" w:after="60"/>
            </w:pPr>
            <w:r/>
            <w:r>
              <w:rPr>
                <w:rFonts w:ascii="Segoe UI" w:hAnsi="Segoe UI"/>
                <w:b/>
                <w:color w:val="101A1E"/>
                <w:sz w:val="17"/>
              </w:rPr>
              <w:t>F — Target relationships</w:t>
            </w:r>
          </w:p>
        </w:tc>
        <w:tc>
          <w:tcPr>
            <w:tcW w:type="dxa" w:w="3456"/>
          </w:tcPr>
          <w:p>
            <w:pPr>
              <w:spacing w:before="60" w:after="60"/>
            </w:pPr>
            <w:r/>
            <w:r>
              <w:rPr>
                <w:rFonts w:ascii="Segoe UI" w:hAnsi="Segoe UI"/>
                <w:b w:val="0"/>
                <w:color w:val="3E4E55"/>
                <w:sz w:val="17"/>
              </w:rPr>
              <w:t>Target-target Pearson and Spearman overall, target-versus-predictor correlations, and target-target correlation BY POWER BIN on the ADR-012 bins</w:t>
            </w:r>
          </w:p>
        </w:tc>
        <w:tc>
          <w:tcPr>
            <w:tcW w:type="dxa" w:w="3600"/>
          </w:tcPr>
          <w:p>
            <w:pPr>
              <w:spacing w:before="60" w:after="60"/>
            </w:pPr>
            <w:r/>
            <w:r>
              <w:rPr>
                <w:rFonts w:ascii="Segoe UI" w:hAnsi="Segoe UI"/>
                <w:b w:val="0"/>
                <w:color w:val="3E4E55"/>
                <w:sz w:val="17"/>
              </w:rPr>
              <w:t>The raw-signal precursor to the residual-level question that decides whether coordinated detection adds evidence. Uses the same bins as the target designation so the two analyses are directly comparable</w:t>
            </w:r>
          </w:p>
        </w:tc>
      </w:tr>
      <w:tr>
        <w:tc>
          <w:tcPr>
            <w:tcW w:type="dxa" w:w="2304"/>
          </w:tcPr>
          <w:p>
            <w:pPr>
              <w:spacing w:before="60" w:after="60"/>
            </w:pPr>
            <w:r/>
            <w:r>
              <w:rPr>
                <w:rFonts w:ascii="Segoe UI" w:hAnsi="Segoe UI"/>
                <w:b/>
                <w:color w:val="101A1E"/>
                <w:sz w:val="17"/>
              </w:rPr>
              <w:t>G — Fleet coherence</w:t>
            </w:r>
          </w:p>
        </w:tc>
        <w:tc>
          <w:tcPr>
            <w:tcW w:type="dxa" w:w="3456"/>
          </w:tcPr>
          <w:p>
            <w:pPr>
              <w:spacing w:before="60" w:after="60"/>
            </w:pPr>
            <w:r/>
            <w:r>
              <w:rPr>
                <w:rFonts w:ascii="Segoe UI" w:hAnsi="Segoe UI"/>
                <w:b w:val="0"/>
                <w:color w:val="3E4E55"/>
                <w:sz w:val="17"/>
              </w:rPr>
              <w:t>Cross-turbine correlation matrix per channel on the common timestamp grid, with mean, min and max pairwise correlation</w:t>
            </w:r>
          </w:p>
        </w:tc>
        <w:tc>
          <w:tcPr>
            <w:tcW w:type="dxa" w:w="3600"/>
          </w:tcPr>
          <w:p>
            <w:pPr>
              <w:spacing w:before="60" w:after="60"/>
            </w:pPr>
            <w:r/>
            <w:r>
              <w:rPr>
                <w:rFonts w:ascii="Segoe UI" w:hAnsi="Segoe UI"/>
                <w:b w:val="0"/>
                <w:color w:val="3E4E55"/>
                <w:sz w:val="17"/>
              </w:rPr>
              <w:t>High coherence means a channel is driven by farm-wide conditions rather than machine state. This is the structure ADR-029 subtracts as a leave-one-out fleet median, and the structure that produced the EVENT-001 excursion on all six machines at once</w:t>
            </w:r>
          </w:p>
        </w:tc>
      </w:tr>
      <w:tr>
        <w:tc>
          <w:tcPr>
            <w:tcW w:type="dxa" w:w="2304"/>
          </w:tcPr>
          <w:p>
            <w:pPr>
              <w:spacing w:before="60" w:after="60"/>
            </w:pPr>
            <w:r/>
            <w:r>
              <w:rPr>
                <w:rFonts w:ascii="Segoe UI" w:hAnsi="Segoe UI"/>
                <w:b/>
                <w:color w:val="101A1E"/>
                <w:sz w:val="17"/>
              </w:rPr>
              <w:t>H — Attrition preview</w:t>
            </w:r>
          </w:p>
        </w:tc>
        <w:tc>
          <w:tcPr>
            <w:tcW w:type="dxa" w:w="3456"/>
          </w:tcPr>
          <w:p>
            <w:pPr>
              <w:spacing w:before="60" w:after="60"/>
            </w:pPr>
            <w:r/>
            <w:r>
              <w:rPr>
                <w:rFonts w:ascii="Segoe UI" w:hAnsi="Segoe UI"/>
                <w:b w:val="0"/>
                <w:color w:val="3E4E55"/>
                <w:sz w:val="17"/>
              </w:rPr>
              <w:t>Rows each cleaning and healthy-state rule WOULD remove, in registry order, with per-channel impossible-value counts</w:t>
            </w:r>
          </w:p>
        </w:tc>
        <w:tc>
          <w:tcPr>
            <w:tcW w:type="dxa" w:w="3600"/>
          </w:tcPr>
          <w:p>
            <w:pPr>
              <w:spacing w:before="60" w:after="60"/>
            </w:pPr>
            <w:r/>
            <w:r>
              <w:rPr>
                <w:rFonts w:ascii="Segoe UI" w:hAnsi="Segoe UI"/>
                <w:b w:val="0"/>
                <w:color w:val="3E4E55"/>
                <w:sz w:val="17"/>
              </w:rPr>
              <w:t>Applied in the order the cleaning registry uses, so the counts compose exactly as the run's audit trail will</w:t>
            </w:r>
          </w:p>
        </w:tc>
      </w:tr>
    </w:tbl>
    <w:p>
      <w:pPr>
        <w:spacing w:after="40"/>
      </w:pPr>
    </w:p>
    <w:p>
      <w:pPr>
        <w:pStyle w:val="H1x"/>
      </w:pPr>
      <w:r>
        <w:rPr>
          <w:b w:val="0"/>
          <w:i w:val="0"/>
        </w:rPr>
        <w:t>2.3  What the EDA is deliberately NOT</w:t>
      </w:r>
    </w:p>
    <w:p>
      <w:pPr>
        <w:pStyle w:val="ListBullet"/>
        <w:spacing w:after="80"/>
        <w:ind w:left="490"/>
      </w:pPr>
      <w:r>
        <w:rPr>
          <w:b/>
        </w:rPr>
        <w:t>Not a cleaning step.</w:t>
      </w:r>
      <w:r>
        <w:t xml:space="preserve"> It writes nothing back and modifies no source file.</w:t>
      </w:r>
    </w:p>
    <w:p>
      <w:pPr>
        <w:pStyle w:val="ListBullet"/>
        <w:spacing w:after="80"/>
        <w:ind w:left="490"/>
      </w:pPr>
      <w:r>
        <w:rPr>
          <w:b/>
        </w:rPr>
        <w:t>Not an anomaly detector.</w:t>
      </w:r>
      <w:r>
        <w:t xml:space="preserve"> It reports distributions and coherence; it never labels a period abnormal. Doing so would pre-empt the detection layer and contaminate the evaluation.</w:t>
      </w:r>
    </w:p>
    <w:p>
      <w:pPr>
        <w:pStyle w:val="ListBullet"/>
        <w:spacing w:after="80"/>
        <w:ind w:left="490"/>
      </w:pPr>
      <w:r>
        <w:rPr>
          <w:b/>
        </w:rPr>
        <w:t>Not a feature-selection step.</w:t>
      </w:r>
      <w:r>
        <w:t xml:space="preserve"> The predictor set is fixed by the thesis specification and the causal-separation guards. Choosing predictors from observed correlation with the targets would be selection on the outcome.</w:t>
      </w:r>
    </w:p>
    <w:p>
      <w:pPr>
        <w:pStyle w:val="H1x"/>
      </w:pPr>
      <w:r>
        <w:rPr>
          <w:b w:val="0"/>
          <w:i w:val="0"/>
        </w:rPr>
        <w:t>2.4  Execution status</w:t>
      </w:r>
    </w:p>
    <w:p>
      <w:r>
        <w:t xml:space="preserve">The script is </w:t>
      </w:r>
      <w:r>
        <w:rPr>
          <w:b/>
        </w:rPr>
        <w:t>built and validated but not yet run</w:t>
      </w:r>
      <w:r>
        <w:t xml:space="preserve">. Validation performed: ruff lint, ruff format, AST parse, module import, and a synthetic-data smoke test exercising every stage function. It has NOT been executed against the Kelmarsh holdings, because </w:t>
      </w:r>
      <w:r>
        <w:rPr>
          <w:rFonts w:ascii="Consolas" w:hAnsi="Consolas"/>
          <w:color w:val="3E4E55"/>
          <w:sz w:val="18"/>
        </w:rPr>
        <w:t>data/raw/</w:t>
      </w:r>
      <w:r>
        <w:t xml:space="preserve"> is empty in the environment where this work was carried out. No EDA result is quoted anywhere in this report, and none should be quoted until the script has run.</w:t>
      </w:r>
    </w:p>
    <w:p>
      <w:r>
        <w:t>To run it:</w:t>
      </w:r>
    </w:p>
    <w:p>
      <w:r>
        <w:rPr>
          <w:rFonts w:ascii="Consolas" w:hAnsi="Consolas"/>
          <w:color w:val="3E4E55"/>
          <w:sz w:val="18"/>
        </w:rPr>
        <w:t>uv run python ../scripts/run_eda.py --downloads &lt;folder&gt; --output ../artifacts/eda</w:t>
      </w:r>
    </w:p>
    <w:p>
      <w:r>
        <w:br w:type="page"/>
      </w:r>
    </w:p>
    <w:p>
      <w:pPr>
        <w:pStyle w:val="PartHead"/>
      </w:pPr>
      <w:r>
        <w:rPr>
          <w:b w:val="0"/>
          <w:i w:val="0"/>
        </w:rPr>
        <w:t>Part 3</w:t>
      </w:r>
    </w:p>
    <w:p>
      <w:pPr>
        <w:pStyle w:val="PartSub"/>
      </w:pPr>
      <w:r>
        <w:rPr>
          <w:b w:val="0"/>
          <w:i w:val="0"/>
        </w:rPr>
        <w:t>Preprocessing, and the literature behind it</w:t>
      </w:r>
    </w:p>
    <w:p>
      <w:pPr>
        <w:pStyle w:val="H1x"/>
      </w:pPr>
      <w:r>
        <w:rPr>
          <w:b w:val="0"/>
          <w:i w:val="0"/>
        </w:rPr>
        <w:t>3.1  Ingestion</w:t>
      </w:r>
    </w:p>
    <w:p>
      <w:pPr>
        <w:pStyle w:val="ListNumber"/>
        <w:spacing w:after="80"/>
        <w:ind w:left="547"/>
      </w:pPr>
      <w:r>
        <w:rPr>
          <w:b/>
        </w:rPr>
        <w:t>Strict encoding detection</w:t>
      </w:r>
      <w:r>
        <w:t xml:space="preserve"> — utf-8, then cp1252, then latin-1, each attempted as a whole-file strict decode. Silent character replacement is prohibited: it corrupts degree signs and vendor text without leaving a trace. The encoding used is recorded in provenance.</w:t>
      </w:r>
    </w:p>
    <w:p>
      <w:pPr>
        <w:pStyle w:val="ListNumber"/>
        <w:spacing w:after="80"/>
        <w:ind w:left="547"/>
      </w:pPr>
      <w:r>
        <w:rPr>
          <w:b/>
        </w:rPr>
        <w:t>Raw → canonical mapping</w:t>
      </w:r>
      <w:r>
        <w:t xml:space="preserve"> through a YAML config. No dataset-specific column name appears in code.</w:t>
      </w:r>
    </w:p>
    <w:p>
      <w:pPr>
        <w:pStyle w:val="ListNumber"/>
        <w:spacing w:after="80"/>
        <w:ind w:left="547"/>
      </w:pPr>
      <w:r>
        <w:rPr>
          <w:b/>
        </w:rPr>
        <w:t>UTC conversion exactly once</w:t>
      </w:r>
      <w:r>
        <w:t>, from the mapping's mandatory declared timezone. A missing or unresolvable timezone is a hard stop, never a guess. DST fold-back and spring-gap detection exist for any future non-UTC source.</w:t>
      </w:r>
    </w:p>
    <w:p>
      <w:pPr>
        <w:pStyle w:val="ListNumber"/>
        <w:spacing w:after="80"/>
        <w:ind w:left="547"/>
      </w:pPr>
      <w:r>
        <w:rPr>
          <w:b/>
        </w:rPr>
        <w:t>Modelling-span filter</w:t>
      </w:r>
      <w:r>
        <w:t xml:space="preserve"> — 2016-05-03 to 2021-06-30 (ADR-009).</w:t>
      </w:r>
    </w:p>
    <w:p>
      <w:pPr>
        <w:pStyle w:val="ListNumber"/>
        <w:spacing w:after="80"/>
        <w:ind w:left="547"/>
      </w:pPr>
      <w:r>
        <w:rPr>
          <w:b/>
        </w:rPr>
        <w:t>SHA-256 provenance per file</w:t>
      </w:r>
      <w:r>
        <w:t>, with path, size, ingestion time, declared timezone, encoding, schema version and mapping hash. Provenance is a constructor requirement: the canonical dataset cannot be built without it.</w:t>
      </w:r>
    </w:p>
    <w:p>
      <w:pPr>
        <w:pStyle w:val="ListNumber"/>
        <w:spacing w:after="80"/>
        <w:ind w:left="547"/>
      </w:pPr>
      <w:r>
        <w:rPr>
          <w:b/>
        </w:rPr>
        <w:t>Deduplication</w:t>
      </w:r>
      <w:r>
        <w:t xml:space="preserve"> on (turbine, timestamp[, code]). Rows sharing a key collapse ONLY when byte-identical; a key collision with differing content RAISES, because silently choosing one would fabricate a record present in neither source file.</w:t>
      </w:r>
    </w:p>
    <w:p>
      <w:pPr>
        <w:pStyle w:val="H1x"/>
      </w:pPr>
      <w:r>
        <w:rPr>
          <w:b w:val="0"/>
          <w:i w:val="0"/>
        </w:rPr>
        <w:t>3.2  Cleaning — an audited registry</w:t>
      </w:r>
    </w:p>
    <w:p>
      <w:r>
        <w:t>Data can be altered only through named operations, each recording rule, reason and before/after counts. The audit exposes an arithmetic check asserting before − removed = after per operation and that consecutive operations chain consistently. There is no path that removes a row without an audit entry.</w:t>
      </w:r>
    </w:p>
    <w:tbl>
      <w:tblPr>
        <w:tblStyle w:val="TableGrid"/>
        <w:tblW w:type="auto" w:w="0"/>
        <w:jc w:val="left"/>
        <w:tblLook w:firstColumn="1" w:firstRow="1" w:lastColumn="0" w:lastRow="0" w:noHBand="0" w:noVBand="1" w:val="04A0"/>
      </w:tblPr>
      <w:tblGrid>
        <w:gridCol w:w="3120"/>
        <w:gridCol w:w="3120"/>
        <w:gridCol w:w="3120"/>
      </w:tblGrid>
      <w:tr>
        <w:tc>
          <w:tcPr>
            <w:tcW w:type="dxa" w:w="576"/>
            <w:shd w:val="clear" w:color="auto" w:fill="E7EDEF"/>
          </w:tcPr>
          <w:p>
            <w:pPr>
              <w:spacing w:before="60" w:after="60"/>
            </w:pPr>
            <w:r/>
            <w:r>
              <w:rPr>
                <w:rFonts w:ascii="Segoe UI" w:hAnsi="Segoe UI"/>
                <w:b/>
                <w:color w:val="101A1E"/>
                <w:sz w:val="16"/>
              </w:rPr>
              <w:t>#</w:t>
            </w:r>
          </w:p>
        </w:tc>
        <w:tc>
          <w:tcPr>
            <w:tcW w:type="dxa" w:w="3600"/>
            <w:shd w:val="clear" w:color="auto" w:fill="E7EDEF"/>
          </w:tcPr>
          <w:p>
            <w:pPr>
              <w:spacing w:before="60" w:after="60"/>
            </w:pPr>
            <w:r/>
            <w:r>
              <w:rPr>
                <w:rFonts w:ascii="Segoe UI" w:hAnsi="Segoe UI"/>
                <w:b/>
                <w:color w:val="101A1E"/>
                <w:sz w:val="16"/>
              </w:rPr>
              <w:t>Operation</w:t>
            </w:r>
          </w:p>
        </w:tc>
        <w:tc>
          <w:tcPr>
            <w:tcW w:type="dxa" w:w="5040"/>
            <w:shd w:val="clear" w:color="auto" w:fill="E7EDEF"/>
          </w:tcPr>
          <w:p>
            <w:pPr>
              <w:spacing w:before="60" w:after="60"/>
            </w:pPr>
            <w:r/>
            <w:r>
              <w:rPr>
                <w:rFonts w:ascii="Segoe UI" w:hAnsi="Segoe UI"/>
                <w:b/>
                <w:color w:val="101A1E"/>
                <w:sz w:val="16"/>
              </w:rPr>
              <w:t>Effect</w:t>
            </w:r>
          </w:p>
        </w:tc>
      </w:tr>
      <w:tr>
        <w:tc>
          <w:tcPr>
            <w:tcW w:type="dxa" w:w="576"/>
          </w:tcPr>
          <w:p>
            <w:pPr>
              <w:spacing w:before="60" w:after="60"/>
            </w:pPr>
            <w:r/>
            <w:r>
              <w:rPr>
                <w:rFonts w:ascii="Segoe UI" w:hAnsi="Segoe UI"/>
                <w:b/>
                <w:color w:val="101A1E"/>
                <w:sz w:val="17"/>
              </w:rPr>
              <w:t>1</w:t>
            </w:r>
          </w:p>
        </w:tc>
        <w:tc>
          <w:tcPr>
            <w:tcW w:type="dxa" w:w="3600"/>
          </w:tcPr>
          <w:p>
            <w:pPr>
              <w:spacing w:before="60" w:after="60"/>
            </w:pPr>
            <w:r/>
            <w:r>
              <w:rPr>
                <w:rFonts w:ascii="Segoe UI" w:hAnsi="Segoe UI"/>
                <w:b w:val="0"/>
                <w:color w:val="3E4E55"/>
                <w:sz w:val="17"/>
              </w:rPr>
              <w:t>drop_unparseable_timestamps</w:t>
            </w:r>
          </w:p>
        </w:tc>
        <w:tc>
          <w:tcPr>
            <w:tcW w:type="dxa" w:w="5040"/>
          </w:tcPr>
          <w:p>
            <w:pPr>
              <w:spacing w:before="60" w:after="60"/>
            </w:pPr>
            <w:r/>
            <w:r>
              <w:rPr>
                <w:rFonts w:ascii="Segoe UI" w:hAnsi="Segoe UI"/>
                <w:b w:val="0"/>
                <w:color w:val="3E4E55"/>
                <w:sz w:val="17"/>
              </w:rPr>
              <w:t>Row cannot be placed in time</w:t>
            </w:r>
          </w:p>
        </w:tc>
      </w:tr>
      <w:tr>
        <w:tc>
          <w:tcPr>
            <w:tcW w:type="dxa" w:w="576"/>
          </w:tcPr>
          <w:p>
            <w:pPr>
              <w:spacing w:before="60" w:after="60"/>
            </w:pPr>
            <w:r/>
            <w:r>
              <w:rPr>
                <w:rFonts w:ascii="Segoe UI" w:hAnsi="Segoe UI"/>
                <w:b/>
                <w:color w:val="101A1E"/>
                <w:sz w:val="17"/>
              </w:rPr>
              <w:t>2</w:t>
            </w:r>
          </w:p>
        </w:tc>
        <w:tc>
          <w:tcPr>
            <w:tcW w:type="dxa" w:w="3600"/>
          </w:tcPr>
          <w:p>
            <w:pPr>
              <w:spacing w:before="60" w:after="60"/>
            </w:pPr>
            <w:r/>
            <w:r>
              <w:rPr>
                <w:rFonts w:ascii="Segoe UI" w:hAnsi="Segoe UI"/>
                <w:b w:val="0"/>
                <w:color w:val="3E4E55"/>
                <w:sz w:val="17"/>
              </w:rPr>
              <w:t>drop_missing_any_target</w:t>
            </w:r>
          </w:p>
        </w:tc>
        <w:tc>
          <w:tcPr>
            <w:tcW w:type="dxa" w:w="5040"/>
          </w:tcPr>
          <w:p>
            <w:pPr>
              <w:spacing w:before="60" w:after="60"/>
            </w:pPr>
            <w:r/>
            <w:r>
              <w:rPr>
                <w:rFonts w:ascii="Segoe UI" w:hAnsi="Segoe UI"/>
                <w:b w:val="0"/>
                <w:color w:val="3E4E55"/>
                <w:sz w:val="17"/>
              </w:rPr>
              <w:t>Multi-target fitting requires both thermal targets</w:t>
            </w:r>
          </w:p>
        </w:tc>
      </w:tr>
      <w:tr>
        <w:tc>
          <w:tcPr>
            <w:tcW w:type="dxa" w:w="576"/>
          </w:tcPr>
          <w:p>
            <w:pPr>
              <w:spacing w:before="60" w:after="60"/>
            </w:pPr>
            <w:r/>
            <w:r>
              <w:rPr>
                <w:rFonts w:ascii="Segoe UI" w:hAnsi="Segoe UI"/>
                <w:b/>
                <w:color w:val="101A1E"/>
                <w:sz w:val="17"/>
              </w:rPr>
              <w:t>3</w:t>
            </w:r>
          </w:p>
        </w:tc>
        <w:tc>
          <w:tcPr>
            <w:tcW w:type="dxa" w:w="3600"/>
          </w:tcPr>
          <w:p>
            <w:pPr>
              <w:spacing w:before="60" w:after="60"/>
            </w:pPr>
            <w:r/>
            <w:r>
              <w:rPr>
                <w:rFonts w:ascii="Segoe UI" w:hAnsi="Segoe UI"/>
                <w:b w:val="0"/>
                <w:color w:val="3E4E55"/>
                <w:sz w:val="17"/>
              </w:rPr>
              <w:t>nullify_impossible_predictor_values</w:t>
            </w:r>
          </w:p>
        </w:tc>
        <w:tc>
          <w:tcPr>
            <w:tcW w:type="dxa" w:w="5040"/>
          </w:tcPr>
          <w:p>
            <w:pPr>
              <w:spacing w:before="60" w:after="60"/>
            </w:pPr>
            <w:r/>
            <w:r>
              <w:rPr>
                <w:rFonts w:ascii="Segoe UI" w:hAnsi="Segoe UI"/>
                <w:b w:val="0"/>
                <w:color w:val="3E4E55"/>
                <w:sz w:val="17"/>
              </w:rPr>
              <w:t>Values outside the schema's physically-impossible bounds set to missing (ADR-020)</w:t>
            </w:r>
          </w:p>
        </w:tc>
      </w:tr>
      <w:tr>
        <w:tc>
          <w:tcPr>
            <w:tcW w:type="dxa" w:w="576"/>
          </w:tcPr>
          <w:p>
            <w:pPr>
              <w:spacing w:before="60" w:after="60"/>
            </w:pPr>
            <w:r/>
            <w:r>
              <w:rPr>
                <w:rFonts w:ascii="Segoe UI" w:hAnsi="Segoe UI"/>
                <w:b/>
                <w:color w:val="101A1E"/>
                <w:sz w:val="17"/>
              </w:rPr>
              <w:t>4</w:t>
            </w:r>
          </w:p>
        </w:tc>
        <w:tc>
          <w:tcPr>
            <w:tcW w:type="dxa" w:w="3600"/>
          </w:tcPr>
          <w:p>
            <w:pPr>
              <w:spacing w:before="60" w:after="60"/>
            </w:pPr>
            <w:r/>
            <w:r>
              <w:rPr>
                <w:rFonts w:ascii="Segoe UI" w:hAnsi="Segoe UI"/>
                <w:b w:val="0"/>
                <w:color w:val="3E4E55"/>
                <w:sz w:val="17"/>
              </w:rPr>
              <w:t>drop_missing_any_predictor</w:t>
            </w:r>
          </w:p>
        </w:tc>
        <w:tc>
          <w:tcPr>
            <w:tcW w:type="dxa" w:w="5040"/>
          </w:tcPr>
          <w:p>
            <w:pPr>
              <w:spacing w:before="60" w:after="60"/>
            </w:pPr>
            <w:r/>
            <w:r>
              <w:rPr>
                <w:rFonts w:ascii="Segoe UI" w:hAnsi="Segoe UI"/>
                <w:b w:val="0"/>
                <w:color w:val="3E4E55"/>
                <w:sz w:val="17"/>
              </w:rPr>
              <w:t>Model cannot score the row</w:t>
            </w:r>
          </w:p>
        </w:tc>
      </w:tr>
    </w:tbl>
    <w:p>
      <w:pPr>
        <w:spacing w:after="40"/>
      </w:pPr>
    </w:p>
    <w:p>
      <w:r>
        <w:t>The nullify operation is ordering-guarded: cleaning refuses to run it unless the drop rule follows, so the policy cannot silently half-apply. This exists because a prior run scored 1,462 monitoring rows on generator-speed readings the schema declares physically impossible — 269 identical −576.6 RPM readings over a 39.7-hour run with the rotor stationary.</w:t>
      </w:r>
    </w:p>
    <w:p>
      <w:pPr>
        <w:pStyle w:val="H1x"/>
      </w:pPr>
      <w:r>
        <w:rPr>
          <w:b w:val="0"/>
          <w:i w:val="0"/>
        </w:rPr>
        <w:t>3.3  Healthy-state construction — the training population</w:t>
      </w:r>
    </w:p>
    <w:p>
      <w:r>
        <w:t>The single most consequential preprocessing stage. Exclusions are attributed DISJOINTLY by a documented priority order, so a row excluded for several reasons counts once and the identity accepted + excluded = total holds exactly. Applied to the train and validation periods ONLY; the monitoring period stays unfiltered because anomalous rows there are the signal being monitored.</w:t>
      </w:r>
    </w:p>
    <w:tbl>
      <w:tblPr>
        <w:tblStyle w:val="TableGrid"/>
        <w:tblW w:type="auto" w:w="0"/>
        <w:jc w:val="left"/>
        <w:tblLook w:firstColumn="1" w:firstRow="1" w:lastColumn="0" w:lastRow="0" w:noHBand="0" w:noVBand="1" w:val="04A0"/>
      </w:tblPr>
      <w:tblGrid>
        <w:gridCol w:w="3120"/>
        <w:gridCol w:w="3120"/>
        <w:gridCol w:w="3120"/>
      </w:tblGrid>
      <w:tr>
        <w:tc>
          <w:tcPr>
            <w:tcW w:type="dxa" w:w="1080"/>
            <w:shd w:val="clear" w:color="auto" w:fill="E7EDEF"/>
          </w:tcPr>
          <w:p>
            <w:pPr>
              <w:spacing w:before="60" w:after="60"/>
            </w:pPr>
            <w:r/>
            <w:r>
              <w:rPr>
                <w:rFonts w:ascii="Segoe UI" w:hAnsi="Segoe UI"/>
                <w:b/>
                <w:color w:val="101A1E"/>
                <w:sz w:val="16"/>
              </w:rPr>
              <w:t>Priority</w:t>
            </w:r>
          </w:p>
        </w:tc>
        <w:tc>
          <w:tcPr>
            <w:tcW w:type="dxa" w:w="3744"/>
            <w:shd w:val="clear" w:color="auto" w:fill="E7EDEF"/>
          </w:tcPr>
          <w:p>
            <w:pPr>
              <w:spacing w:before="60" w:after="60"/>
            </w:pPr>
            <w:r/>
            <w:r>
              <w:rPr>
                <w:rFonts w:ascii="Segoe UI" w:hAnsi="Segoe UI"/>
                <w:b/>
                <w:color w:val="101A1E"/>
                <w:sz w:val="16"/>
              </w:rPr>
              <w:t>Reason</w:t>
            </w:r>
          </w:p>
        </w:tc>
        <w:tc>
          <w:tcPr>
            <w:tcW w:type="dxa" w:w="4392"/>
            <w:shd w:val="clear" w:color="auto" w:fill="E7EDEF"/>
          </w:tcPr>
          <w:p>
            <w:pPr>
              <w:spacing w:before="60" w:after="60"/>
            </w:pPr>
            <w:r/>
            <w:r>
              <w:rPr>
                <w:rFonts w:ascii="Segoe UI" w:hAnsi="Segoe UI"/>
                <w:b/>
                <w:color w:val="101A1E"/>
                <w:sz w:val="16"/>
              </w:rPr>
              <w:t>Current setting</w:t>
            </w:r>
          </w:p>
        </w:tc>
      </w:tr>
      <w:tr>
        <w:tc>
          <w:tcPr>
            <w:tcW w:type="dxa" w:w="1080"/>
          </w:tcPr>
          <w:p>
            <w:pPr>
              <w:spacing w:before="60" w:after="60"/>
            </w:pPr>
            <w:r/>
            <w:r>
              <w:rPr>
                <w:rFonts w:ascii="Segoe UI" w:hAnsi="Segoe UI"/>
                <w:b/>
                <w:color w:val="101A1E"/>
                <w:sz w:val="17"/>
              </w:rPr>
              <w:t>1</w:t>
            </w:r>
          </w:p>
        </w:tc>
        <w:tc>
          <w:tcPr>
            <w:tcW w:type="dxa" w:w="3744"/>
          </w:tcPr>
          <w:p>
            <w:pPr>
              <w:spacing w:before="60" w:after="60"/>
            </w:pPr>
            <w:r/>
            <w:r>
              <w:rPr>
                <w:rFonts w:ascii="Segoe UI" w:hAnsi="Segoe UI"/>
                <w:b w:val="0"/>
                <w:color w:val="3E4E55"/>
                <w:sz w:val="17"/>
              </w:rPr>
              <w:t>known_fault_period</w:t>
            </w:r>
          </w:p>
        </w:tc>
        <w:tc>
          <w:tcPr>
            <w:tcW w:type="dxa" w:w="4392"/>
          </w:tcPr>
          <w:p>
            <w:pPr>
              <w:spacing w:before="60" w:after="60"/>
            </w:pPr>
            <w:r/>
            <w:r>
              <w:rPr>
                <w:rFonts w:ascii="Segoe UI" w:hAnsi="Segoe UI"/>
                <w:b w:val="0"/>
                <w:color w:val="3E4E55"/>
                <w:sz w:val="17"/>
              </w:rPr>
              <w:t>Supplied fault windows</w:t>
            </w:r>
          </w:p>
        </w:tc>
      </w:tr>
      <w:tr>
        <w:tc>
          <w:tcPr>
            <w:tcW w:type="dxa" w:w="1080"/>
          </w:tcPr>
          <w:p>
            <w:pPr>
              <w:spacing w:before="60" w:after="60"/>
            </w:pPr>
            <w:r/>
            <w:r>
              <w:rPr>
                <w:rFonts w:ascii="Segoe UI" w:hAnsi="Segoe UI"/>
                <w:b/>
                <w:color w:val="101A1E"/>
                <w:sz w:val="17"/>
              </w:rPr>
              <w:t>2</w:t>
            </w:r>
          </w:p>
        </w:tc>
        <w:tc>
          <w:tcPr>
            <w:tcW w:type="dxa" w:w="3744"/>
          </w:tcPr>
          <w:p>
            <w:pPr>
              <w:spacing w:before="60" w:after="60"/>
            </w:pPr>
            <w:r/>
            <w:r>
              <w:rPr>
                <w:rFonts w:ascii="Segoe UI" w:hAnsi="Segoe UI"/>
                <w:b w:val="0"/>
                <w:color w:val="3E4E55"/>
                <w:sz w:val="17"/>
              </w:rPr>
              <w:t>pre_fault_window</w:t>
            </w:r>
          </w:p>
        </w:tc>
        <w:tc>
          <w:tcPr>
            <w:tcW w:type="dxa" w:w="4392"/>
          </w:tcPr>
          <w:p>
            <w:pPr>
              <w:spacing w:before="60" w:after="60"/>
            </w:pPr>
            <w:r/>
            <w:r>
              <w:rPr>
                <w:rFonts w:ascii="Segoe UI" w:hAnsi="Segoe UI"/>
                <w:b w:val="0"/>
                <w:color w:val="3E4E55"/>
                <w:sz w:val="17"/>
              </w:rPr>
              <w:t>30 days before a fault (provisional)</w:t>
            </w:r>
          </w:p>
        </w:tc>
      </w:tr>
      <w:tr>
        <w:tc>
          <w:tcPr>
            <w:tcW w:type="dxa" w:w="1080"/>
          </w:tcPr>
          <w:p>
            <w:pPr>
              <w:spacing w:before="60" w:after="60"/>
            </w:pPr>
            <w:r/>
            <w:r>
              <w:rPr>
                <w:rFonts w:ascii="Segoe UI" w:hAnsi="Segoe UI"/>
                <w:b/>
                <w:color w:val="101A1E"/>
                <w:sz w:val="17"/>
              </w:rPr>
              <w:t>3</w:t>
            </w:r>
          </w:p>
        </w:tc>
        <w:tc>
          <w:tcPr>
            <w:tcW w:type="dxa" w:w="3744"/>
          </w:tcPr>
          <w:p>
            <w:pPr>
              <w:spacing w:before="60" w:after="60"/>
            </w:pPr>
            <w:r/>
            <w:r>
              <w:rPr>
                <w:rFonts w:ascii="Segoe UI" w:hAnsi="Segoe UI"/>
                <w:b w:val="0"/>
                <w:color w:val="3E4E55"/>
                <w:sz w:val="17"/>
              </w:rPr>
              <w:t>post_maintenance_window</w:t>
            </w:r>
          </w:p>
        </w:tc>
        <w:tc>
          <w:tcPr>
            <w:tcW w:type="dxa" w:w="4392"/>
          </w:tcPr>
          <w:p>
            <w:pPr>
              <w:spacing w:before="60" w:after="60"/>
            </w:pPr>
            <w:r/>
            <w:r>
              <w:rPr>
                <w:rFonts w:ascii="Segoe UI" w:hAnsi="Segoe UI"/>
                <w:b w:val="0"/>
                <w:color w:val="3E4E55"/>
                <w:sz w:val="17"/>
              </w:rPr>
              <w:t>2 days after maintenance (provisional)</w:t>
            </w:r>
          </w:p>
        </w:tc>
      </w:tr>
      <w:tr>
        <w:tc>
          <w:tcPr>
            <w:tcW w:type="dxa" w:w="1080"/>
          </w:tcPr>
          <w:p>
            <w:pPr>
              <w:spacing w:before="60" w:after="60"/>
            </w:pPr>
            <w:r/>
            <w:r>
              <w:rPr>
                <w:rFonts w:ascii="Segoe UI" w:hAnsi="Segoe UI"/>
                <w:b/>
                <w:color w:val="101A1E"/>
                <w:sz w:val="17"/>
              </w:rPr>
              <w:t>4</w:t>
            </w:r>
          </w:p>
        </w:tc>
        <w:tc>
          <w:tcPr>
            <w:tcW w:type="dxa" w:w="3744"/>
          </w:tcPr>
          <w:p>
            <w:pPr>
              <w:spacing w:before="60" w:after="60"/>
            </w:pPr>
            <w:r/>
            <w:r>
              <w:rPr>
                <w:rFonts w:ascii="Segoe UI" w:hAnsi="Segoe UI"/>
                <w:b w:val="0"/>
                <w:color w:val="3E4E55"/>
                <w:sz w:val="17"/>
              </w:rPr>
              <w:t>maintenance_period</w:t>
            </w:r>
          </w:p>
        </w:tc>
        <w:tc>
          <w:tcPr>
            <w:tcW w:type="dxa" w:w="4392"/>
          </w:tcPr>
          <w:p>
            <w:pPr>
              <w:spacing w:before="60" w:after="60"/>
            </w:pPr>
            <w:r/>
            <w:r>
              <w:rPr>
                <w:rFonts w:ascii="Segoe UI" w:hAnsi="Segoe UI"/>
                <w:b w:val="0"/>
                <w:color w:val="3E4E55"/>
                <w:sz w:val="17"/>
              </w:rPr>
              <w:t>Supplied maintenance windows</w:t>
            </w:r>
          </w:p>
        </w:tc>
      </w:tr>
      <w:tr>
        <w:tc>
          <w:tcPr>
            <w:tcW w:type="dxa" w:w="1080"/>
          </w:tcPr>
          <w:p>
            <w:pPr>
              <w:spacing w:before="60" w:after="60"/>
            </w:pPr>
            <w:r/>
            <w:r>
              <w:rPr>
                <w:rFonts w:ascii="Segoe UI" w:hAnsi="Segoe UI"/>
                <w:b/>
                <w:color w:val="101A1E"/>
                <w:sz w:val="17"/>
              </w:rPr>
              <w:t>5</w:t>
            </w:r>
          </w:p>
        </w:tc>
        <w:tc>
          <w:tcPr>
            <w:tcW w:type="dxa" w:w="3744"/>
          </w:tcPr>
          <w:p>
            <w:pPr>
              <w:spacing w:before="60" w:after="60"/>
            </w:pPr>
            <w:r/>
            <w:r>
              <w:rPr>
                <w:rFonts w:ascii="Segoe UI" w:hAnsi="Segoe UI"/>
                <w:b w:val="0"/>
                <w:color w:val="3E4E55"/>
                <w:sz w:val="17"/>
              </w:rPr>
              <w:t>alarm_period</w:t>
            </w:r>
          </w:p>
        </w:tc>
        <w:tc>
          <w:tcPr>
            <w:tcW w:type="dxa" w:w="4392"/>
          </w:tcPr>
          <w:p>
            <w:pPr>
              <w:spacing w:before="60" w:after="60"/>
            </w:pPr>
            <w:r/>
            <w:r>
              <w:rPr>
                <w:rFonts w:ascii="Segoe UI" w:hAnsi="Segoe UI"/>
                <w:b w:val="0"/>
                <w:color w:val="3E4E55"/>
                <w:sz w:val="17"/>
              </w:rPr>
              <w:t>Stop/Warning rows with a populated end; enabled</w:t>
            </w:r>
          </w:p>
        </w:tc>
      </w:tr>
      <w:tr>
        <w:tc>
          <w:tcPr>
            <w:tcW w:type="dxa" w:w="1080"/>
          </w:tcPr>
          <w:p>
            <w:pPr>
              <w:spacing w:before="60" w:after="60"/>
            </w:pPr>
            <w:r/>
            <w:r>
              <w:rPr>
                <w:rFonts w:ascii="Segoe UI" w:hAnsi="Segoe UI"/>
                <w:b/>
                <w:color w:val="101A1E"/>
                <w:sz w:val="17"/>
              </w:rPr>
              <w:t>6</w:t>
            </w:r>
          </w:p>
        </w:tc>
        <w:tc>
          <w:tcPr>
            <w:tcW w:type="dxa" w:w="3744"/>
          </w:tcPr>
          <w:p>
            <w:pPr>
              <w:spacing w:before="60" w:after="60"/>
            </w:pPr>
            <w:r/>
            <w:r>
              <w:rPr>
                <w:rFonts w:ascii="Segoe UI" w:hAnsi="Segoe UI"/>
                <w:b w:val="0"/>
                <w:color w:val="3E4E55"/>
                <w:sz w:val="17"/>
              </w:rPr>
              <w:t>shutdown_or_invalid_state</w:t>
            </w:r>
          </w:p>
        </w:tc>
        <w:tc>
          <w:tcPr>
            <w:tcW w:type="dxa" w:w="4392"/>
          </w:tcPr>
          <w:p>
            <w:pPr>
              <w:spacing w:before="60" w:after="60"/>
            </w:pPr>
            <w:r/>
            <w:r>
              <w:rPr>
                <w:rFonts w:ascii="Segoe UI" w:hAnsi="Segoe UI"/>
                <w:b w:val="0"/>
                <w:color w:val="3E4E55"/>
                <w:sz w:val="17"/>
              </w:rPr>
              <w:t>Reserved; not populated</w:t>
            </w:r>
          </w:p>
        </w:tc>
      </w:tr>
      <w:tr>
        <w:tc>
          <w:tcPr>
            <w:tcW w:type="dxa" w:w="1080"/>
          </w:tcPr>
          <w:p>
            <w:pPr>
              <w:spacing w:before="60" w:after="60"/>
            </w:pPr>
            <w:r/>
            <w:r>
              <w:rPr>
                <w:rFonts w:ascii="Segoe UI" w:hAnsi="Segoe UI"/>
                <w:b/>
                <w:color w:val="101A1E"/>
                <w:sz w:val="17"/>
              </w:rPr>
              <w:t>7</w:t>
            </w:r>
          </w:p>
        </w:tc>
        <w:tc>
          <w:tcPr>
            <w:tcW w:type="dxa" w:w="3744"/>
          </w:tcPr>
          <w:p>
            <w:pPr>
              <w:spacing w:before="60" w:after="60"/>
            </w:pPr>
            <w:r/>
            <w:r>
              <w:rPr>
                <w:rFonts w:ascii="Segoe UI" w:hAnsi="Segoe UI"/>
                <w:b w:val="0"/>
                <w:color w:val="3E4E55"/>
                <w:sz w:val="17"/>
              </w:rPr>
              <w:t>author_designated_event_span</w:t>
            </w:r>
          </w:p>
        </w:tc>
        <w:tc>
          <w:tcPr>
            <w:tcW w:type="dxa" w:w="4392"/>
          </w:tcPr>
          <w:p>
            <w:pPr>
              <w:spacing w:before="60" w:after="60"/>
            </w:pPr>
            <w:r/>
            <w:r>
              <w:rPr>
                <w:rFonts w:ascii="Segoe UI" w:hAnsi="Segoe UI"/>
                <w:b w:val="0"/>
                <w:color w:val="3E4E55"/>
                <w:sz w:val="17"/>
              </w:rPr>
              <w:t>The full EVENT-001 episode (ADR-024)</w:t>
            </w:r>
          </w:p>
        </w:tc>
      </w:tr>
      <w:tr>
        <w:tc>
          <w:tcPr>
            <w:tcW w:type="dxa" w:w="1080"/>
          </w:tcPr>
          <w:p>
            <w:pPr>
              <w:spacing w:before="60" w:after="60"/>
            </w:pPr>
            <w:r/>
            <w:r>
              <w:rPr>
                <w:rFonts w:ascii="Segoe UI" w:hAnsi="Segoe UI"/>
                <w:b/>
                <w:color w:val="101A1E"/>
                <w:sz w:val="17"/>
              </w:rPr>
              <w:t>8</w:t>
            </w:r>
          </w:p>
        </w:tc>
        <w:tc>
          <w:tcPr>
            <w:tcW w:type="dxa" w:w="3744"/>
          </w:tcPr>
          <w:p>
            <w:pPr>
              <w:spacing w:before="60" w:after="60"/>
            </w:pPr>
            <w:r/>
            <w:r>
              <w:rPr>
                <w:rFonts w:ascii="Segoe UI" w:hAnsi="Segoe UI"/>
                <w:b w:val="0"/>
                <w:color w:val="3E4E55"/>
                <w:sz w:val="17"/>
              </w:rPr>
              <w:t>author_designated_artefact</w:t>
            </w:r>
          </w:p>
        </w:tc>
        <w:tc>
          <w:tcPr>
            <w:tcW w:type="dxa" w:w="4392"/>
          </w:tcPr>
          <w:p>
            <w:pPr>
              <w:spacing w:before="60" w:after="60"/>
            </w:pPr>
            <w:r/>
            <w:r>
              <w:rPr>
                <w:rFonts w:ascii="Segoe UI" w:hAnsi="Segoe UI"/>
                <w:b w:val="0"/>
                <w:color w:val="3E4E55"/>
                <w:sz w:val="17"/>
              </w:rPr>
              <w:t>Two named Kelmarsh 6 recalibration episodes (ADR-018)</w:t>
            </w:r>
          </w:p>
        </w:tc>
      </w:tr>
      <w:tr>
        <w:tc>
          <w:tcPr>
            <w:tcW w:type="dxa" w:w="1080"/>
          </w:tcPr>
          <w:p>
            <w:pPr>
              <w:spacing w:before="60" w:after="60"/>
            </w:pPr>
            <w:r/>
            <w:r>
              <w:rPr>
                <w:rFonts w:ascii="Segoe UI" w:hAnsi="Segoe UI"/>
                <w:b/>
                <w:color w:val="101A1E"/>
                <w:sz w:val="17"/>
              </w:rPr>
              <w:t>9</w:t>
            </w:r>
          </w:p>
        </w:tc>
        <w:tc>
          <w:tcPr>
            <w:tcW w:type="dxa" w:w="3744"/>
          </w:tcPr>
          <w:p>
            <w:pPr>
              <w:spacing w:before="60" w:after="60"/>
            </w:pPr>
            <w:r/>
            <w:r>
              <w:rPr>
                <w:rFonts w:ascii="Segoe UI" w:hAnsi="Segoe UI"/>
                <w:b w:val="0"/>
                <w:color w:val="3E4E55"/>
                <w:sz w:val="17"/>
              </w:rPr>
              <w:t>sensor_failure_or_step_change</w:t>
            </w:r>
          </w:p>
        </w:tc>
        <w:tc>
          <w:tcPr>
            <w:tcW w:type="dxa" w:w="4392"/>
          </w:tcPr>
          <w:p>
            <w:pPr>
              <w:spacing w:before="60" w:after="60"/>
            </w:pPr>
            <w:r/>
            <w:r>
              <w:rPr>
                <w:rFonts w:ascii="Segoe UI" w:hAnsi="Segoe UI"/>
                <w:b w:val="0"/>
                <w:color w:val="3E4E55"/>
                <w:sz w:val="17"/>
              </w:rPr>
              <w:t>DISABLED (ADR-018) — detector is reporting-only</w:t>
            </w:r>
          </w:p>
        </w:tc>
      </w:tr>
      <w:tr>
        <w:tc>
          <w:tcPr>
            <w:tcW w:type="dxa" w:w="1080"/>
          </w:tcPr>
          <w:p>
            <w:pPr>
              <w:spacing w:before="60" w:after="60"/>
            </w:pPr>
            <w:r/>
            <w:r>
              <w:rPr>
                <w:rFonts w:ascii="Segoe UI" w:hAnsi="Segoe UI"/>
                <w:b/>
                <w:color w:val="101A1E"/>
                <w:sz w:val="17"/>
              </w:rPr>
              <w:t>10</w:t>
            </w:r>
          </w:p>
        </w:tc>
        <w:tc>
          <w:tcPr>
            <w:tcW w:type="dxa" w:w="3744"/>
          </w:tcPr>
          <w:p>
            <w:pPr>
              <w:spacing w:before="60" w:after="60"/>
            </w:pPr>
            <w:r/>
            <w:r>
              <w:rPr>
                <w:rFonts w:ascii="Segoe UI" w:hAnsi="Segoe UI"/>
                <w:b w:val="0"/>
                <w:color w:val="3E4E55"/>
                <w:sz w:val="17"/>
              </w:rPr>
              <w:t>curtailment</w:t>
            </w:r>
          </w:p>
        </w:tc>
        <w:tc>
          <w:tcPr>
            <w:tcW w:type="dxa" w:w="4392"/>
          </w:tcPr>
          <w:p>
            <w:pPr>
              <w:spacing w:before="60" w:after="60"/>
            </w:pPr>
            <w:r/>
            <w:r>
              <w:rPr>
                <w:rFonts w:ascii="Segoe UI" w:hAnsi="Segoe UI"/>
                <w:b w:val="0"/>
                <w:color w:val="3E4E55"/>
                <w:sz w:val="17"/>
              </w:rPr>
              <w:t>Reserved; not populated</w:t>
            </w:r>
          </w:p>
        </w:tc>
      </w:tr>
      <w:tr>
        <w:tc>
          <w:tcPr>
            <w:tcW w:type="dxa" w:w="1080"/>
          </w:tcPr>
          <w:p>
            <w:pPr>
              <w:spacing w:before="60" w:after="60"/>
            </w:pPr>
            <w:r/>
            <w:r>
              <w:rPr>
                <w:rFonts w:ascii="Segoe UI" w:hAnsi="Segoe UI"/>
                <w:b/>
                <w:color w:val="101A1E"/>
                <w:sz w:val="17"/>
              </w:rPr>
              <w:t>11</w:t>
            </w:r>
          </w:p>
        </w:tc>
        <w:tc>
          <w:tcPr>
            <w:tcW w:type="dxa" w:w="3744"/>
          </w:tcPr>
          <w:p>
            <w:pPr>
              <w:spacing w:before="60" w:after="60"/>
            </w:pPr>
            <w:r/>
            <w:r>
              <w:rPr>
                <w:rFonts w:ascii="Segoe UI" w:hAnsi="Segoe UI"/>
                <w:b w:val="0"/>
                <w:color w:val="3E4E55"/>
                <w:sz w:val="17"/>
              </w:rPr>
              <w:t>below_minimum_active_power</w:t>
            </w:r>
          </w:p>
        </w:tc>
        <w:tc>
          <w:tcPr>
            <w:tcW w:type="dxa" w:w="4392"/>
          </w:tcPr>
          <w:p>
            <w:pPr>
              <w:spacing w:before="60" w:after="60"/>
            </w:pPr>
            <w:r/>
            <w:r>
              <w:rPr>
                <w:rFonts w:ascii="Segoe UI" w:hAnsi="Segoe UI"/>
                <w:b w:val="0"/>
                <w:color w:val="3E4E55"/>
                <w:sz w:val="17"/>
              </w:rPr>
              <w:t>50 kW floor (provisional)</w:t>
            </w:r>
          </w:p>
        </w:tc>
      </w:tr>
    </w:tbl>
    <w:p>
      <w:pPr>
        <w:spacing w:after="40"/>
      </w:pPr>
    </w:p>
    <w:p>
      <w:pPr>
        <w:pStyle w:val="Label"/>
      </w:pPr>
      <w:r>
        <w:rPr>
          <w:b w:val="0"/>
          <w:i w:val="0"/>
        </w:rPr>
        <w:t>Why step-change exclusion is disabled — an instructive failure</w:t>
      </w:r>
    </w:p>
    <w:p>
      <w:r>
        <w:t>In the first real run this rule was the DOMINANT attrition: 337,263 of 847,396 train/validation rows, 39.8%, from 3,187 detections whose parameters had never been reviewed. The evidence review found the detector was not identifying recalibrations at all: 94% of detections coincided with an active-power step of ≥100 kW; positive temperature steps ran 76 → 360 kW (coming to load) and negative steps 313 → 6 kW (going idle); shift retention decayed to 48% at 7 days where a genuine recalibration predicts a stable offset near 100%; and the ≥30 °C subset was WORSE, not better, at 97% load coincidence. The rule was removing normal operating-regime transitions from the healthy set, biasing the model toward steady state and mis-calibrating it during transients — precisely where residuals are read.</w:t>
      </w:r>
    </w:p>
    <w:p>
      <w:pPr>
        <w:pStyle w:val="H1x"/>
      </w:pPr>
      <w:r>
        <w:rPr>
          <w:b w:val="0"/>
          <w:i w:val="0"/>
        </w:rPr>
        <w:t>3.4  Splitting</w:t>
      </w:r>
    </w:p>
    <w:tbl>
      <w:tblPr>
        <w:tblStyle w:val="TableGrid"/>
        <w:tblW w:type="auto" w:w="0"/>
        <w:jc w:val="left"/>
        <w:tblLook w:firstColumn="1" w:firstRow="1" w:lastColumn="0" w:lastRow="0" w:noHBand="0" w:noVBand="1" w:val="04A0"/>
      </w:tblPr>
      <w:tblGrid>
        <w:gridCol w:w="3120"/>
        <w:gridCol w:w="3120"/>
        <w:gridCol w:w="3120"/>
      </w:tblGrid>
      <w:tr>
        <w:tc>
          <w:tcPr>
            <w:tcW w:type="dxa" w:w="1872"/>
            <w:shd w:val="clear" w:color="auto" w:fill="E7EDEF"/>
          </w:tcPr>
          <w:p>
            <w:pPr>
              <w:spacing w:before="60" w:after="60"/>
            </w:pPr>
            <w:r/>
            <w:r>
              <w:rPr>
                <w:rFonts w:ascii="Segoe UI" w:hAnsi="Segoe UI"/>
                <w:b/>
                <w:color w:val="101A1E"/>
                <w:sz w:val="16"/>
              </w:rPr>
              <w:t>Partition</w:t>
            </w:r>
          </w:p>
        </w:tc>
        <w:tc>
          <w:tcPr>
            <w:tcW w:type="dxa" w:w="2592"/>
            <w:shd w:val="clear" w:color="auto" w:fill="E7EDEF"/>
          </w:tcPr>
          <w:p>
            <w:pPr>
              <w:spacing w:before="60" w:after="60"/>
            </w:pPr>
            <w:r/>
            <w:r>
              <w:rPr>
                <w:rFonts w:ascii="Segoe UI" w:hAnsi="Segoe UI"/>
                <w:b/>
                <w:color w:val="101A1E"/>
                <w:sz w:val="16"/>
              </w:rPr>
              <w:t>Boundary</w:t>
            </w:r>
          </w:p>
        </w:tc>
        <w:tc>
          <w:tcPr>
            <w:tcW w:type="dxa" w:w="4896"/>
            <w:shd w:val="clear" w:color="auto" w:fill="E7EDEF"/>
          </w:tcPr>
          <w:p>
            <w:pPr>
              <w:spacing w:before="60" w:after="60"/>
            </w:pPr>
            <w:r/>
            <w:r>
              <w:rPr>
                <w:rFonts w:ascii="Segoe UI" w:hAnsi="Segoe UI"/>
                <w:b/>
                <w:color w:val="101A1E"/>
                <w:sz w:val="16"/>
              </w:rPr>
              <w:t>Content</w:t>
            </w:r>
          </w:p>
        </w:tc>
      </w:tr>
      <w:tr>
        <w:tc>
          <w:tcPr>
            <w:tcW w:type="dxa" w:w="1872"/>
          </w:tcPr>
          <w:p>
            <w:pPr>
              <w:spacing w:before="60" w:after="60"/>
            </w:pPr>
            <w:r/>
            <w:r>
              <w:rPr>
                <w:rFonts w:ascii="Segoe UI" w:hAnsi="Segoe UI"/>
                <w:b/>
                <w:color w:val="101A1E"/>
                <w:sz w:val="17"/>
              </w:rPr>
              <w:t>TRAIN</w:t>
            </w:r>
          </w:p>
        </w:tc>
        <w:tc>
          <w:tcPr>
            <w:tcW w:type="dxa" w:w="2592"/>
          </w:tcPr>
          <w:p>
            <w:pPr>
              <w:spacing w:before="60" w:after="60"/>
            </w:pPr>
            <w:r/>
            <w:r>
              <w:rPr>
                <w:rFonts w:ascii="Segoe UI" w:hAnsi="Segoe UI"/>
                <w:b w:val="0"/>
                <w:color w:val="3E4E55"/>
                <w:sz w:val="17"/>
              </w:rPr>
              <w:t>&lt; 2018-07-01</w:t>
            </w:r>
          </w:p>
        </w:tc>
        <w:tc>
          <w:tcPr>
            <w:tcW w:type="dxa" w:w="4896"/>
          </w:tcPr>
          <w:p>
            <w:pPr>
              <w:spacing w:before="60" w:after="60"/>
            </w:pPr>
            <w:r/>
            <w:r>
              <w:rPr>
                <w:rFonts w:ascii="Segoe UI" w:hAnsi="Segoe UI"/>
                <w:b w:val="0"/>
                <w:color w:val="3E4E55"/>
                <w:sz w:val="17"/>
              </w:rPr>
              <w:t>Healthy-state filtered</w:t>
            </w:r>
          </w:p>
        </w:tc>
      </w:tr>
      <w:tr>
        <w:tc>
          <w:tcPr>
            <w:tcW w:type="dxa" w:w="1872"/>
          </w:tcPr>
          <w:p>
            <w:pPr>
              <w:spacing w:before="60" w:after="60"/>
            </w:pPr>
            <w:r/>
            <w:r>
              <w:rPr>
                <w:rFonts w:ascii="Segoe UI" w:hAnsi="Segoe UI"/>
                <w:b/>
                <w:color w:val="101A1E"/>
                <w:sz w:val="17"/>
              </w:rPr>
              <w:t>VALIDATION</w:t>
            </w:r>
          </w:p>
        </w:tc>
        <w:tc>
          <w:tcPr>
            <w:tcW w:type="dxa" w:w="2592"/>
          </w:tcPr>
          <w:p>
            <w:pPr>
              <w:spacing w:before="60" w:after="60"/>
            </w:pPr>
            <w:r/>
            <w:r>
              <w:rPr>
                <w:rFonts w:ascii="Segoe UI" w:hAnsi="Segoe UI"/>
                <w:b w:val="0"/>
                <w:color w:val="3E4E55"/>
                <w:sz w:val="17"/>
              </w:rPr>
              <w:t>2018-07-01 → 2019-02-01</w:t>
            </w:r>
          </w:p>
        </w:tc>
        <w:tc>
          <w:tcPr>
            <w:tcW w:type="dxa" w:w="4896"/>
          </w:tcPr>
          <w:p>
            <w:pPr>
              <w:spacing w:before="60" w:after="60"/>
            </w:pPr>
            <w:r/>
            <w:r>
              <w:rPr>
                <w:rFonts w:ascii="Segoe UI" w:hAnsi="Segoe UI"/>
                <w:b w:val="0"/>
                <w:color w:val="3E4E55"/>
                <w:sz w:val="17"/>
              </w:rPr>
              <w:t>Healthy-state filtered; threshold calibration and in-control characterisation ONLY (ADR-030)</w:t>
            </w:r>
          </w:p>
        </w:tc>
      </w:tr>
      <w:tr>
        <w:tc>
          <w:tcPr>
            <w:tcW w:type="dxa" w:w="1872"/>
          </w:tcPr>
          <w:p>
            <w:pPr>
              <w:spacing w:before="60" w:after="60"/>
            </w:pPr>
            <w:r/>
            <w:r>
              <w:rPr>
                <w:rFonts w:ascii="Segoe UI" w:hAnsi="Segoe UI"/>
                <w:b/>
                <w:color w:val="101A1E"/>
                <w:sz w:val="17"/>
              </w:rPr>
              <w:t>TEST / monitoring</w:t>
            </w:r>
          </w:p>
        </w:tc>
        <w:tc>
          <w:tcPr>
            <w:tcW w:type="dxa" w:w="2592"/>
          </w:tcPr>
          <w:p>
            <w:pPr>
              <w:spacing w:before="60" w:after="60"/>
            </w:pPr>
            <w:r/>
            <w:r>
              <w:rPr>
                <w:rFonts w:ascii="Segoe UI" w:hAnsi="Segoe UI"/>
                <w:b w:val="0"/>
                <w:color w:val="3E4E55"/>
                <w:sz w:val="17"/>
              </w:rPr>
              <w:t>≥ 2019-02-01</w:t>
            </w:r>
          </w:p>
        </w:tc>
        <w:tc>
          <w:tcPr>
            <w:tcW w:type="dxa" w:w="4896"/>
          </w:tcPr>
          <w:p>
            <w:pPr>
              <w:spacing w:before="60" w:after="60"/>
            </w:pPr>
            <w:r/>
            <w:r>
              <w:rPr>
                <w:rFonts w:ascii="Segoe UI" w:hAnsi="Segoe UI"/>
                <w:b w:val="0"/>
                <w:color w:val="3E4E55"/>
                <w:sz w:val="17"/>
              </w:rPr>
              <w:t>UNFILTERED — anomalous rows are the monitored signal</w:t>
            </w:r>
          </w:p>
        </w:tc>
      </w:tr>
    </w:tbl>
    <w:p>
      <w:pPr>
        <w:spacing w:after="40"/>
      </w:pPr>
    </w:p>
    <w:p>
      <w:r>
        <w:t>Random shuffled splits are prohibited and the prohibition is enforced: the split-policy guard raises on a random strategy for any thesis-flagged run, before any file is opened. The default 70/15/15 fractions were recorded as INFEASIBLE for this dataset — the 70% boundary lands in late 2019 and would place the single labelled event in training. Explicit dates are required, not merely preferred.</w:t>
      </w:r>
    </w:p>
    <w:p>
      <w:pPr>
        <w:pStyle w:val="H1x"/>
      </w:pPr>
      <w:r>
        <w:rPr>
          <w:b w:val="0"/>
          <w:i w:val="0"/>
        </w:rPr>
        <w:t>3.5  What is deliberately NOT done, and why</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E7EDEF"/>
          </w:tcPr>
          <w:p>
            <w:pPr>
              <w:spacing w:before="60" w:after="60"/>
            </w:pPr>
            <w:r/>
            <w:r>
              <w:rPr>
                <w:rFonts w:ascii="Segoe UI" w:hAnsi="Segoe UI"/>
                <w:b/>
                <w:color w:val="101A1E"/>
                <w:sz w:val="16"/>
              </w:rPr>
              <w:t>Step</w:t>
            </w:r>
          </w:p>
        </w:tc>
        <w:tc>
          <w:tcPr>
            <w:tcW w:type="dxa" w:w="1440"/>
            <w:shd w:val="clear" w:color="auto" w:fill="E7EDEF"/>
          </w:tcPr>
          <w:p>
            <w:pPr>
              <w:spacing w:before="60" w:after="60"/>
            </w:pPr>
            <w:r/>
            <w:r>
              <w:rPr>
                <w:rFonts w:ascii="Segoe UI" w:hAnsi="Segoe UI"/>
                <w:b/>
                <w:color w:val="101A1E"/>
                <w:sz w:val="16"/>
              </w:rPr>
              <w:t>Status</w:t>
            </w:r>
          </w:p>
        </w:tc>
        <w:tc>
          <w:tcPr>
            <w:tcW w:type="dxa" w:w="5328"/>
            <w:shd w:val="clear" w:color="auto" w:fill="E7EDEF"/>
          </w:tcPr>
          <w:p>
            <w:pPr>
              <w:spacing w:before="60" w:after="60"/>
            </w:pPr>
            <w:r/>
            <w:r>
              <w:rPr>
                <w:rFonts w:ascii="Segoe UI" w:hAnsi="Segoe UI"/>
                <w:b/>
                <w:color w:val="101A1E"/>
                <w:sz w:val="16"/>
              </w:rPr>
              <w:t>Reason</w:t>
            </w:r>
          </w:p>
        </w:tc>
      </w:tr>
      <w:tr>
        <w:tc>
          <w:tcPr>
            <w:tcW w:type="dxa" w:w="2448"/>
          </w:tcPr>
          <w:p>
            <w:pPr>
              <w:spacing w:before="60" w:after="60"/>
            </w:pPr>
            <w:r/>
            <w:r>
              <w:rPr>
                <w:rFonts w:ascii="Segoe UI" w:hAnsi="Segoe UI"/>
                <w:b/>
                <w:color w:val="101A1E"/>
                <w:sz w:val="17"/>
              </w:rPr>
              <w:t>Missing-value imputation</w:t>
            </w:r>
          </w:p>
        </w:tc>
        <w:tc>
          <w:tcPr>
            <w:tcW w:type="dxa" w:w="1440"/>
          </w:tcPr>
          <w:p>
            <w:pPr>
              <w:spacing w:before="60" w:after="60"/>
            </w:pPr>
            <w:r/>
            <w:r>
              <w:rPr>
                <w:rFonts w:ascii="Segoe UI" w:hAnsi="Segoe UI"/>
                <w:b w:val="0"/>
                <w:color w:val="3E4E55"/>
                <w:sz w:val="17"/>
              </w:rPr>
              <w:t>NOT DONE</w:t>
            </w:r>
          </w:p>
        </w:tc>
        <w:tc>
          <w:tcPr>
            <w:tcW w:type="dxa" w:w="5328"/>
          </w:tcPr>
          <w:p>
            <w:pPr>
              <w:spacing w:before="60" w:after="60"/>
            </w:pPr>
            <w:r/>
            <w:r>
              <w:rPr>
                <w:rFonts w:ascii="Segoe UI" w:hAnsi="Segoe UI"/>
                <w:b w:val="0"/>
                <w:color w:val="3E4E55"/>
                <w:sz w:val="17"/>
              </w:rPr>
              <w:t>An interpolated predictor is a fabricated model input; an interpolated target is a fabricated residual. Rows are dropped, fully audited</w:t>
            </w:r>
          </w:p>
        </w:tc>
      </w:tr>
      <w:tr>
        <w:tc>
          <w:tcPr>
            <w:tcW w:type="dxa" w:w="2448"/>
          </w:tcPr>
          <w:p>
            <w:pPr>
              <w:spacing w:before="60" w:after="60"/>
            </w:pPr>
            <w:r/>
            <w:r>
              <w:rPr>
                <w:rFonts w:ascii="Segoe UI" w:hAnsi="Segoe UI"/>
                <w:b/>
                <w:color w:val="101A1E"/>
                <w:sz w:val="17"/>
              </w:rPr>
              <w:t>Statistical outlier removal (IQR, z-score)</w:t>
            </w:r>
          </w:p>
        </w:tc>
        <w:tc>
          <w:tcPr>
            <w:tcW w:type="dxa" w:w="1440"/>
          </w:tcPr>
          <w:p>
            <w:pPr>
              <w:spacing w:before="60" w:after="60"/>
            </w:pPr>
            <w:r/>
            <w:r>
              <w:rPr>
                <w:rFonts w:ascii="Segoe UI" w:hAnsi="Segoe UI"/>
                <w:b w:val="0"/>
                <w:color w:val="3E4E55"/>
                <w:sz w:val="17"/>
              </w:rPr>
              <w:t>NOT DONE</w:t>
            </w:r>
          </w:p>
        </w:tc>
        <w:tc>
          <w:tcPr>
            <w:tcW w:type="dxa" w:w="5328"/>
          </w:tcPr>
          <w:p>
            <w:pPr>
              <w:spacing w:before="60" w:after="60"/>
            </w:pPr>
            <w:r/>
            <w:r>
              <w:rPr>
                <w:rFonts w:ascii="Segoe UI" w:hAnsi="Segoe UI"/>
                <w:b w:val="0"/>
                <w:color w:val="3E4E55"/>
                <w:sz w:val="17"/>
              </w:rPr>
              <w:t>On condition-monitoring data this deletes the excursions the system exists to detect. Even confined to training it narrows the healthy envelope and inflates monitoring residuals — better metrics for the wrong reason</w:t>
            </w:r>
          </w:p>
        </w:tc>
      </w:tr>
      <w:tr>
        <w:tc>
          <w:tcPr>
            <w:tcW w:type="dxa" w:w="2448"/>
          </w:tcPr>
          <w:p>
            <w:pPr>
              <w:spacing w:before="60" w:after="60"/>
            </w:pPr>
            <w:r/>
            <w:r>
              <w:rPr>
                <w:rFonts w:ascii="Segoe UI" w:hAnsi="Segoe UI"/>
                <w:b/>
                <w:color w:val="101A1E"/>
                <w:sz w:val="17"/>
              </w:rPr>
              <w:t>Input scaling for the tree model</w:t>
            </w:r>
          </w:p>
        </w:tc>
        <w:tc>
          <w:tcPr>
            <w:tcW w:type="dxa" w:w="1440"/>
          </w:tcPr>
          <w:p>
            <w:pPr>
              <w:spacing w:before="60" w:after="60"/>
            </w:pPr>
            <w:r/>
            <w:r>
              <w:rPr>
                <w:rFonts w:ascii="Segoe UI" w:hAnsi="Segoe UI"/>
                <w:b w:val="0"/>
                <w:color w:val="3E4E55"/>
                <w:sz w:val="17"/>
              </w:rPr>
              <w:t>NOT DONE</w:t>
            </w:r>
          </w:p>
        </w:tc>
        <w:tc>
          <w:tcPr>
            <w:tcW w:type="dxa" w:w="5328"/>
          </w:tcPr>
          <w:p>
            <w:pPr>
              <w:spacing w:before="60" w:after="60"/>
            </w:pPr>
            <w:r/>
            <w:r>
              <w:rPr>
                <w:rFonts w:ascii="Segoe UI" w:hAnsi="Segoe UI"/>
                <w:b w:val="0"/>
                <w:color w:val="3E4E55"/>
                <w:sz w:val="17"/>
              </w:rPr>
              <w:t>Gradient-boosted trees are scale-invariant; a fitted transform with no benefit is a leakage surface for nothing</w:t>
            </w:r>
          </w:p>
        </w:tc>
      </w:tr>
      <w:tr>
        <w:tc>
          <w:tcPr>
            <w:tcW w:type="dxa" w:w="2448"/>
          </w:tcPr>
          <w:p>
            <w:pPr>
              <w:spacing w:before="60" w:after="60"/>
            </w:pPr>
            <w:r/>
            <w:r>
              <w:rPr>
                <w:rFonts w:ascii="Segoe UI" w:hAnsi="Segoe UI"/>
                <w:b/>
                <w:color w:val="101A1E"/>
                <w:sz w:val="17"/>
              </w:rPr>
              <w:t>Dimensionality reduction (PCA)</w:t>
            </w:r>
          </w:p>
        </w:tc>
        <w:tc>
          <w:tcPr>
            <w:tcW w:type="dxa" w:w="1440"/>
          </w:tcPr>
          <w:p>
            <w:pPr>
              <w:spacing w:before="60" w:after="60"/>
            </w:pPr>
            <w:r/>
            <w:r>
              <w:rPr>
                <w:rFonts w:ascii="Segoe UI" w:hAnsi="Segoe UI"/>
                <w:b w:val="0"/>
                <w:color w:val="3E4E55"/>
                <w:sz w:val="17"/>
              </w:rPr>
              <w:t>NOT DONE</w:t>
            </w:r>
          </w:p>
        </w:tc>
        <w:tc>
          <w:tcPr>
            <w:tcW w:type="dxa" w:w="5328"/>
          </w:tcPr>
          <w:p>
            <w:pPr>
              <w:spacing w:before="60" w:after="60"/>
            </w:pPr>
            <w:r/>
            <w:r>
              <w:rPr>
                <w:rFonts w:ascii="Segoe UI" w:hAnsi="Segoe UI"/>
                <w:b w:val="0"/>
                <w:color w:val="3E4E55"/>
                <w:sz w:val="17"/>
              </w:rPr>
              <w:t>Seven physically-named predictors. PCA would destroy the causal interpretability the guards and the interpretation layer both require</w:t>
            </w:r>
          </w:p>
        </w:tc>
      </w:tr>
      <w:tr>
        <w:tc>
          <w:tcPr>
            <w:tcW w:type="dxa" w:w="2448"/>
          </w:tcPr>
          <w:p>
            <w:pPr>
              <w:spacing w:before="60" w:after="60"/>
            </w:pPr>
            <w:r/>
            <w:r>
              <w:rPr>
                <w:rFonts w:ascii="Segoe UI" w:hAnsi="Segoe UI"/>
                <w:b/>
                <w:color w:val="101A1E"/>
                <w:sz w:val="17"/>
              </w:rPr>
              <w:t>Class balancing, resampling, augmentation</w:t>
            </w:r>
          </w:p>
        </w:tc>
        <w:tc>
          <w:tcPr>
            <w:tcW w:type="dxa" w:w="1440"/>
          </w:tcPr>
          <w:p>
            <w:pPr>
              <w:spacing w:before="60" w:after="60"/>
            </w:pPr>
            <w:r/>
            <w:r>
              <w:rPr>
                <w:rFonts w:ascii="Segoe UI" w:hAnsi="Segoe UI"/>
                <w:b w:val="0"/>
                <w:color w:val="3E4E55"/>
                <w:sz w:val="17"/>
              </w:rPr>
              <w:t>NOT APPLICABLE</w:t>
            </w:r>
          </w:p>
        </w:tc>
        <w:tc>
          <w:tcPr>
            <w:tcW w:type="dxa" w:w="5328"/>
          </w:tcPr>
          <w:p>
            <w:pPr>
              <w:spacing w:before="60" w:after="60"/>
            </w:pPr>
            <w:r/>
            <w:r>
              <w:rPr>
                <w:rFonts w:ascii="Segoe UI" w:hAnsi="Segoe UI"/>
                <w:b w:val="0"/>
                <w:color w:val="3E4E55"/>
                <w:sz w:val="17"/>
              </w:rPr>
              <w:t>Regression on healthy data; no classes exist. Resampling would break the temporal structure the blocked bootstrap relies on</w:t>
            </w:r>
          </w:p>
        </w:tc>
      </w:tr>
      <w:tr>
        <w:tc>
          <w:tcPr>
            <w:tcW w:type="dxa" w:w="2448"/>
          </w:tcPr>
          <w:p>
            <w:pPr>
              <w:spacing w:before="60" w:after="60"/>
            </w:pPr>
            <w:r/>
            <w:r>
              <w:rPr>
                <w:rFonts w:ascii="Segoe UI" w:hAnsi="Segoe UI"/>
                <w:b/>
                <w:color w:val="101A1E"/>
                <w:sz w:val="17"/>
              </w:rPr>
              <w:t>Component temperatures as model inputs</w:t>
            </w:r>
          </w:p>
        </w:tc>
        <w:tc>
          <w:tcPr>
            <w:tcW w:type="dxa" w:w="1440"/>
          </w:tcPr>
          <w:p>
            <w:pPr>
              <w:spacing w:before="60" w:after="60"/>
            </w:pPr>
            <w:r/>
            <w:r>
              <w:rPr>
                <w:rFonts w:ascii="Segoe UI" w:hAnsi="Segoe UI"/>
                <w:b w:val="0"/>
                <w:color w:val="3E4E55"/>
                <w:sz w:val="17"/>
              </w:rPr>
              <w:t>PROHIBITED</w:t>
            </w:r>
          </w:p>
        </w:tc>
        <w:tc>
          <w:tcPr>
            <w:tcW w:type="dxa" w:w="5328"/>
          </w:tcPr>
          <w:p>
            <w:pPr>
              <w:spacing w:before="60" w:after="60"/>
            </w:pPr>
            <w:r/>
            <w:r>
              <w:rPr>
                <w:rFonts w:ascii="Segoe UI" w:hAnsi="Segoe UI"/>
                <w:b w:val="0"/>
                <w:color w:val="3E4E55"/>
                <w:sz w:val="17"/>
              </w:rPr>
              <w:t>Structurally blocked by Guard 8 — see §3.7</w:t>
            </w:r>
          </w:p>
        </w:tc>
      </w:tr>
    </w:tbl>
    <w:p>
      <w:pPr>
        <w:spacing w:after="40"/>
      </w:pPr>
    </w:p>
    <w:p>
      <w:pPr>
        <w:pStyle w:val="H1x"/>
      </w:pPr>
      <w:r>
        <w:rPr>
          <w:b w:val="0"/>
          <w:i w:val="0"/>
        </w:rPr>
        <w:t>3.6  Literature backing, step by step</w:t>
      </w:r>
    </w:p>
    <w:p>
      <w:r>
        <w:t xml:space="preserve">Six papers were retrieved and read in full text; entries marked </w:t>
      </w:r>
      <w:r>
        <w:rPr>
          <w:i/>
        </w:rPr>
        <w:t>secondary</w:t>
      </w:r>
      <w:r>
        <w:t xml:space="preserve"> were reachable only by abstract or index record and should be verified before citation.</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E7EDEF"/>
          </w:tcPr>
          <w:p>
            <w:pPr>
              <w:spacing w:before="60" w:after="60"/>
            </w:pPr>
            <w:r/>
            <w:r>
              <w:rPr>
                <w:rFonts w:ascii="Segoe UI" w:hAnsi="Segoe UI"/>
                <w:b/>
                <w:color w:val="101A1E"/>
                <w:sz w:val="16"/>
              </w:rPr>
              <w:t>Preprocessing choice</w:t>
            </w:r>
          </w:p>
        </w:tc>
        <w:tc>
          <w:tcPr>
            <w:tcW w:type="dxa" w:w="2664"/>
            <w:shd w:val="clear" w:color="auto" w:fill="E7EDEF"/>
          </w:tcPr>
          <w:p>
            <w:pPr>
              <w:spacing w:before="60" w:after="60"/>
            </w:pPr>
            <w:r/>
            <w:r>
              <w:rPr>
                <w:rFonts w:ascii="Segoe UI" w:hAnsi="Segoe UI"/>
                <w:b/>
                <w:color w:val="101A1E"/>
                <w:sz w:val="16"/>
              </w:rPr>
              <w:t>Backed by</w:t>
            </w:r>
          </w:p>
        </w:tc>
        <w:tc>
          <w:tcPr>
            <w:tcW w:type="dxa" w:w="4104"/>
            <w:shd w:val="clear" w:color="auto" w:fill="E7EDEF"/>
          </w:tcPr>
          <w:p>
            <w:pPr>
              <w:spacing w:before="60" w:after="60"/>
            </w:pPr>
            <w:r/>
            <w:r>
              <w:rPr>
                <w:rFonts w:ascii="Segoe UI" w:hAnsi="Segoe UI"/>
                <w:b/>
                <w:color w:val="101A1E"/>
                <w:sz w:val="16"/>
              </w:rPr>
              <w:t>Relationship to the literature</w:t>
            </w:r>
          </w:p>
        </w:tc>
      </w:tr>
      <w:tr>
        <w:tc>
          <w:tcPr>
            <w:tcW w:type="dxa" w:w="2448"/>
          </w:tcPr>
          <w:p>
            <w:pPr>
              <w:spacing w:before="60" w:after="60"/>
            </w:pPr>
            <w:r/>
            <w:r>
              <w:rPr>
                <w:rFonts w:ascii="Segoe UI" w:hAnsi="Segoe UI"/>
                <w:b/>
                <w:color w:val="101A1E"/>
                <w:sz w:val="17"/>
              </w:rPr>
              <w:t>Healthy-only training with documented exclusion windows</w:t>
            </w:r>
          </w:p>
        </w:tc>
        <w:tc>
          <w:tcPr>
            <w:tcW w:type="dxa" w:w="2664"/>
          </w:tcPr>
          <w:p>
            <w:pPr>
              <w:spacing w:before="60" w:after="60"/>
            </w:pPr>
            <w:r/>
            <w:r>
              <w:rPr>
                <w:rFonts w:ascii="Segoe UI" w:hAnsi="Segoe UI"/>
                <w:b w:val="0"/>
                <w:color w:val="3E4E55"/>
                <w:sz w:val="17"/>
              </w:rPr>
              <w:t>Chesterman et al., Wind Energy Science 8(6):893, 2023</w:t>
            </w:r>
          </w:p>
        </w:tc>
        <w:tc>
          <w:tcPr>
            <w:tcW w:type="dxa" w:w="4104"/>
          </w:tcPr>
          <w:p>
            <w:pPr>
              <w:spacing w:before="60" w:after="60"/>
            </w:pPr>
            <w:r/>
            <w:r>
              <w:rPr>
                <w:rFonts w:ascii="Segoe UI" w:hAnsi="Segoe UI"/>
                <w:b w:val="0"/>
                <w:color w:val="3E4E55"/>
                <w:sz w:val="17"/>
              </w:rPr>
              <w:t>REPLICATED. They exclude 4 months before and 1 month after failure events; ours is finer-grained and swept for sensitivity</w:t>
            </w:r>
          </w:p>
        </w:tc>
      </w:tr>
      <w:tr>
        <w:tc>
          <w:tcPr>
            <w:tcW w:type="dxa" w:w="2448"/>
          </w:tcPr>
          <w:p>
            <w:pPr>
              <w:spacing w:before="60" w:after="60"/>
            </w:pPr>
            <w:r/>
            <w:r>
              <w:rPr>
                <w:rFonts w:ascii="Segoe UI" w:hAnsi="Segoe UI"/>
                <w:b/>
                <w:color w:val="101A1E"/>
                <w:sz w:val="17"/>
              </w:rPr>
              <w:t>Chronological splitting, no shuffling</w:t>
            </w:r>
          </w:p>
        </w:tc>
        <w:tc>
          <w:tcPr>
            <w:tcW w:type="dxa" w:w="2664"/>
          </w:tcPr>
          <w:p>
            <w:pPr>
              <w:spacing w:before="60" w:after="60"/>
            </w:pPr>
            <w:r/>
            <w:r>
              <w:rPr>
                <w:rFonts w:ascii="Segoe UI" w:hAnsi="Segoe UI"/>
                <w:b w:val="0"/>
                <w:color w:val="3E4E55"/>
                <w:sz w:val="17"/>
              </w:rPr>
              <w:t>Fiocchi, Ladopoulou &amp; Dellaportas, arXiv:2404.16496 (the only confirmed paper on this exact dataset)</w:t>
            </w:r>
          </w:p>
        </w:tc>
        <w:tc>
          <w:tcPr>
            <w:tcW w:type="dxa" w:w="4104"/>
          </w:tcPr>
          <w:p>
            <w:pPr>
              <w:spacing w:before="60" w:after="60"/>
            </w:pPr>
            <w:r/>
            <w:r>
              <w:rPr>
                <w:rFonts w:ascii="Segoe UI" w:hAnsi="Segoe UI"/>
                <w:b w:val="0"/>
                <w:color w:val="3E4E55"/>
                <w:sz w:val="17"/>
              </w:rPr>
              <w:t>DIVERGED, deliberately. They split chronologically 80/20 but SHUFFLE the training set before selecting validation. On an autocorrelated 10-minute series that places near-duplicate neighbours on both sides of the selection boundary. Ours is the stricter protocol</w:t>
            </w:r>
          </w:p>
        </w:tc>
      </w:tr>
      <w:tr>
        <w:tc>
          <w:tcPr>
            <w:tcW w:type="dxa" w:w="2448"/>
          </w:tcPr>
          <w:p>
            <w:pPr>
              <w:spacing w:before="60" w:after="60"/>
            </w:pPr>
            <w:r/>
            <w:r>
              <w:rPr>
                <w:rFonts w:ascii="Segoe UI" w:hAnsi="Segoe UI"/>
                <w:b/>
                <w:color w:val="101A1E"/>
                <w:sz w:val="17"/>
              </w:rPr>
              <w:t>Physically-impossible bounds only, no statistical outlier removal</w:t>
            </w:r>
          </w:p>
        </w:tc>
        <w:tc>
          <w:tcPr>
            <w:tcW w:type="dxa" w:w="2664"/>
          </w:tcPr>
          <w:p>
            <w:pPr>
              <w:spacing w:before="60" w:after="60"/>
            </w:pPr>
            <w:r/>
            <w:r>
              <w:rPr>
                <w:rFonts w:ascii="Segoe UI" w:hAnsi="Segoe UI"/>
                <w:b w:val="0"/>
                <w:color w:val="3E4E55"/>
                <w:sz w:val="17"/>
              </w:rPr>
              <w:t>Nogueira, Melani &amp; de Souza, Sensors 25(14):4499, 2025</w:t>
            </w:r>
          </w:p>
        </w:tc>
        <w:tc>
          <w:tcPr>
            <w:tcW w:type="dxa" w:w="4104"/>
          </w:tcPr>
          <w:p>
            <w:pPr>
              <w:spacing w:before="60" w:after="60"/>
            </w:pPr>
            <w:r/>
            <w:r>
              <w:rPr>
                <w:rFonts w:ascii="Segoe UI" w:hAnsi="Segoe UI"/>
                <w:b w:val="0"/>
                <w:color w:val="3E4E55"/>
                <w:sz w:val="17"/>
              </w:rPr>
              <w:t>DISCARDED. They apply IQR removal on normal-operation data. Rejected here: it would improve healthy RMSE and inflate monitoring residuals simultaneously</w:t>
            </w:r>
          </w:p>
        </w:tc>
      </w:tr>
      <w:tr>
        <w:tc>
          <w:tcPr>
            <w:tcW w:type="dxa" w:w="2448"/>
          </w:tcPr>
          <w:p>
            <w:pPr>
              <w:spacing w:before="60" w:after="60"/>
            </w:pPr>
            <w:r/>
            <w:r>
              <w:rPr>
                <w:rFonts w:ascii="Segoe UI" w:hAnsi="Segoe UI"/>
                <w:b/>
                <w:color w:val="101A1E"/>
                <w:sz w:val="17"/>
              </w:rPr>
              <w:t>No imputation</w:t>
            </w:r>
          </w:p>
        </w:tc>
        <w:tc>
          <w:tcPr>
            <w:tcW w:type="dxa" w:w="2664"/>
          </w:tcPr>
          <w:p>
            <w:pPr>
              <w:spacing w:before="60" w:after="60"/>
            </w:pPr>
            <w:r/>
            <w:r>
              <w:rPr>
                <w:rFonts w:ascii="Segoe UI" w:hAnsi="Segoe UI"/>
                <w:b w:val="0"/>
                <w:color w:val="3E4E55"/>
                <w:sz w:val="17"/>
              </w:rPr>
              <w:t>Chesterman et al. 2023; Nogueira et al. 2025</w:t>
            </w:r>
          </w:p>
        </w:tc>
        <w:tc>
          <w:tcPr>
            <w:tcW w:type="dxa" w:w="4104"/>
          </w:tcPr>
          <w:p>
            <w:pPr>
              <w:spacing w:before="60" w:after="60"/>
            </w:pPr>
            <w:r/>
            <w:r>
              <w:rPr>
                <w:rFonts w:ascii="Segoe UI" w:hAnsi="Segoe UI"/>
                <w:b w:val="0"/>
                <w:color w:val="3E4E55"/>
                <w:sz w:val="17"/>
              </w:rPr>
              <w:t>DISCARDED. Both interpolate. Rejected because interpolation fabricates model inputs and residuals, and hides the dropouts a condition-monitoring system must see</w:t>
            </w:r>
          </w:p>
        </w:tc>
      </w:tr>
      <w:tr>
        <w:tc>
          <w:tcPr>
            <w:tcW w:type="dxa" w:w="2448"/>
          </w:tcPr>
          <w:p>
            <w:pPr>
              <w:spacing w:before="60" w:after="60"/>
            </w:pPr>
            <w:r/>
            <w:r>
              <w:rPr>
                <w:rFonts w:ascii="Segoe UI" w:hAnsi="Segoe UI"/>
                <w:b/>
                <w:color w:val="101A1E"/>
                <w:sz w:val="17"/>
              </w:rPr>
              <w:t>Native 10-minute resolution</w:t>
            </w:r>
          </w:p>
        </w:tc>
        <w:tc>
          <w:tcPr>
            <w:tcW w:type="dxa" w:w="2664"/>
          </w:tcPr>
          <w:p>
            <w:pPr>
              <w:spacing w:before="60" w:after="60"/>
            </w:pPr>
            <w:r/>
            <w:r>
              <w:rPr>
                <w:rFonts w:ascii="Segoe UI" w:hAnsi="Segoe UI"/>
                <w:b w:val="0"/>
                <w:color w:val="3E4E55"/>
                <w:sz w:val="17"/>
              </w:rPr>
              <w:t>Chesterman et al. 2023</w:t>
            </w:r>
          </w:p>
        </w:tc>
        <w:tc>
          <w:tcPr>
            <w:tcW w:type="dxa" w:w="4104"/>
          </w:tcPr>
          <w:p>
            <w:pPr>
              <w:spacing w:before="60" w:after="60"/>
            </w:pPr>
            <w:r/>
            <w:r>
              <w:rPr>
                <w:rFonts w:ascii="Segoe UI" w:hAnsi="Segoe UI"/>
                <w:b w:val="0"/>
                <w:color w:val="3E4E55"/>
                <w:sz w:val="17"/>
              </w:rPr>
              <w:t>DISCARDED. They aggregate hourly to reduce noise; our event matching, persistence logic and lead-time quantisation are all defined on the 10-minute grid, and we train on 26 months rather than their ~6</w:t>
            </w:r>
          </w:p>
        </w:tc>
      </w:tr>
      <w:tr>
        <w:tc>
          <w:tcPr>
            <w:tcW w:type="dxa" w:w="2448"/>
          </w:tcPr>
          <w:p>
            <w:pPr>
              <w:spacing w:before="60" w:after="60"/>
            </w:pPr>
            <w:r/>
            <w:r>
              <w:rPr>
                <w:rFonts w:ascii="Segoe UI" w:hAnsi="Segoe UI"/>
                <w:b/>
                <w:color w:val="101A1E"/>
                <w:sz w:val="17"/>
              </w:rPr>
              <w:t>Fleet-relative residuals (ablation arm)</w:t>
            </w:r>
          </w:p>
        </w:tc>
        <w:tc>
          <w:tcPr>
            <w:tcW w:type="dxa" w:w="2664"/>
          </w:tcPr>
          <w:p>
            <w:pPr>
              <w:spacing w:before="60" w:after="60"/>
            </w:pPr>
            <w:r/>
            <w:r>
              <w:rPr>
                <w:rFonts w:ascii="Segoe UI" w:hAnsi="Segoe UI"/>
                <w:b w:val="0"/>
                <w:color w:val="3E4E55"/>
                <w:sz w:val="17"/>
              </w:rPr>
              <w:t>Chesterman et al. 2023</w:t>
            </w:r>
          </w:p>
        </w:tc>
        <w:tc>
          <w:tcPr>
            <w:tcW w:type="dxa" w:w="4104"/>
          </w:tcPr>
          <w:p>
            <w:pPr>
              <w:spacing w:before="60" w:after="60"/>
            </w:pPr>
            <w:r/>
            <w:r>
              <w:rPr>
                <w:rFonts w:ascii="Segoe UI" w:hAnsi="Segoe UI"/>
                <w:b w:val="0"/>
                <w:color w:val="3E4E55"/>
                <w:sz w:val="17"/>
              </w:rPr>
              <w:t>ADAPTED. They subtract the fleet median from raw signals BEFORE modelling; we apply it to residuals AFTER, as a registered ablation arm with leave-one-out medians</w:t>
            </w:r>
          </w:p>
        </w:tc>
      </w:tr>
      <w:tr>
        <w:tc>
          <w:tcPr>
            <w:tcW w:type="dxa" w:w="2448"/>
          </w:tcPr>
          <w:p>
            <w:pPr>
              <w:spacing w:before="60" w:after="60"/>
            </w:pPr>
            <w:r/>
            <w:r>
              <w:rPr>
                <w:rFonts w:ascii="Segoe UI" w:hAnsi="Segoe UI"/>
                <w:b/>
                <w:color w:val="101A1E"/>
                <w:sz w:val="17"/>
              </w:rPr>
              <w:t>Event-level false-alarm accounting</w:t>
            </w:r>
          </w:p>
        </w:tc>
        <w:tc>
          <w:tcPr>
            <w:tcW w:type="dxa" w:w="2664"/>
          </w:tcPr>
          <w:p>
            <w:pPr>
              <w:spacing w:before="60" w:after="60"/>
            </w:pPr>
            <w:r/>
            <w:r>
              <w:rPr>
                <w:rFonts w:ascii="Segoe UI" w:hAnsi="Segoe UI"/>
                <w:b w:val="0"/>
                <w:color w:val="3E4E55"/>
                <w:sz w:val="17"/>
              </w:rPr>
              <w:t>Gück, Roelofs &amp; Faulstich, CARE, arXiv:2404.10320 / Data 9(12):138, 2024</w:t>
            </w:r>
          </w:p>
        </w:tc>
        <w:tc>
          <w:tcPr>
            <w:tcW w:type="dxa" w:w="4104"/>
          </w:tcPr>
          <w:p>
            <w:pPr>
              <w:spacing w:before="60" w:after="60"/>
            </w:pPr>
            <w:r/>
            <w:r>
              <w:rPr>
                <w:rFonts w:ascii="Segoe UI" w:hAnsi="Segoe UI"/>
                <w:b w:val="0"/>
                <w:color w:val="3E4E55"/>
                <w:sz w:val="17"/>
              </w:rPr>
              <w:t>CONVERGENT. Their CARE score counts false alarms at event level with a criticality counter; our matched-FPR framework counts alarm episodes as rising edges</w:t>
            </w:r>
          </w:p>
        </w:tc>
      </w:tr>
      <w:tr>
        <w:tc>
          <w:tcPr>
            <w:tcW w:type="dxa" w:w="2448"/>
          </w:tcPr>
          <w:p>
            <w:pPr>
              <w:spacing w:before="60" w:after="60"/>
            </w:pPr>
            <w:r/>
            <w:r>
              <w:rPr>
                <w:rFonts w:ascii="Segoe UI" w:hAnsi="Segoe UI"/>
                <w:b/>
                <w:color w:val="101A1E"/>
                <w:sz w:val="17"/>
              </w:rPr>
              <w:t>Persistence qualification for a detection</w:t>
            </w:r>
          </w:p>
        </w:tc>
        <w:tc>
          <w:tcPr>
            <w:tcW w:type="dxa" w:w="2664"/>
          </w:tcPr>
          <w:p>
            <w:pPr>
              <w:spacing w:before="60" w:after="60"/>
            </w:pPr>
            <w:r/>
            <w:r>
              <w:rPr>
                <w:rFonts w:ascii="Segoe UI" w:hAnsi="Segoe UI"/>
                <w:b w:val="0"/>
                <w:color w:val="3E4E55"/>
                <w:sz w:val="17"/>
              </w:rPr>
              <w:t>Nogueira et al. 2025 (20 samples ≈ 3.3 h); CARE 2024 (72 samples ≈ 12 h)</w:t>
            </w:r>
          </w:p>
        </w:tc>
        <w:tc>
          <w:tcPr>
            <w:tcW w:type="dxa" w:w="4104"/>
          </w:tcPr>
          <w:p>
            <w:pPr>
              <w:spacing w:before="60" w:after="60"/>
            </w:pPr>
            <w:r/>
            <w:r>
              <w:rPr>
                <w:rFonts w:ascii="Segoe UI" w:hAnsi="Segoe UI"/>
                <w:b w:val="0"/>
                <w:color w:val="3E4E55"/>
                <w:sz w:val="17"/>
              </w:rPr>
              <w:t>ADAPTED. Ours is 3 samples (30 minutes), an order of magnitude shorter. The pre-registered value stands, and 12 and 20 are now reported alongside it (ADR-031)</w:t>
            </w:r>
          </w:p>
        </w:tc>
      </w:tr>
      <w:tr>
        <w:tc>
          <w:tcPr>
            <w:tcW w:type="dxa" w:w="2448"/>
          </w:tcPr>
          <w:p>
            <w:pPr>
              <w:spacing w:before="60" w:after="60"/>
            </w:pPr>
            <w:r/>
            <w:r>
              <w:rPr>
                <w:rFonts w:ascii="Segoe UI" w:hAnsi="Segoe UI"/>
                <w:b/>
                <w:color w:val="101A1E"/>
                <w:sz w:val="17"/>
              </w:rPr>
              <w:t>Failure-mode knowledge guiding the analysis</w:t>
            </w:r>
          </w:p>
        </w:tc>
        <w:tc>
          <w:tcPr>
            <w:tcW w:type="dxa" w:w="2664"/>
          </w:tcPr>
          <w:p>
            <w:pPr>
              <w:spacing w:before="60" w:after="60"/>
            </w:pPr>
            <w:r/>
            <w:r>
              <w:rPr>
                <w:rFonts w:ascii="Segoe UI" w:hAnsi="Segoe UI"/>
                <w:b w:val="0"/>
                <w:color w:val="3E4E55"/>
                <w:sz w:val="17"/>
              </w:rPr>
              <w:t>Nogueira et al. 2025 (FMSA)</w:t>
            </w:r>
          </w:p>
        </w:tc>
        <w:tc>
          <w:tcPr>
            <w:tcW w:type="dxa" w:w="4104"/>
          </w:tcPr>
          <w:p>
            <w:pPr>
              <w:spacing w:before="60" w:after="60"/>
            </w:pPr>
            <w:r/>
            <w:r>
              <w:rPr>
                <w:rFonts w:ascii="Segoe UI" w:hAnsi="Segoe UI"/>
                <w:b w:val="0"/>
                <w:color w:val="3E4E55"/>
                <w:sz w:val="17"/>
              </w:rPr>
              <w:t>PARTIALLY ADAPTED. They use failure-mode knowledge for FEATURE SELECTION and interpretation; ours currently informs interpretation only</w:t>
            </w:r>
          </w:p>
        </w:tc>
      </w:tr>
      <w:tr>
        <w:tc>
          <w:tcPr>
            <w:tcW w:type="dxa" w:w="2448"/>
          </w:tcPr>
          <w:p>
            <w:pPr>
              <w:spacing w:before="60" w:after="60"/>
            </w:pPr>
            <w:r/>
            <w:r>
              <w:rPr>
                <w:rFonts w:ascii="Segoe UI" w:hAnsi="Segoe UI"/>
                <w:b/>
                <w:color w:val="101A1E"/>
                <w:sz w:val="17"/>
              </w:rPr>
              <w:t>Threshold-free ranking metrics (AUC-ROC)</w:t>
            </w:r>
          </w:p>
        </w:tc>
        <w:tc>
          <w:tcPr>
            <w:tcW w:type="dxa" w:w="2664"/>
          </w:tcPr>
          <w:p>
            <w:pPr>
              <w:spacing w:before="60" w:after="60"/>
            </w:pPr>
            <w:r/>
            <w:r>
              <w:rPr>
                <w:rFonts w:ascii="Segoe UI" w:hAnsi="Segoe UI"/>
                <w:b w:val="0"/>
                <w:color w:val="3E4E55"/>
                <w:sz w:val="17"/>
              </w:rPr>
              <w:t>CARE 2024</w:t>
            </w:r>
          </w:p>
        </w:tc>
        <w:tc>
          <w:tcPr>
            <w:tcW w:type="dxa" w:w="4104"/>
          </w:tcPr>
          <w:p>
            <w:pPr>
              <w:spacing w:before="60" w:after="60"/>
            </w:pPr>
            <w:r/>
            <w:r>
              <w:rPr>
                <w:rFonts w:ascii="Segoe UI" w:hAnsi="Segoe UI"/>
                <w:b w:val="0"/>
                <w:color w:val="3E4E55"/>
                <w:sz w:val="17"/>
              </w:rPr>
              <w:t>DISCARDED on the benchmark authors' own argument: AUC-ROC 'lacks significance in a real-world operative predictive maintenance setting' because it says nothing about alarm volume at a deployable operating point</w:t>
            </w:r>
          </w:p>
        </w:tc>
      </w:tr>
    </w:tbl>
    <w:p>
      <w:pPr>
        <w:spacing w:after="40"/>
      </w:pPr>
    </w:p>
    <w:p>
      <w:pPr>
        <w:pStyle w:val="H1x"/>
      </w:pPr>
      <w:r>
        <w:rPr>
          <w:b w:val="0"/>
          <w:i w:val="0"/>
        </w:rPr>
        <w:t>3.7  Causal separation — the constraint that separates this work from the literature</w:t>
      </w:r>
    </w:p>
    <w:p>
      <w:r>
        <w:t>Every comparator surveyed feeds component temperatures as model inputs. This project prohibits it structurally, and the reasoning is worth stating explicitly because it is a deliberate divergence from the entire literature: an NBM that consumes lagged values of its own target tracks that target through slow fault-driven drift and suppresses exactly the residual signal the system exists to detect. No comparator discusses this risk.</w:t>
      </w:r>
    </w:p>
    <w:tbl>
      <w:tblPr>
        <w:tblStyle w:val="TableGrid"/>
        <w:tblW w:type="auto" w:w="0"/>
        <w:jc w:val="left"/>
        <w:tblLook w:firstColumn="1" w:firstRow="1" w:lastColumn="0" w:lastRow="0" w:noHBand="0" w:noVBand="1" w:val="04A0"/>
      </w:tblPr>
      <w:tblGrid>
        <w:gridCol w:w="3120"/>
        <w:gridCol w:w="3120"/>
        <w:gridCol w:w="3120"/>
      </w:tblGrid>
      <w:tr>
        <w:tc>
          <w:tcPr>
            <w:tcW w:type="dxa" w:w="1008"/>
            <w:shd w:val="clear" w:color="auto" w:fill="E7EDEF"/>
          </w:tcPr>
          <w:p>
            <w:pPr>
              <w:spacing w:before="60" w:after="60"/>
            </w:pPr>
            <w:r/>
            <w:r>
              <w:rPr>
                <w:rFonts w:ascii="Segoe UI" w:hAnsi="Segoe UI"/>
                <w:b/>
                <w:color w:val="101A1E"/>
                <w:sz w:val="16"/>
              </w:rPr>
              <w:t>Guard</w:t>
            </w:r>
          </w:p>
        </w:tc>
        <w:tc>
          <w:tcPr>
            <w:tcW w:type="dxa" w:w="4608"/>
            <w:shd w:val="clear" w:color="auto" w:fill="E7EDEF"/>
          </w:tcPr>
          <w:p>
            <w:pPr>
              <w:spacing w:before="60" w:after="60"/>
            </w:pPr>
            <w:r/>
            <w:r>
              <w:rPr>
                <w:rFonts w:ascii="Segoe UI" w:hAnsi="Segoe UI"/>
                <w:b/>
                <w:color w:val="101A1E"/>
                <w:sz w:val="16"/>
              </w:rPr>
              <w:t>Prohibits</w:t>
            </w:r>
          </w:p>
        </w:tc>
        <w:tc>
          <w:tcPr>
            <w:tcW w:type="dxa" w:w="3600"/>
            <w:shd w:val="clear" w:color="auto" w:fill="E7EDEF"/>
          </w:tcPr>
          <w:p>
            <w:pPr>
              <w:spacing w:before="60" w:after="60"/>
            </w:pPr>
            <w:r/>
            <w:r>
              <w:rPr>
                <w:rFonts w:ascii="Segoe UI" w:hAnsi="Segoe UI"/>
                <w:b/>
                <w:color w:val="101A1E"/>
                <w:sz w:val="16"/>
              </w:rPr>
              <w:t>Failure mode</w:t>
            </w:r>
          </w:p>
        </w:tc>
      </w:tr>
      <w:tr>
        <w:tc>
          <w:tcPr>
            <w:tcW w:type="dxa" w:w="1008"/>
          </w:tcPr>
          <w:p>
            <w:pPr>
              <w:spacing w:before="60" w:after="60"/>
            </w:pPr>
            <w:r/>
            <w:r>
              <w:rPr>
                <w:rFonts w:ascii="Segoe UI" w:hAnsi="Segoe UI"/>
                <w:b/>
                <w:color w:val="101A1E"/>
                <w:sz w:val="17"/>
              </w:rPr>
              <w:t>1</w:t>
            </w:r>
          </w:p>
        </w:tc>
        <w:tc>
          <w:tcPr>
            <w:tcW w:type="dxa" w:w="4608"/>
          </w:tcPr>
          <w:p>
            <w:pPr>
              <w:spacing w:before="60" w:after="60"/>
            </w:pPr>
            <w:r/>
            <w:r>
              <w:rPr>
                <w:rFonts w:ascii="Segoe UI" w:hAnsi="Segoe UI"/>
                <w:b w:val="0"/>
                <w:color w:val="3E4E55"/>
                <w:sz w:val="17"/>
              </w:rPr>
              <w:t>A target also appearing as a predictor</w:t>
            </w:r>
          </w:p>
        </w:tc>
        <w:tc>
          <w:tcPr>
            <w:tcW w:type="dxa" w:w="3600"/>
          </w:tcPr>
          <w:p>
            <w:pPr>
              <w:spacing w:before="60" w:after="60"/>
            </w:pPr>
            <w:r/>
            <w:r>
              <w:rPr>
                <w:rFonts w:ascii="Segoe UI" w:hAnsi="Segoe UI"/>
                <w:b w:val="0"/>
                <w:color w:val="3E4E55"/>
                <w:sz w:val="17"/>
              </w:rPr>
              <w:t>Raises</w:t>
            </w:r>
          </w:p>
        </w:tc>
      </w:tr>
      <w:tr>
        <w:tc>
          <w:tcPr>
            <w:tcW w:type="dxa" w:w="1008"/>
          </w:tcPr>
          <w:p>
            <w:pPr>
              <w:spacing w:before="60" w:after="60"/>
            </w:pPr>
            <w:r/>
            <w:r>
              <w:rPr>
                <w:rFonts w:ascii="Segoe UI" w:hAnsi="Segoe UI"/>
                <w:b/>
                <w:color w:val="101A1E"/>
                <w:sz w:val="17"/>
              </w:rPr>
              <w:t>2</w:t>
            </w:r>
          </w:p>
        </w:tc>
        <w:tc>
          <w:tcPr>
            <w:tcW w:type="dxa" w:w="4608"/>
          </w:tcPr>
          <w:p>
            <w:pPr>
              <w:spacing w:before="60" w:after="60"/>
            </w:pPr>
            <w:r/>
            <w:r>
              <w:rPr>
                <w:rFonts w:ascii="Segoe UI" w:hAnsi="Segoe UI"/>
                <w:b w:val="0"/>
                <w:color w:val="3E4E55"/>
                <w:sz w:val="17"/>
              </w:rPr>
              <w:t>Non-positive lag steps; non-trailing or length-1 rolling windows — anything that reads the future</w:t>
            </w:r>
          </w:p>
        </w:tc>
        <w:tc>
          <w:tcPr>
            <w:tcW w:type="dxa" w:w="3600"/>
          </w:tcPr>
          <w:p>
            <w:pPr>
              <w:spacing w:before="60" w:after="60"/>
            </w:pPr>
            <w:r/>
            <w:r>
              <w:rPr>
                <w:rFonts w:ascii="Segoe UI" w:hAnsi="Segoe UI"/>
                <w:b w:val="0"/>
                <w:color w:val="3E4E55"/>
                <w:sz w:val="17"/>
              </w:rPr>
              <w:t>Raises</w:t>
            </w:r>
          </w:p>
        </w:tc>
      </w:tr>
      <w:tr>
        <w:tc>
          <w:tcPr>
            <w:tcW w:type="dxa" w:w="1008"/>
          </w:tcPr>
          <w:p>
            <w:pPr>
              <w:spacing w:before="60" w:after="60"/>
            </w:pPr>
            <w:r/>
            <w:r>
              <w:rPr>
                <w:rFonts w:ascii="Segoe UI" w:hAnsi="Segoe UI"/>
                <w:b/>
                <w:color w:val="101A1E"/>
                <w:sz w:val="17"/>
              </w:rPr>
              <w:t>8</w:t>
            </w:r>
          </w:p>
        </w:tc>
        <w:tc>
          <w:tcPr>
            <w:tcW w:type="dxa" w:w="4608"/>
          </w:tcPr>
          <w:p>
            <w:pPr>
              <w:spacing w:before="60" w:after="60"/>
            </w:pPr>
            <w:r/>
            <w:r>
              <w:rPr>
                <w:rFonts w:ascii="Segoe UI" w:hAnsi="Segoe UI"/>
                <w:b w:val="0"/>
                <w:color w:val="3E4E55"/>
                <w:sz w:val="17"/>
              </w:rPr>
              <w:t>ANY target-derived feature: lag, rolling mean, rolling std, difference, elementwise transform</w:t>
            </w:r>
          </w:p>
        </w:tc>
        <w:tc>
          <w:tcPr>
            <w:tcW w:type="dxa" w:w="3600"/>
          </w:tcPr>
          <w:p>
            <w:pPr>
              <w:spacing w:before="60" w:after="60"/>
            </w:pPr>
            <w:r/>
            <w:r>
              <w:rPr>
                <w:rFonts w:ascii="Segoe UI" w:hAnsi="Segoe UI"/>
                <w:b w:val="0"/>
                <w:color w:val="3E4E55"/>
                <w:sz w:val="17"/>
              </w:rPr>
              <w:t>Raises, with a message naming the transform class</w:t>
            </w:r>
          </w:p>
        </w:tc>
      </w:tr>
      <w:tr>
        <w:tc>
          <w:tcPr>
            <w:tcW w:type="dxa" w:w="1008"/>
          </w:tcPr>
          <w:p>
            <w:pPr>
              <w:spacing w:before="60" w:after="60"/>
            </w:pPr>
            <w:r/>
            <w:r>
              <w:rPr>
                <w:rFonts w:ascii="Segoe UI" w:hAnsi="Segoe UI"/>
                <w:b/>
                <w:color w:val="101A1E"/>
                <w:sz w:val="17"/>
              </w:rPr>
              <w:t>Fail-closed</w:t>
            </w:r>
          </w:p>
        </w:tc>
        <w:tc>
          <w:tcPr>
            <w:tcW w:type="dxa" w:w="4608"/>
          </w:tcPr>
          <w:p>
            <w:pPr>
              <w:spacing w:before="60" w:after="60"/>
            </w:pPr>
            <w:r/>
            <w:r>
              <w:rPr>
                <w:rFonts w:ascii="Segoe UI" w:hAnsi="Segoe UI"/>
                <w:b w:val="0"/>
                <w:color w:val="3E4E55"/>
                <w:sz w:val="17"/>
              </w:rPr>
              <w:t>An engineered feature whose source cannot be resolved in the canonical schema</w:t>
            </w:r>
          </w:p>
        </w:tc>
        <w:tc>
          <w:tcPr>
            <w:tcW w:type="dxa" w:w="3600"/>
          </w:tcPr>
          <w:p>
            <w:pPr>
              <w:spacing w:before="60" w:after="60"/>
            </w:pPr>
            <w:r/>
            <w:r>
              <w:rPr>
                <w:rFonts w:ascii="Segoe UI" w:hAnsi="Segoe UI"/>
                <w:b w:val="0"/>
                <w:color w:val="3E4E55"/>
                <w:sz w:val="17"/>
              </w:rPr>
              <w:t>Raises — exogeneity must be provable, never assumed</w:t>
            </w:r>
          </w:p>
        </w:tc>
      </w:tr>
      <w:tr>
        <w:tc>
          <w:tcPr>
            <w:tcW w:type="dxa" w:w="1008"/>
          </w:tcPr>
          <w:p>
            <w:pPr>
              <w:spacing w:before="60" w:after="60"/>
            </w:pPr>
            <w:r/>
            <w:r>
              <w:rPr>
                <w:rFonts w:ascii="Segoe UI" w:hAnsi="Segoe UI"/>
                <w:b/>
                <w:color w:val="101A1E"/>
                <w:sz w:val="17"/>
              </w:rPr>
              <w:t>3</w:t>
            </w:r>
          </w:p>
        </w:tc>
        <w:tc>
          <w:tcPr>
            <w:tcW w:type="dxa" w:w="4608"/>
          </w:tcPr>
          <w:p>
            <w:pPr>
              <w:spacing w:before="60" w:after="60"/>
            </w:pPr>
            <w:r/>
            <w:r>
              <w:rPr>
                <w:rFonts w:ascii="Segoe UI" w:hAnsi="Segoe UI"/>
                <w:b w:val="0"/>
                <w:color w:val="3E4E55"/>
                <w:sz w:val="17"/>
              </w:rPr>
              <w:t>Random splitting on a thesis-flagged run</w:t>
            </w:r>
          </w:p>
        </w:tc>
        <w:tc>
          <w:tcPr>
            <w:tcW w:type="dxa" w:w="3600"/>
          </w:tcPr>
          <w:p>
            <w:pPr>
              <w:spacing w:before="60" w:after="60"/>
            </w:pPr>
            <w:r/>
            <w:r>
              <w:rPr>
                <w:rFonts w:ascii="Segoe UI" w:hAnsi="Segoe UI"/>
                <w:b w:val="0"/>
                <w:color w:val="3E4E55"/>
                <w:sz w:val="17"/>
              </w:rPr>
              <w:t>Raises before any file is opened</w:t>
            </w:r>
          </w:p>
        </w:tc>
      </w:tr>
      <w:tr>
        <w:tc>
          <w:tcPr>
            <w:tcW w:type="dxa" w:w="1008"/>
          </w:tcPr>
          <w:p>
            <w:pPr>
              <w:spacing w:before="60" w:after="60"/>
            </w:pPr>
            <w:r/>
            <w:r>
              <w:rPr>
                <w:rFonts w:ascii="Segoe UI" w:hAnsi="Segoe UI"/>
                <w:b/>
                <w:color w:val="101A1E"/>
                <w:sz w:val="17"/>
              </w:rPr>
              <w:t>4</w:t>
            </w:r>
          </w:p>
        </w:tc>
        <w:tc>
          <w:tcPr>
            <w:tcW w:type="dxa" w:w="4608"/>
          </w:tcPr>
          <w:p>
            <w:pPr>
              <w:spacing w:before="60" w:after="60"/>
            </w:pPr>
            <w:r/>
            <w:r>
              <w:rPr>
                <w:rFonts w:ascii="Segoe UI" w:hAnsi="Segoe UI"/>
                <w:b w:val="0"/>
                <w:color w:val="3E4E55"/>
                <w:sz w:val="17"/>
              </w:rPr>
              <w:t>Normalization or threshold statistics from a non-healthy partition</w:t>
            </w:r>
          </w:p>
        </w:tc>
        <w:tc>
          <w:tcPr>
            <w:tcW w:type="dxa" w:w="3600"/>
          </w:tcPr>
          <w:p>
            <w:pPr>
              <w:spacing w:before="60" w:after="60"/>
            </w:pPr>
            <w:r/>
            <w:r>
              <w:rPr>
                <w:rFonts w:ascii="Segoe UI" w:hAnsi="Segoe UI"/>
                <w:b w:val="0"/>
                <w:color w:val="3E4E55"/>
                <w:sz w:val="17"/>
              </w:rPr>
              <w:t>Raises</w:t>
            </w:r>
          </w:p>
        </w:tc>
      </w:tr>
      <w:tr>
        <w:tc>
          <w:tcPr>
            <w:tcW w:type="dxa" w:w="1008"/>
          </w:tcPr>
          <w:p>
            <w:pPr>
              <w:spacing w:before="60" w:after="60"/>
            </w:pPr>
            <w:r/>
            <w:r>
              <w:rPr>
                <w:rFonts w:ascii="Segoe UI" w:hAnsi="Segoe UI"/>
                <w:b/>
                <w:color w:val="101A1E"/>
                <w:sz w:val="17"/>
              </w:rPr>
              <w:t>5</w:t>
            </w:r>
          </w:p>
        </w:tc>
        <w:tc>
          <w:tcPr>
            <w:tcW w:type="dxa" w:w="4608"/>
          </w:tcPr>
          <w:p>
            <w:pPr>
              <w:spacing w:before="60" w:after="60"/>
            </w:pPr>
            <w:r/>
            <w:r>
              <w:rPr>
                <w:rFonts w:ascii="Segoe UI" w:hAnsi="Segoe UI"/>
                <w:b w:val="0"/>
                <w:color w:val="3E4E55"/>
                <w:sz w:val="17"/>
              </w:rPr>
              <w:t>A known failure interval surviving into the healthy population</w:t>
            </w:r>
          </w:p>
        </w:tc>
        <w:tc>
          <w:tcPr>
            <w:tcW w:type="dxa" w:w="3600"/>
          </w:tcPr>
          <w:p>
            <w:pPr>
              <w:spacing w:before="60" w:after="60"/>
            </w:pPr>
            <w:r/>
            <w:r>
              <w:rPr>
                <w:rFonts w:ascii="Segoe UI" w:hAnsi="Segoe UI"/>
                <w:b w:val="0"/>
                <w:color w:val="3E4E55"/>
                <w:sz w:val="17"/>
              </w:rPr>
              <w:t>WARNING finding, including when the window matches zero rows</w:t>
            </w:r>
          </w:p>
        </w:tc>
      </w:tr>
    </w:tbl>
    <w:p>
      <w:pPr>
        <w:spacing w:after="40"/>
      </w:pPr>
    </w:p>
    <w:p>
      <w:r>
        <w:t>A consequence worth recording: a well-known ANN normal-behaviour model from the literature was considered as a baseline and deliberately NOT reimplemented, because its NARX formulation feeds lagged target temperatures back as inputs and would violate Guard 8. Reproducing it faithfully would break the constraint; reproducing it without the lagged terms would no longer be that model. It is cited as motivating precedent rather than reproduced.</w:t>
      </w:r>
    </w:p>
    <w:p>
      <w:r>
        <w:br w:type="page"/>
      </w:r>
    </w:p>
    <w:p>
      <w:pPr>
        <w:pStyle w:val="PartHead"/>
      </w:pPr>
      <w:r>
        <w:rPr>
          <w:b w:val="0"/>
          <w:i w:val="0"/>
        </w:rPr>
        <w:t>Part 4</w:t>
      </w:r>
    </w:p>
    <w:p>
      <w:pPr>
        <w:pStyle w:val="PartSub"/>
      </w:pPr>
      <w:r>
        <w:rPr>
          <w:b w:val="0"/>
          <w:i w:val="0"/>
        </w:rPr>
        <w:t>Models, configuration and training pipeline</w:t>
      </w:r>
    </w:p>
    <w:p>
      <w:pPr>
        <w:pStyle w:val="H1x"/>
      </w:pPr>
      <w:r>
        <w:rPr>
          <w:b w:val="0"/>
          <w:i w:val="0"/>
        </w:rPr>
        <w:t>4.1  The problem, stated precisely</w:t>
      </w:r>
    </w:p>
    <w:p>
      <w:r>
        <w:t>Multi-output regression used as an anomaly detector. The model predicts what a HEALTHY gearbox's oil and rear-bearing temperatures would be given the operating conditions, and the quantity of interest is the residual — the unexplained gap between measurement and expectation. It is trained only on healthy data, so the prediction is a counterfactual. There is no fault classifier and no fault labels to train one: the entire dataset contains a single alarm-level event.</w:t>
      </w:r>
    </w:p>
    <w:p>
      <w:r>
        <w:t xml:space="preserve">Formally: </w:t>
      </w:r>
      <w:r>
        <w:rPr>
          <w:rFonts w:ascii="Consolas" w:hAnsi="Consolas"/>
          <w:color w:val="3E4E55"/>
          <w:sz w:val="18"/>
        </w:rPr>
        <w:t>R^7 → R^2</w:t>
      </w:r>
      <w:r>
        <w:t>, seven exogenous operating-condition predictors to two gearbox temperatures in °C, one model with a shared tree set predicting both jointly.</w:t>
      </w:r>
    </w:p>
    <w:p>
      <w:pPr>
        <w:pStyle w:val="H1x"/>
      </w:pPr>
      <w:r>
        <w:rPr>
          <w:b w:val="0"/>
          <w:i w:val="0"/>
        </w:rPr>
        <w:t>4.2  The model set</w:t>
      </w:r>
    </w:p>
    <w:tbl>
      <w:tblPr>
        <w:tblStyle w:val="TableGrid"/>
        <w:tblW w:type="auto" w:w="0"/>
        <w:jc w:val="left"/>
        <w:tblLook w:firstColumn="1" w:firstRow="1" w:lastColumn="0" w:lastRow="0" w:noHBand="0" w:noVBand="1" w:val="04A0"/>
      </w:tblPr>
      <w:tblGrid>
        <w:gridCol w:w="3120"/>
        <w:gridCol w:w="3120"/>
        <w:gridCol w:w="3120"/>
      </w:tblGrid>
      <w:tr>
        <w:tc>
          <w:tcPr>
            <w:tcW w:type="dxa" w:w="1296"/>
            <w:shd w:val="clear" w:color="auto" w:fill="E7EDEF"/>
          </w:tcPr>
          <w:p>
            <w:pPr>
              <w:spacing w:before="60" w:after="60"/>
            </w:pPr>
            <w:r/>
            <w:r>
              <w:rPr>
                <w:rFonts w:ascii="Segoe UI" w:hAnsi="Segoe UI"/>
                <w:b/>
                <w:color w:val="101A1E"/>
                <w:sz w:val="16"/>
              </w:rPr>
              <w:t>Kind</w:t>
            </w:r>
          </w:p>
        </w:tc>
        <w:tc>
          <w:tcPr>
            <w:tcW w:type="dxa" w:w="2448"/>
            <w:shd w:val="clear" w:color="auto" w:fill="E7EDEF"/>
          </w:tcPr>
          <w:p>
            <w:pPr>
              <w:spacing w:before="60" w:after="60"/>
            </w:pPr>
            <w:r/>
            <w:r>
              <w:rPr>
                <w:rFonts w:ascii="Segoe UI" w:hAnsi="Segoe UI"/>
                <w:b/>
                <w:color w:val="101A1E"/>
                <w:sz w:val="16"/>
              </w:rPr>
              <w:t>Name</w:t>
            </w:r>
          </w:p>
        </w:tc>
        <w:tc>
          <w:tcPr>
            <w:tcW w:type="dxa" w:w="5472"/>
            <w:shd w:val="clear" w:color="auto" w:fill="E7EDEF"/>
          </w:tcPr>
          <w:p>
            <w:pPr>
              <w:spacing w:before="60" w:after="60"/>
            </w:pPr>
            <w:r/>
            <w:r>
              <w:rPr>
                <w:rFonts w:ascii="Segoe UI" w:hAnsi="Segoe UI"/>
                <w:b/>
                <w:color w:val="101A1E"/>
                <w:sz w:val="16"/>
              </w:rPr>
              <w:t>Role</w:t>
            </w:r>
          </w:p>
        </w:tc>
      </w:tr>
      <w:tr>
        <w:tc>
          <w:tcPr>
            <w:tcW w:type="dxa" w:w="1296"/>
          </w:tcPr>
          <w:p>
            <w:pPr>
              <w:spacing w:before="60" w:after="60"/>
            </w:pPr>
            <w:r/>
            <w:r>
              <w:rPr>
                <w:rFonts w:ascii="Segoe UI" w:hAnsi="Segoe UI"/>
                <w:b/>
                <w:color w:val="101A1E"/>
                <w:sz w:val="17"/>
              </w:rPr>
              <w:t>THESIS</w:t>
            </w:r>
          </w:p>
        </w:tc>
        <w:tc>
          <w:tcPr>
            <w:tcW w:type="dxa" w:w="2448"/>
          </w:tcPr>
          <w:p>
            <w:pPr>
              <w:spacing w:before="60" w:after="60"/>
            </w:pPr>
            <w:r/>
            <w:r>
              <w:rPr>
                <w:rFonts w:ascii="Consolas" w:hAnsi="Consolas"/>
                <w:b w:val="0"/>
                <w:color w:val="3E4E55"/>
                <w:sz w:val="17"/>
              </w:rPr>
              <w:t>xgboost_multi_target</w:t>
            </w:r>
          </w:p>
        </w:tc>
        <w:tc>
          <w:tcPr>
            <w:tcW w:type="dxa" w:w="5472"/>
          </w:tcPr>
          <w:p>
            <w:pPr>
              <w:spacing w:before="60" w:after="60"/>
            </w:pPr>
            <w:r/>
            <w:r>
              <w:rPr>
                <w:rFonts w:ascii="Segoe UI" w:hAnsi="Segoe UI"/>
                <w:b w:val="0"/>
                <w:color w:val="3E4E55"/>
                <w:sz w:val="17"/>
              </w:rPr>
              <w:t>The normal behaviour model (LOCKED-01). The only model whose residuals are thresholded</w:t>
            </w:r>
          </w:p>
        </w:tc>
      </w:tr>
      <w:tr>
        <w:tc>
          <w:tcPr>
            <w:tcW w:type="dxa" w:w="1296"/>
          </w:tcPr>
          <w:p>
            <w:pPr>
              <w:spacing w:before="60" w:after="60"/>
            </w:pPr>
            <w:r/>
            <w:r>
              <w:rPr>
                <w:rFonts w:ascii="Segoe UI" w:hAnsi="Segoe UI"/>
                <w:b/>
                <w:color w:val="101A1E"/>
                <w:sz w:val="17"/>
              </w:rPr>
              <w:t>BASELINE</w:t>
            </w:r>
          </w:p>
        </w:tc>
        <w:tc>
          <w:tcPr>
            <w:tcW w:type="dxa" w:w="2448"/>
          </w:tcPr>
          <w:p>
            <w:pPr>
              <w:spacing w:before="60" w:after="60"/>
            </w:pPr>
            <w:r/>
            <w:r>
              <w:rPr>
                <w:rFonts w:ascii="Consolas" w:hAnsi="Consolas"/>
                <w:b w:val="0"/>
                <w:color w:val="3E4E55"/>
                <w:sz w:val="17"/>
              </w:rPr>
              <w:t>linear_regression</w:t>
            </w:r>
          </w:p>
        </w:tc>
        <w:tc>
          <w:tcPr>
            <w:tcW w:type="dxa" w:w="5472"/>
          </w:tcPr>
          <w:p>
            <w:pPr>
              <w:spacing w:before="60" w:after="60"/>
            </w:pPr>
            <w:r/>
            <w:r>
              <w:rPr>
                <w:rFonts w:ascii="Segoe UI" w:hAnsi="Segoe UI"/>
                <w:b w:val="0"/>
                <w:color w:val="3E4E55"/>
                <w:sz w:val="17"/>
              </w:rPr>
              <w:t>OLS. The fixed ZERO-hyperparameter reference; its validation RMSE normalises every tuned model's selection score</w:t>
            </w:r>
          </w:p>
        </w:tc>
      </w:tr>
      <w:tr>
        <w:tc>
          <w:tcPr>
            <w:tcW w:type="dxa" w:w="1296"/>
          </w:tcPr>
          <w:p>
            <w:pPr>
              <w:spacing w:before="60" w:after="60"/>
            </w:pPr>
            <w:r/>
            <w:r>
              <w:rPr>
                <w:rFonts w:ascii="Segoe UI" w:hAnsi="Segoe UI"/>
                <w:b/>
                <w:color w:val="101A1E"/>
                <w:sz w:val="17"/>
              </w:rPr>
              <w:t>BASELINE</w:t>
            </w:r>
          </w:p>
        </w:tc>
        <w:tc>
          <w:tcPr>
            <w:tcW w:type="dxa" w:w="2448"/>
          </w:tcPr>
          <w:p>
            <w:pPr>
              <w:spacing w:before="60" w:after="60"/>
            </w:pPr>
            <w:r/>
            <w:r>
              <w:rPr>
                <w:rFonts w:ascii="Consolas" w:hAnsi="Consolas"/>
                <w:b w:val="0"/>
                <w:color w:val="3E4E55"/>
                <w:sz w:val="17"/>
              </w:rPr>
              <w:t>elastic_net</w:t>
            </w:r>
          </w:p>
        </w:tc>
        <w:tc>
          <w:tcPr>
            <w:tcW w:type="dxa" w:w="5472"/>
          </w:tcPr>
          <w:p>
            <w:pPr>
              <w:spacing w:before="60" w:after="60"/>
            </w:pPr>
            <w:r/>
            <w:r>
              <w:rPr>
                <w:rFonts w:ascii="Segoe UI" w:hAnsi="Segoe UI"/>
                <w:b w:val="0"/>
                <w:color w:val="3E4E55"/>
                <w:sz w:val="17"/>
              </w:rPr>
              <w:t>Multi-task Elastic Net (ADR-032). Separates non-linearity from regularisation as the explanation for the thesis model's advantage</w:t>
            </w:r>
          </w:p>
        </w:tc>
      </w:tr>
    </w:tbl>
    <w:p>
      <w:pPr>
        <w:spacing w:after="40"/>
      </w:pPr>
    </w:p>
    <w:p>
      <w:r>
        <w:t>A registry meta-test asserts the set is exactly one THESIS and two BASELINE, so a fourth model cannot ship without an ADR. The baselines are measuring sticks, not competitors: they establish how much thermal variance is linear in operating conditions versus captured non-linearly, and therefore how much residual spread is irreducible physics rather than modelling error. OLS is retained alongside Elastic Net precisely because nothing about it is tunable, so it contributes zero configurations to the multiple-comparison count.</w:t>
      </w:r>
    </w:p>
    <w:p>
      <w:pPr>
        <w:pStyle w:val="H1x"/>
      </w:pPr>
      <w:r>
        <w:rPr>
          <w:b w:val="0"/>
          <w:i w:val="0"/>
        </w:rPr>
        <w:t>4.3  Configuration — read from the resolved config</w:t>
      </w:r>
    </w:p>
    <w:p>
      <w:pPr>
        <w:pStyle w:val="H2x"/>
      </w:pPr>
      <w:r>
        <w:rPr>
          <w:b w:val="0"/>
          <w:i w:val="0"/>
        </w:rPr>
        <w:t>Thesis model (XGBoost)</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E7EDEF"/>
          </w:tcPr>
          <w:p>
            <w:pPr>
              <w:spacing w:before="60" w:after="60"/>
            </w:pPr>
            <w:r/>
            <w:r>
              <w:rPr>
                <w:rFonts w:ascii="Segoe UI" w:hAnsi="Segoe UI"/>
                <w:b/>
                <w:color w:val="101A1E"/>
                <w:sz w:val="16"/>
              </w:rPr>
              <w:t>Setting</w:t>
            </w:r>
          </w:p>
        </w:tc>
        <w:tc>
          <w:tcPr>
            <w:tcW w:type="dxa" w:w="2448"/>
            <w:shd w:val="clear" w:color="auto" w:fill="E7EDEF"/>
          </w:tcPr>
          <w:p>
            <w:pPr>
              <w:spacing w:before="60" w:after="60"/>
            </w:pPr>
            <w:r/>
            <w:r>
              <w:rPr>
                <w:rFonts w:ascii="Segoe UI" w:hAnsi="Segoe UI"/>
                <w:b/>
                <w:color w:val="101A1E"/>
                <w:sz w:val="16"/>
              </w:rPr>
              <w:t>Value</w:t>
            </w:r>
          </w:p>
        </w:tc>
        <w:tc>
          <w:tcPr>
            <w:tcW w:type="dxa" w:w="4320"/>
            <w:shd w:val="clear" w:color="auto" w:fill="E7EDEF"/>
          </w:tcPr>
          <w:p>
            <w:pPr>
              <w:spacing w:before="60" w:after="60"/>
            </w:pPr>
            <w:r/>
            <w:r>
              <w:rPr>
                <w:rFonts w:ascii="Segoe UI" w:hAnsi="Segoe UI"/>
                <w:b/>
                <w:color w:val="101A1E"/>
                <w:sz w:val="16"/>
              </w:rPr>
              <w:t>Note</w:t>
            </w:r>
          </w:p>
        </w:tc>
      </w:tr>
      <w:tr>
        <w:tc>
          <w:tcPr>
            <w:tcW w:type="dxa" w:w="2448"/>
          </w:tcPr>
          <w:p>
            <w:pPr>
              <w:spacing w:before="60" w:after="60"/>
            </w:pPr>
            <w:r/>
            <w:r>
              <w:rPr>
                <w:rFonts w:ascii="Segoe UI" w:hAnsi="Segoe UI"/>
                <w:b/>
                <w:color w:val="101A1E"/>
                <w:sz w:val="17"/>
              </w:rPr>
              <w:t>multi_strategy</w:t>
            </w:r>
          </w:p>
        </w:tc>
        <w:tc>
          <w:tcPr>
            <w:tcW w:type="dxa" w:w="2448"/>
          </w:tcPr>
          <w:p>
            <w:pPr>
              <w:spacing w:before="60" w:after="60"/>
            </w:pPr>
            <w:r/>
            <w:r>
              <w:rPr>
                <w:rFonts w:ascii="Consolas" w:hAnsi="Consolas"/>
                <w:b w:val="0"/>
                <w:color w:val="3E4E55"/>
                <w:sz w:val="17"/>
              </w:rPr>
              <w:t>multi_output_tree</w:t>
            </w:r>
          </w:p>
        </w:tc>
        <w:tc>
          <w:tcPr>
            <w:tcW w:type="dxa" w:w="4320"/>
          </w:tcPr>
          <w:p>
            <w:pPr>
              <w:spacing w:before="60" w:after="60"/>
            </w:pPr>
            <w:r/>
            <w:r>
              <w:rPr>
                <w:rFonts w:ascii="Segoe UI" w:hAnsi="Segoe UI"/>
                <w:b w:val="0"/>
                <w:color w:val="3E4E55"/>
                <w:sz w:val="17"/>
              </w:rPr>
              <w:t>Native multi-output: one tree set for both targets</w:t>
            </w:r>
          </w:p>
        </w:tc>
      </w:tr>
      <w:tr>
        <w:tc>
          <w:tcPr>
            <w:tcW w:type="dxa" w:w="2448"/>
          </w:tcPr>
          <w:p>
            <w:pPr>
              <w:spacing w:before="60" w:after="60"/>
            </w:pPr>
            <w:r/>
            <w:r>
              <w:rPr>
                <w:rFonts w:ascii="Segoe UI" w:hAnsi="Segoe UI"/>
                <w:b/>
                <w:color w:val="101A1E"/>
                <w:sz w:val="17"/>
              </w:rPr>
              <w:t>tree_method</w:t>
            </w:r>
          </w:p>
        </w:tc>
        <w:tc>
          <w:tcPr>
            <w:tcW w:type="dxa" w:w="2448"/>
          </w:tcPr>
          <w:p>
            <w:pPr>
              <w:spacing w:before="60" w:after="60"/>
            </w:pPr>
            <w:r/>
            <w:r>
              <w:rPr>
                <w:rFonts w:ascii="Consolas" w:hAnsi="Consolas"/>
                <w:b w:val="0"/>
                <w:color w:val="3E4E55"/>
                <w:sz w:val="17"/>
              </w:rPr>
              <w:t>hist</w:t>
            </w:r>
          </w:p>
        </w:tc>
        <w:tc>
          <w:tcPr>
            <w:tcW w:type="dxa" w:w="4320"/>
          </w:tcPr>
          <w:p>
            <w:pPr>
              <w:spacing w:before="60" w:after="60"/>
            </w:pPr>
            <w:r/>
            <w:r>
              <w:rPr>
                <w:rFonts w:ascii="Segoe UI" w:hAnsi="Segoe UI"/>
                <w:b w:val="0"/>
                <w:color w:val="3E4E55"/>
                <w:sz w:val="17"/>
              </w:rPr>
              <w:t>Required by the multi-output strategy</w:t>
            </w:r>
          </w:p>
        </w:tc>
      </w:tr>
      <w:tr>
        <w:tc>
          <w:tcPr>
            <w:tcW w:type="dxa" w:w="2448"/>
          </w:tcPr>
          <w:p>
            <w:pPr>
              <w:spacing w:before="60" w:after="60"/>
            </w:pPr>
            <w:r/>
            <w:r>
              <w:rPr>
                <w:rFonts w:ascii="Segoe UI" w:hAnsi="Segoe UI"/>
                <w:b/>
                <w:color w:val="101A1E"/>
                <w:sz w:val="17"/>
              </w:rPr>
              <w:t>n_jobs</w:t>
            </w:r>
          </w:p>
        </w:tc>
        <w:tc>
          <w:tcPr>
            <w:tcW w:type="dxa" w:w="2448"/>
          </w:tcPr>
          <w:p>
            <w:pPr>
              <w:spacing w:before="60" w:after="60"/>
            </w:pPr>
            <w:r/>
            <w:r>
              <w:rPr>
                <w:rFonts w:ascii="Consolas" w:hAnsi="Consolas"/>
                <w:b w:val="0"/>
                <w:color w:val="3E4E55"/>
                <w:sz w:val="17"/>
              </w:rPr>
              <w:t>1</w:t>
            </w:r>
          </w:p>
        </w:tc>
        <w:tc>
          <w:tcPr>
            <w:tcW w:type="dxa" w:w="4320"/>
          </w:tcPr>
          <w:p>
            <w:pPr>
              <w:spacing w:before="60" w:after="60"/>
            </w:pPr>
            <w:r/>
            <w:r>
              <w:rPr>
                <w:rFonts w:ascii="Segoe UI" w:hAnsi="Segoe UI"/>
                <w:b w:val="0"/>
                <w:color w:val="3E4E55"/>
                <w:sz w:val="17"/>
              </w:rPr>
              <w:t>Single-threaded so repeated fits are bit-identical</w:t>
            </w:r>
          </w:p>
        </w:tc>
      </w:tr>
      <w:tr>
        <w:tc>
          <w:tcPr>
            <w:tcW w:type="dxa" w:w="2448"/>
          </w:tcPr>
          <w:p>
            <w:pPr>
              <w:spacing w:before="60" w:after="60"/>
            </w:pPr>
            <w:r/>
            <w:r>
              <w:rPr>
                <w:rFonts w:ascii="Segoe UI" w:hAnsi="Segoe UI"/>
                <w:b/>
                <w:color w:val="101A1E"/>
                <w:sz w:val="17"/>
              </w:rPr>
              <w:t>random_state</w:t>
            </w:r>
          </w:p>
        </w:tc>
        <w:tc>
          <w:tcPr>
            <w:tcW w:type="dxa" w:w="2448"/>
          </w:tcPr>
          <w:p>
            <w:pPr>
              <w:spacing w:before="60" w:after="60"/>
            </w:pPr>
            <w:r/>
            <w:r>
              <w:rPr>
                <w:rFonts w:ascii="Consolas" w:hAnsi="Consolas"/>
                <w:b w:val="0"/>
                <w:color w:val="3E4E55"/>
                <w:sz w:val="17"/>
              </w:rPr>
              <w:t>42</w:t>
            </w:r>
          </w:p>
        </w:tc>
        <w:tc>
          <w:tcPr>
            <w:tcW w:type="dxa" w:w="4320"/>
          </w:tcPr>
          <w:p>
            <w:pPr>
              <w:spacing w:before="60" w:after="60"/>
            </w:pPr>
            <w:r/>
            <w:r>
              <w:rPr>
                <w:rFonts w:ascii="Segoe UI" w:hAnsi="Segoe UI"/>
                <w:b w:val="0"/>
                <w:color w:val="3E4E55"/>
                <w:sz w:val="17"/>
              </w:rPr>
              <w:t>One fixed seed across all fits</w:t>
            </w:r>
          </w:p>
        </w:tc>
      </w:tr>
      <w:tr>
        <w:tc>
          <w:tcPr>
            <w:tcW w:type="dxa" w:w="2448"/>
          </w:tcPr>
          <w:p>
            <w:pPr>
              <w:spacing w:before="60" w:after="60"/>
            </w:pPr>
            <w:r/>
            <w:r>
              <w:rPr>
                <w:rFonts w:ascii="Segoe UI" w:hAnsi="Segoe UI"/>
                <w:b/>
                <w:color w:val="101A1E"/>
                <w:sz w:val="17"/>
              </w:rPr>
              <w:t>n_estimators</w:t>
            </w:r>
          </w:p>
        </w:tc>
        <w:tc>
          <w:tcPr>
            <w:tcW w:type="dxa" w:w="2448"/>
          </w:tcPr>
          <w:p>
            <w:pPr>
              <w:spacing w:before="60" w:after="60"/>
            </w:pPr>
            <w:r/>
            <w:r>
              <w:rPr>
                <w:rFonts w:ascii="Consolas" w:hAnsi="Consolas"/>
                <w:b w:val="0"/>
                <w:color w:val="3E4E55"/>
                <w:sz w:val="17"/>
              </w:rPr>
              <w:t>600</w:t>
            </w:r>
          </w:p>
        </w:tc>
        <w:tc>
          <w:tcPr>
            <w:tcW w:type="dxa" w:w="4320"/>
          </w:tcPr>
          <w:p>
            <w:pPr>
              <w:spacing w:before="60" w:after="60"/>
            </w:pPr>
            <w:r/>
            <w:r>
              <w:rPr>
                <w:rFonts w:ascii="Segoe UI" w:hAnsi="Segoe UI"/>
                <w:b w:val="0"/>
                <w:color w:val="3E4E55"/>
                <w:sz w:val="17"/>
              </w:rPr>
              <w:t>Tuning ceiling; effective count set by early stopping</w:t>
            </w:r>
          </w:p>
        </w:tc>
      </w:tr>
      <w:tr>
        <w:tc>
          <w:tcPr>
            <w:tcW w:type="dxa" w:w="2448"/>
          </w:tcPr>
          <w:p>
            <w:pPr>
              <w:spacing w:before="60" w:after="60"/>
            </w:pPr>
            <w:r/>
            <w:r>
              <w:rPr>
                <w:rFonts w:ascii="Segoe UI" w:hAnsi="Segoe UI"/>
                <w:b/>
                <w:color w:val="101A1E"/>
                <w:sz w:val="17"/>
              </w:rPr>
              <w:t>max_depth</w:t>
            </w:r>
          </w:p>
        </w:tc>
        <w:tc>
          <w:tcPr>
            <w:tcW w:type="dxa" w:w="2448"/>
          </w:tcPr>
          <w:p>
            <w:pPr>
              <w:spacing w:before="60" w:after="60"/>
            </w:pPr>
            <w:r/>
            <w:r>
              <w:rPr>
                <w:rFonts w:ascii="Consolas" w:hAnsi="Consolas"/>
                <w:b w:val="0"/>
                <w:color w:val="3E4E55"/>
                <w:sz w:val="17"/>
              </w:rPr>
              <w:t>4, 6, 8</w:t>
            </w:r>
          </w:p>
        </w:tc>
        <w:tc>
          <w:tcPr>
            <w:tcW w:type="dxa" w:w="4320"/>
          </w:tcPr>
          <w:p>
            <w:pPr>
              <w:spacing w:before="60" w:after="60"/>
            </w:pPr>
            <w:r/>
            <w:r>
              <w:rPr>
                <w:rFonts w:ascii="Segoe UI" w:hAnsi="Segoe UI"/>
                <w:b w:val="0"/>
                <w:color w:val="3E4E55"/>
                <w:sz w:val="17"/>
              </w:rPr>
              <w:t>Swept</w:t>
            </w:r>
          </w:p>
        </w:tc>
      </w:tr>
      <w:tr>
        <w:tc>
          <w:tcPr>
            <w:tcW w:type="dxa" w:w="2448"/>
          </w:tcPr>
          <w:p>
            <w:pPr>
              <w:spacing w:before="60" w:after="60"/>
            </w:pPr>
            <w:r/>
            <w:r>
              <w:rPr>
                <w:rFonts w:ascii="Segoe UI" w:hAnsi="Segoe UI"/>
                <w:b/>
                <w:color w:val="101A1E"/>
                <w:sz w:val="17"/>
              </w:rPr>
              <w:t>learning_rate</w:t>
            </w:r>
          </w:p>
        </w:tc>
        <w:tc>
          <w:tcPr>
            <w:tcW w:type="dxa" w:w="2448"/>
          </w:tcPr>
          <w:p>
            <w:pPr>
              <w:spacing w:before="60" w:after="60"/>
            </w:pPr>
            <w:r/>
            <w:r>
              <w:rPr>
                <w:rFonts w:ascii="Consolas" w:hAnsi="Consolas"/>
                <w:b w:val="0"/>
                <w:color w:val="3E4E55"/>
                <w:sz w:val="17"/>
              </w:rPr>
              <w:t>0.03, 0.05</w:t>
            </w:r>
          </w:p>
        </w:tc>
        <w:tc>
          <w:tcPr>
            <w:tcW w:type="dxa" w:w="4320"/>
          </w:tcPr>
          <w:p>
            <w:pPr>
              <w:spacing w:before="60" w:after="60"/>
            </w:pPr>
            <w:r/>
            <w:r>
              <w:rPr>
                <w:rFonts w:ascii="Segoe UI" w:hAnsi="Segoe UI"/>
                <w:b w:val="0"/>
                <w:color w:val="3E4E55"/>
                <w:sz w:val="17"/>
              </w:rPr>
              <w:t>Swept</w:t>
            </w:r>
          </w:p>
        </w:tc>
      </w:tr>
      <w:tr>
        <w:tc>
          <w:tcPr>
            <w:tcW w:type="dxa" w:w="2448"/>
          </w:tcPr>
          <w:p>
            <w:pPr>
              <w:spacing w:before="60" w:after="60"/>
            </w:pPr>
            <w:r/>
            <w:r>
              <w:rPr>
                <w:rFonts w:ascii="Segoe UI" w:hAnsi="Segoe UI"/>
                <w:b/>
                <w:color w:val="101A1E"/>
                <w:sz w:val="17"/>
              </w:rPr>
              <w:t>subsample</w:t>
            </w:r>
          </w:p>
        </w:tc>
        <w:tc>
          <w:tcPr>
            <w:tcW w:type="dxa" w:w="2448"/>
          </w:tcPr>
          <w:p>
            <w:pPr>
              <w:spacing w:before="60" w:after="60"/>
            </w:pPr>
            <w:r/>
            <w:r>
              <w:rPr>
                <w:rFonts w:ascii="Consolas" w:hAnsi="Consolas"/>
                <w:b w:val="0"/>
                <w:color w:val="3E4E55"/>
                <w:sz w:val="17"/>
              </w:rPr>
              <w:t>0.8, 1.0</w:t>
            </w:r>
          </w:p>
        </w:tc>
        <w:tc>
          <w:tcPr>
            <w:tcW w:type="dxa" w:w="4320"/>
          </w:tcPr>
          <w:p>
            <w:pPr>
              <w:spacing w:before="60" w:after="60"/>
            </w:pPr>
            <w:r/>
            <w:r>
              <w:rPr>
                <w:rFonts w:ascii="Segoe UI" w:hAnsi="Segoe UI"/>
                <w:b w:val="0"/>
                <w:color w:val="3E4E55"/>
                <w:sz w:val="17"/>
              </w:rPr>
              <w:t>Swept</w:t>
            </w:r>
          </w:p>
        </w:tc>
      </w:tr>
      <w:tr>
        <w:tc>
          <w:tcPr>
            <w:tcW w:type="dxa" w:w="2448"/>
          </w:tcPr>
          <w:p>
            <w:pPr>
              <w:spacing w:before="60" w:after="60"/>
            </w:pPr>
            <w:r/>
            <w:r>
              <w:rPr>
                <w:rFonts w:ascii="Segoe UI" w:hAnsi="Segoe UI"/>
                <w:b/>
                <w:color w:val="101A1E"/>
                <w:sz w:val="17"/>
              </w:rPr>
              <w:t>colsample_bytree</w:t>
            </w:r>
          </w:p>
        </w:tc>
        <w:tc>
          <w:tcPr>
            <w:tcW w:type="dxa" w:w="2448"/>
          </w:tcPr>
          <w:p>
            <w:pPr>
              <w:spacing w:before="60" w:after="60"/>
            </w:pPr>
            <w:r/>
            <w:r>
              <w:rPr>
                <w:rFonts w:ascii="Consolas" w:hAnsi="Consolas"/>
                <w:b w:val="0"/>
                <w:color w:val="3E4E55"/>
                <w:sz w:val="17"/>
              </w:rPr>
              <w:t>0.8</w:t>
            </w:r>
          </w:p>
        </w:tc>
        <w:tc>
          <w:tcPr>
            <w:tcW w:type="dxa" w:w="4320"/>
          </w:tcPr>
          <w:p>
            <w:pPr>
              <w:spacing w:before="60" w:after="60"/>
            </w:pPr>
            <w:r/>
            <w:r>
              <w:rPr>
                <w:rFonts w:ascii="Segoe UI" w:hAnsi="Segoe UI"/>
                <w:b w:val="0"/>
                <w:color w:val="3E4E55"/>
                <w:sz w:val="17"/>
              </w:rPr>
              <w:t>Fixed during tuning</w:t>
            </w:r>
          </w:p>
        </w:tc>
      </w:tr>
      <w:tr>
        <w:tc>
          <w:tcPr>
            <w:tcW w:type="dxa" w:w="2448"/>
          </w:tcPr>
          <w:p>
            <w:pPr>
              <w:spacing w:before="60" w:after="60"/>
            </w:pPr>
            <w:r/>
            <w:r>
              <w:rPr>
                <w:rFonts w:ascii="Segoe UI" w:hAnsi="Segoe UI"/>
                <w:b/>
                <w:color w:val="101A1E"/>
                <w:sz w:val="17"/>
              </w:rPr>
              <w:t>early_stopping_rounds</w:t>
            </w:r>
          </w:p>
        </w:tc>
        <w:tc>
          <w:tcPr>
            <w:tcW w:type="dxa" w:w="2448"/>
          </w:tcPr>
          <w:p>
            <w:pPr>
              <w:spacing w:before="60" w:after="60"/>
            </w:pPr>
            <w:r/>
            <w:r>
              <w:rPr>
                <w:rFonts w:ascii="Consolas" w:hAnsi="Consolas"/>
                <w:b w:val="0"/>
                <w:color w:val="3E4E55"/>
                <w:sz w:val="17"/>
              </w:rPr>
              <w:t>50</w:t>
            </w:r>
          </w:p>
        </w:tc>
        <w:tc>
          <w:tcPr>
            <w:tcW w:type="dxa" w:w="4320"/>
          </w:tcPr>
          <w:p>
            <w:pPr>
              <w:spacing w:before="60" w:after="60"/>
            </w:pPr>
            <w:r/>
            <w:r>
              <w:rPr>
                <w:rFonts w:ascii="Segoe UI" w:hAnsi="Segoe UI"/>
                <w:b w:val="0"/>
                <w:color w:val="3E4E55"/>
                <w:sz w:val="17"/>
              </w:rPr>
              <w:t>On the inner holdout, not on VALIDATION</w:t>
            </w:r>
          </w:p>
        </w:tc>
      </w:tr>
      <w:tr>
        <w:tc>
          <w:tcPr>
            <w:tcW w:type="dxa" w:w="2448"/>
          </w:tcPr>
          <w:p>
            <w:pPr>
              <w:spacing w:before="60" w:after="60"/>
            </w:pPr>
            <w:r/>
            <w:r>
              <w:rPr>
                <w:rFonts w:ascii="Segoe UI" w:hAnsi="Segoe UI"/>
                <w:b/>
                <w:color w:val="101A1E"/>
                <w:sz w:val="17"/>
              </w:rPr>
              <w:t>Grid size</w:t>
            </w:r>
          </w:p>
        </w:tc>
        <w:tc>
          <w:tcPr>
            <w:tcW w:type="dxa" w:w="2448"/>
          </w:tcPr>
          <w:p>
            <w:pPr>
              <w:spacing w:before="60" w:after="60"/>
            </w:pPr>
            <w:r/>
            <w:r>
              <w:rPr>
                <w:rFonts w:ascii="Consolas" w:hAnsi="Consolas"/>
                <w:b w:val="0"/>
                <w:color w:val="3E4E55"/>
                <w:sz w:val="17"/>
              </w:rPr>
              <w:t>12 candidates</w:t>
            </w:r>
          </w:p>
        </w:tc>
        <w:tc>
          <w:tcPr>
            <w:tcW w:type="dxa" w:w="4320"/>
          </w:tcPr>
          <w:p>
            <w:pPr>
              <w:spacing w:before="60" w:after="60"/>
            </w:pPr>
            <w:r/>
            <w:r>
              <w:rPr>
                <w:rFonts w:ascii="Segoe UI" w:hAnsi="Segoe UI"/>
                <w:b w:val="0"/>
                <w:color w:val="3E4E55"/>
                <w:sz w:val="17"/>
              </w:rPr>
              <w:t>Deliberately small: the risk is silent multiple comparison on one block</w:t>
            </w:r>
          </w:p>
        </w:tc>
      </w:tr>
      <w:tr>
        <w:tc>
          <w:tcPr>
            <w:tcW w:type="dxa" w:w="2448"/>
          </w:tcPr>
          <w:p>
            <w:pPr>
              <w:spacing w:before="60" w:after="60"/>
            </w:pPr>
            <w:r/>
            <w:r>
              <w:rPr>
                <w:rFonts w:ascii="Segoe UI" w:hAnsi="Segoe UI"/>
                <w:b/>
                <w:color w:val="101A1E"/>
                <w:sz w:val="17"/>
              </w:rPr>
              <w:t>selection</w:t>
            </w:r>
          </w:p>
        </w:tc>
        <w:tc>
          <w:tcPr>
            <w:tcW w:type="dxa" w:w="2448"/>
          </w:tcPr>
          <w:p>
            <w:pPr>
              <w:spacing w:before="60" w:after="60"/>
            </w:pPr>
            <w:r/>
            <w:r>
              <w:rPr>
                <w:rFonts w:ascii="Consolas" w:hAnsi="Consolas"/>
                <w:b w:val="0"/>
                <w:color w:val="3E4E55"/>
                <w:sz w:val="17"/>
              </w:rPr>
              <w:t>baseline_normalized_mean_rmse</w:t>
            </w:r>
          </w:p>
        </w:tc>
        <w:tc>
          <w:tcPr>
            <w:tcW w:type="dxa" w:w="4320"/>
          </w:tcPr>
          <w:p>
            <w:pPr>
              <w:spacing w:before="60" w:after="60"/>
            </w:pPr>
            <w:r/>
            <w:r>
              <w:rPr>
                <w:rFonts w:ascii="Segoe UI" w:hAnsi="Segoe UI"/>
                <w:b w:val="0"/>
                <w:color w:val="3E4E55"/>
                <w:sz w:val="17"/>
              </w:rPr>
              <w:t>Mean of per-target RMSE ÷ OLS RMSE — equal target weight</w:t>
            </w:r>
          </w:p>
        </w:tc>
      </w:tr>
      <w:tr>
        <w:tc>
          <w:tcPr>
            <w:tcW w:type="dxa" w:w="2448"/>
          </w:tcPr>
          <w:p>
            <w:pPr>
              <w:spacing w:before="60" w:after="60"/>
            </w:pPr>
            <w:r/>
            <w:r>
              <w:rPr>
                <w:rFonts w:ascii="Segoe UI" w:hAnsi="Segoe UI"/>
                <w:b/>
                <w:color w:val="101A1E"/>
                <w:sz w:val="17"/>
              </w:rPr>
              <w:t>inner_holdout_fraction</w:t>
            </w:r>
          </w:p>
        </w:tc>
        <w:tc>
          <w:tcPr>
            <w:tcW w:type="dxa" w:w="2448"/>
          </w:tcPr>
          <w:p>
            <w:pPr>
              <w:spacing w:before="60" w:after="60"/>
            </w:pPr>
            <w:r/>
            <w:r>
              <w:rPr>
                <w:rFonts w:ascii="Consolas" w:hAnsi="Consolas"/>
                <w:b w:val="0"/>
                <w:color w:val="3E4E55"/>
                <w:sz w:val="17"/>
              </w:rPr>
              <w:t>0.2</w:t>
            </w:r>
          </w:p>
        </w:tc>
        <w:tc>
          <w:tcPr>
            <w:tcW w:type="dxa" w:w="4320"/>
          </w:tcPr>
          <w:p>
            <w:pPr>
              <w:spacing w:before="60" w:after="60"/>
            </w:pPr>
            <w:r/>
            <w:r>
              <w:rPr>
                <w:rFonts w:ascii="Segoe UI" w:hAnsi="Segoe UI"/>
                <w:b w:val="0"/>
                <w:color w:val="3E4E55"/>
                <w:sz w:val="17"/>
              </w:rPr>
              <w:t>ADR-030: final 20% of TRAIN, chronologically</w:t>
            </w:r>
          </w:p>
        </w:tc>
      </w:tr>
    </w:tbl>
    <w:p>
      <w:pPr>
        <w:spacing w:after="40"/>
      </w:pPr>
    </w:p>
    <w:p>
      <w:pPr>
        <w:pStyle w:val="H2x"/>
      </w:pPr>
      <w:r>
        <w:rPr>
          <w:b w:val="0"/>
          <w:i w:val="0"/>
        </w:rPr>
        <w:t>Second baseline (Elastic Net)</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E7EDEF"/>
          </w:tcPr>
          <w:p>
            <w:pPr>
              <w:spacing w:before="60" w:after="60"/>
            </w:pPr>
            <w:r/>
            <w:r>
              <w:rPr>
                <w:rFonts w:ascii="Segoe UI" w:hAnsi="Segoe UI"/>
                <w:b/>
                <w:color w:val="101A1E"/>
                <w:sz w:val="16"/>
              </w:rPr>
              <w:t>Setting</w:t>
            </w:r>
          </w:p>
        </w:tc>
        <w:tc>
          <w:tcPr>
            <w:tcW w:type="dxa" w:w="2448"/>
            <w:shd w:val="clear" w:color="auto" w:fill="E7EDEF"/>
          </w:tcPr>
          <w:p>
            <w:pPr>
              <w:spacing w:before="60" w:after="60"/>
            </w:pPr>
            <w:r/>
            <w:r>
              <w:rPr>
                <w:rFonts w:ascii="Segoe UI" w:hAnsi="Segoe UI"/>
                <w:b/>
                <w:color w:val="101A1E"/>
                <w:sz w:val="16"/>
              </w:rPr>
              <w:t>Value</w:t>
            </w:r>
          </w:p>
        </w:tc>
        <w:tc>
          <w:tcPr>
            <w:tcW w:type="dxa" w:w="4320"/>
            <w:shd w:val="clear" w:color="auto" w:fill="E7EDEF"/>
          </w:tcPr>
          <w:p>
            <w:pPr>
              <w:spacing w:before="60" w:after="60"/>
            </w:pPr>
            <w:r/>
            <w:r>
              <w:rPr>
                <w:rFonts w:ascii="Segoe UI" w:hAnsi="Segoe UI"/>
                <w:b/>
                <w:color w:val="101A1E"/>
                <w:sz w:val="16"/>
              </w:rPr>
              <w:t>Note</w:t>
            </w:r>
          </w:p>
        </w:tc>
      </w:tr>
      <w:tr>
        <w:tc>
          <w:tcPr>
            <w:tcW w:type="dxa" w:w="2448"/>
          </w:tcPr>
          <w:p>
            <w:pPr>
              <w:spacing w:before="60" w:after="60"/>
            </w:pPr>
            <w:r/>
            <w:r>
              <w:rPr>
                <w:rFonts w:ascii="Segoe UI" w:hAnsi="Segoe UI"/>
                <w:b/>
                <w:color w:val="101A1E"/>
                <w:sz w:val="17"/>
              </w:rPr>
              <w:t>Estimator</w:t>
            </w:r>
          </w:p>
        </w:tc>
        <w:tc>
          <w:tcPr>
            <w:tcW w:type="dxa" w:w="2448"/>
          </w:tcPr>
          <w:p>
            <w:pPr>
              <w:spacing w:before="60" w:after="60"/>
            </w:pPr>
            <w:r/>
            <w:r>
              <w:rPr>
                <w:rFonts w:ascii="Consolas" w:hAnsi="Consolas"/>
                <w:b w:val="0"/>
                <w:color w:val="3E4E55"/>
                <w:sz w:val="17"/>
              </w:rPr>
              <w:t>MultiTaskElasticNet</w:t>
            </w:r>
          </w:p>
        </w:tc>
        <w:tc>
          <w:tcPr>
            <w:tcW w:type="dxa" w:w="4320"/>
          </w:tcPr>
          <w:p>
            <w:pPr>
              <w:spacing w:before="60" w:after="60"/>
            </w:pPr>
            <w:r/>
            <w:r>
              <w:rPr>
                <w:rFonts w:ascii="Segoe UI" w:hAnsi="Segoe UI"/>
                <w:b w:val="0"/>
                <w:color w:val="3E4E55"/>
                <w:sz w:val="17"/>
              </w:rPr>
              <w:t>L2,1 penalty: predictors retained or dropped for BOTH targets together</w:t>
            </w:r>
          </w:p>
        </w:tc>
      </w:tr>
      <w:tr>
        <w:tc>
          <w:tcPr>
            <w:tcW w:type="dxa" w:w="2448"/>
          </w:tcPr>
          <w:p>
            <w:pPr>
              <w:spacing w:before="60" w:after="60"/>
            </w:pPr>
            <w:r/>
            <w:r>
              <w:rPr>
                <w:rFonts w:ascii="Segoe UI" w:hAnsi="Segoe UI"/>
                <w:b/>
                <w:color w:val="101A1E"/>
                <w:sz w:val="17"/>
              </w:rPr>
              <w:t>Standardisation</w:t>
            </w:r>
          </w:p>
        </w:tc>
        <w:tc>
          <w:tcPr>
            <w:tcW w:type="dxa" w:w="2448"/>
          </w:tcPr>
          <w:p>
            <w:pPr>
              <w:spacing w:before="60" w:after="60"/>
            </w:pPr>
            <w:r/>
            <w:r>
              <w:rPr>
                <w:rFonts w:ascii="Segoe UI" w:hAnsi="Segoe UI"/>
                <w:b w:val="0"/>
                <w:color w:val="3E4E55"/>
                <w:sz w:val="17"/>
              </w:rPr>
              <w:t>StandardScaler` inside a Pipeline</w:t>
            </w:r>
          </w:p>
        </w:tc>
        <w:tc>
          <w:tcPr>
            <w:tcW w:type="dxa" w:w="4320"/>
          </w:tcPr>
          <w:p>
            <w:pPr>
              <w:spacing w:before="60" w:after="60"/>
            </w:pPr>
            <w:r/>
            <w:r>
              <w:rPr>
                <w:rFonts w:ascii="Segoe UI" w:hAnsi="Segoe UI"/>
                <w:b w:val="0"/>
                <w:color w:val="3E4E55"/>
                <w:sz w:val="17"/>
              </w:rPr>
              <w:t>Regularisation is scale-sensitive; keeping the scaler inside makes a cross-boundary leak unrepresentable</w:t>
            </w:r>
          </w:p>
        </w:tc>
      </w:tr>
      <w:tr>
        <w:tc>
          <w:tcPr>
            <w:tcW w:type="dxa" w:w="2448"/>
          </w:tcPr>
          <w:p>
            <w:pPr>
              <w:spacing w:before="60" w:after="60"/>
            </w:pPr>
            <w:r/>
            <w:r>
              <w:rPr>
                <w:rFonts w:ascii="Segoe UI" w:hAnsi="Segoe UI"/>
                <w:b/>
                <w:color w:val="101A1E"/>
                <w:sz w:val="17"/>
              </w:rPr>
              <w:t>alpha</w:t>
            </w:r>
          </w:p>
        </w:tc>
        <w:tc>
          <w:tcPr>
            <w:tcW w:type="dxa" w:w="2448"/>
          </w:tcPr>
          <w:p>
            <w:pPr>
              <w:spacing w:before="60" w:after="60"/>
            </w:pPr>
            <w:r/>
            <w:r>
              <w:rPr>
                <w:rFonts w:ascii="Consolas" w:hAnsi="Consolas"/>
                <w:b w:val="0"/>
                <w:color w:val="3E4E55"/>
                <w:sz w:val="17"/>
              </w:rPr>
              <w:t>0.01, 0.1, 1.0</w:t>
            </w:r>
          </w:p>
        </w:tc>
        <w:tc>
          <w:tcPr>
            <w:tcW w:type="dxa" w:w="4320"/>
          </w:tcPr>
          <w:p>
            <w:pPr>
              <w:spacing w:before="60" w:after="60"/>
            </w:pPr>
            <w:r/>
            <w:r>
              <w:rPr>
                <w:rFonts w:ascii="Segoe UI" w:hAnsi="Segoe UI"/>
                <w:b w:val="0"/>
                <w:color w:val="3E4E55"/>
                <w:sz w:val="17"/>
              </w:rPr>
              <w:t>Swept</w:t>
            </w:r>
          </w:p>
        </w:tc>
      </w:tr>
      <w:tr>
        <w:tc>
          <w:tcPr>
            <w:tcW w:type="dxa" w:w="2448"/>
          </w:tcPr>
          <w:p>
            <w:pPr>
              <w:spacing w:before="60" w:after="60"/>
            </w:pPr>
            <w:r/>
            <w:r>
              <w:rPr>
                <w:rFonts w:ascii="Segoe UI" w:hAnsi="Segoe UI"/>
                <w:b/>
                <w:color w:val="101A1E"/>
                <w:sz w:val="17"/>
              </w:rPr>
              <w:t>l1_ratio</w:t>
            </w:r>
          </w:p>
        </w:tc>
        <w:tc>
          <w:tcPr>
            <w:tcW w:type="dxa" w:w="2448"/>
          </w:tcPr>
          <w:p>
            <w:pPr>
              <w:spacing w:before="60" w:after="60"/>
            </w:pPr>
            <w:r/>
            <w:r>
              <w:rPr>
                <w:rFonts w:ascii="Consolas" w:hAnsi="Consolas"/>
                <w:b w:val="0"/>
                <w:color w:val="3E4E55"/>
                <w:sz w:val="17"/>
              </w:rPr>
              <w:t>0.15, 0.5, 0.85</w:t>
            </w:r>
          </w:p>
        </w:tc>
        <w:tc>
          <w:tcPr>
            <w:tcW w:type="dxa" w:w="4320"/>
          </w:tcPr>
          <w:p>
            <w:pPr>
              <w:spacing w:before="60" w:after="60"/>
            </w:pPr>
            <w:r/>
            <w:r>
              <w:rPr>
                <w:rFonts w:ascii="Segoe UI" w:hAnsi="Segoe UI"/>
                <w:b w:val="0"/>
                <w:color w:val="3E4E55"/>
                <w:sz w:val="17"/>
              </w:rPr>
              <w:t>Swept — spans ridge to lasso</w:t>
            </w:r>
          </w:p>
        </w:tc>
      </w:tr>
      <w:tr>
        <w:tc>
          <w:tcPr>
            <w:tcW w:type="dxa" w:w="2448"/>
          </w:tcPr>
          <w:p>
            <w:pPr>
              <w:spacing w:before="60" w:after="60"/>
            </w:pPr>
            <w:r/>
            <w:r>
              <w:rPr>
                <w:rFonts w:ascii="Segoe UI" w:hAnsi="Segoe UI"/>
                <w:b/>
                <w:color w:val="101A1E"/>
                <w:sz w:val="17"/>
              </w:rPr>
              <w:t>Grid size</w:t>
            </w:r>
          </w:p>
        </w:tc>
        <w:tc>
          <w:tcPr>
            <w:tcW w:type="dxa" w:w="2448"/>
          </w:tcPr>
          <w:p>
            <w:pPr>
              <w:spacing w:before="60" w:after="60"/>
            </w:pPr>
            <w:r/>
            <w:r>
              <w:rPr>
                <w:rFonts w:ascii="Consolas" w:hAnsi="Consolas"/>
                <w:b w:val="0"/>
                <w:color w:val="3E4E55"/>
                <w:sz w:val="17"/>
              </w:rPr>
              <w:t>9 candidates</w:t>
            </w:r>
          </w:p>
        </w:tc>
        <w:tc>
          <w:tcPr>
            <w:tcW w:type="dxa" w:w="4320"/>
          </w:tcPr>
          <w:p>
            <w:pPr>
              <w:spacing w:before="60" w:after="60"/>
            </w:pPr>
            <w:r/>
            <w:r>
              <w:rPr>
                <w:rFonts w:ascii="Segoe UI" w:hAnsi="Segoe UI"/>
                <w:b w:val="0"/>
                <w:color w:val="3E4E55"/>
                <w:sz w:val="17"/>
              </w:rPr>
              <w:t>Fewer than the thesis model's 12, so the reference cannot dominate the comparison budget</w:t>
            </w:r>
          </w:p>
        </w:tc>
      </w:tr>
      <w:tr>
        <w:tc>
          <w:tcPr>
            <w:tcW w:type="dxa" w:w="2448"/>
          </w:tcPr>
          <w:p>
            <w:pPr>
              <w:spacing w:before="60" w:after="60"/>
            </w:pPr>
            <w:r/>
            <w:r>
              <w:rPr>
                <w:rFonts w:ascii="Segoe UI" w:hAnsi="Segoe UI"/>
                <w:b/>
                <w:color w:val="101A1E"/>
                <w:sz w:val="17"/>
              </w:rPr>
              <w:t>max_iter</w:t>
            </w:r>
          </w:p>
        </w:tc>
        <w:tc>
          <w:tcPr>
            <w:tcW w:type="dxa" w:w="2448"/>
          </w:tcPr>
          <w:p>
            <w:pPr>
              <w:spacing w:before="60" w:after="60"/>
            </w:pPr>
            <w:r/>
            <w:r>
              <w:rPr>
                <w:rFonts w:ascii="Consolas" w:hAnsi="Consolas"/>
                <w:b w:val="0"/>
                <w:color w:val="3E4E55"/>
                <w:sz w:val="17"/>
              </w:rPr>
              <w:t>5000</w:t>
            </w:r>
          </w:p>
        </w:tc>
        <w:tc>
          <w:tcPr>
            <w:tcW w:type="dxa" w:w="4320"/>
          </w:tcPr>
          <w:p>
            <w:pPr>
              <w:spacing w:before="60" w:after="60"/>
            </w:pPr>
            <w:r/>
            <w:r>
              <w:rPr>
                <w:rFonts w:ascii="Segoe UI" w:hAnsi="Segoe UI"/>
                <w:b w:val="0"/>
                <w:color w:val="3E4E55"/>
                <w:sz w:val="17"/>
              </w:rPr>
              <w:t>Coordinate descent convergence</w:t>
            </w:r>
          </w:p>
        </w:tc>
      </w:tr>
    </w:tbl>
    <w:p>
      <w:pPr>
        <w:spacing w:after="40"/>
      </w:pPr>
    </w:p>
    <w:p>
      <w:pPr>
        <w:pStyle w:val="H2x"/>
      </w:pPr>
      <w:r>
        <w:rPr>
          <w:b w:val="0"/>
          <w:i w:val="0"/>
        </w:rPr>
        <w:t>Residuals and detection</w:t>
      </w:r>
    </w:p>
    <w:tbl>
      <w:tblPr>
        <w:tblStyle w:val="TableGrid"/>
        <w:tblW w:type="auto" w:w="0"/>
        <w:jc w:val="left"/>
        <w:tblLook w:firstColumn="1" w:firstRow="1" w:lastColumn="0" w:lastRow="0" w:noHBand="0" w:noVBand="1" w:val="04A0"/>
      </w:tblPr>
      <w:tblGrid>
        <w:gridCol w:w="3120"/>
        <w:gridCol w:w="3120"/>
        <w:gridCol w:w="3120"/>
      </w:tblGrid>
      <w:tr>
        <w:tc>
          <w:tcPr>
            <w:tcW w:type="dxa" w:w="2448"/>
            <w:shd w:val="clear" w:color="auto" w:fill="E7EDEF"/>
          </w:tcPr>
          <w:p>
            <w:pPr>
              <w:spacing w:before="60" w:after="60"/>
            </w:pPr>
            <w:r/>
            <w:r>
              <w:rPr>
                <w:rFonts w:ascii="Segoe UI" w:hAnsi="Segoe UI"/>
                <w:b/>
                <w:color w:val="101A1E"/>
                <w:sz w:val="16"/>
              </w:rPr>
              <w:t>Setting</w:t>
            </w:r>
          </w:p>
        </w:tc>
        <w:tc>
          <w:tcPr>
            <w:tcW w:type="dxa" w:w="2736"/>
            <w:shd w:val="clear" w:color="auto" w:fill="E7EDEF"/>
          </w:tcPr>
          <w:p>
            <w:pPr>
              <w:spacing w:before="60" w:after="60"/>
            </w:pPr>
            <w:r/>
            <w:r>
              <w:rPr>
                <w:rFonts w:ascii="Segoe UI" w:hAnsi="Segoe UI"/>
                <w:b/>
                <w:color w:val="101A1E"/>
                <w:sz w:val="16"/>
              </w:rPr>
              <w:t>Value</w:t>
            </w:r>
          </w:p>
        </w:tc>
        <w:tc>
          <w:tcPr>
            <w:tcW w:type="dxa" w:w="4032"/>
            <w:shd w:val="clear" w:color="auto" w:fill="E7EDEF"/>
          </w:tcPr>
          <w:p>
            <w:pPr>
              <w:spacing w:before="60" w:after="60"/>
            </w:pPr>
            <w:r/>
            <w:r>
              <w:rPr>
                <w:rFonts w:ascii="Segoe UI" w:hAnsi="Segoe UI"/>
                <w:b/>
                <w:color w:val="101A1E"/>
                <w:sz w:val="16"/>
              </w:rPr>
              <w:t>Note</w:t>
            </w:r>
          </w:p>
        </w:tc>
      </w:tr>
      <w:tr>
        <w:tc>
          <w:tcPr>
            <w:tcW w:type="dxa" w:w="2448"/>
          </w:tcPr>
          <w:p>
            <w:pPr>
              <w:spacing w:before="60" w:after="60"/>
            </w:pPr>
            <w:r/>
            <w:r>
              <w:rPr>
                <w:rFonts w:ascii="Segoe UI" w:hAnsi="Segoe UI"/>
                <w:b/>
                <w:color w:val="101A1E"/>
                <w:sz w:val="17"/>
              </w:rPr>
              <w:t>Residual</w:t>
            </w:r>
          </w:p>
        </w:tc>
        <w:tc>
          <w:tcPr>
            <w:tcW w:type="dxa" w:w="2736"/>
          </w:tcPr>
          <w:p>
            <w:pPr>
              <w:spacing w:before="60" w:after="60"/>
            </w:pPr>
            <w:r/>
            <w:r>
              <w:rPr>
                <w:rFonts w:ascii="Segoe UI" w:hAnsi="Segoe UI"/>
                <w:b w:val="0"/>
                <w:color w:val="3E4E55"/>
                <w:sz w:val="17"/>
              </w:rPr>
              <w:t>actual − predicted`, per target</w:t>
            </w:r>
          </w:p>
        </w:tc>
        <w:tc>
          <w:tcPr>
            <w:tcW w:type="dxa" w:w="4032"/>
          </w:tcPr>
          <w:p>
            <w:pPr>
              <w:spacing w:before="60" w:after="60"/>
            </w:pPr>
            <w:r/>
            <w:r>
              <w:rPr>
                <w:rFonts w:ascii="Segoe UI" w:hAnsi="Segoe UI"/>
                <w:b w:val="0"/>
                <w:color w:val="3E4E55"/>
                <w:sz w:val="17"/>
              </w:rPr>
              <w:t>Thesis model only; baseline residuals are never thresholded</w:t>
            </w:r>
          </w:p>
        </w:tc>
      </w:tr>
      <w:tr>
        <w:tc>
          <w:tcPr>
            <w:tcW w:type="dxa" w:w="2448"/>
          </w:tcPr>
          <w:p>
            <w:pPr>
              <w:spacing w:before="60" w:after="60"/>
            </w:pPr>
            <w:r/>
            <w:r>
              <w:rPr>
                <w:rFonts w:ascii="Segoe UI" w:hAnsi="Segoe UI"/>
                <w:b/>
                <w:color w:val="101A1E"/>
                <w:sz w:val="17"/>
              </w:rPr>
              <w:t>Normalization</w:t>
            </w:r>
          </w:p>
        </w:tc>
        <w:tc>
          <w:tcPr>
            <w:tcW w:type="dxa" w:w="2736"/>
          </w:tcPr>
          <w:p>
            <w:pPr>
              <w:spacing w:before="60" w:after="60"/>
            </w:pPr>
            <w:r/>
            <w:r>
              <w:rPr>
                <w:rFonts w:ascii="Segoe UI" w:hAnsi="Segoe UI"/>
                <w:b w:val="0"/>
                <w:color w:val="3E4E55"/>
                <w:sz w:val="17"/>
              </w:rPr>
              <w:t>mad` (×1.4826)</w:t>
            </w:r>
          </w:p>
        </w:tc>
        <w:tc>
          <w:tcPr>
            <w:tcW w:type="dxa" w:w="4032"/>
          </w:tcPr>
          <w:p>
            <w:pPr>
              <w:spacing w:before="60" w:after="60"/>
            </w:pPr>
            <w:r/>
            <w:r>
              <w:rPr>
                <w:rFonts w:ascii="Segoe UI" w:hAnsi="Segoe UI"/>
                <w:b w:val="0"/>
                <w:color w:val="3E4E55"/>
                <w:sz w:val="17"/>
              </w:rPr>
              <w:t>Four families implemented: sigma, mad, percentile, condition-binned</w:t>
            </w:r>
          </w:p>
        </w:tc>
      </w:tr>
      <w:tr>
        <w:tc>
          <w:tcPr>
            <w:tcW w:type="dxa" w:w="2448"/>
          </w:tcPr>
          <w:p>
            <w:pPr>
              <w:spacing w:before="60" w:after="60"/>
            </w:pPr>
            <w:r/>
            <w:r>
              <w:rPr>
                <w:rFonts w:ascii="Segoe UI" w:hAnsi="Segoe UI"/>
                <w:b/>
                <w:color w:val="101A1E"/>
                <w:sz w:val="17"/>
              </w:rPr>
              <w:t>Statistics source</w:t>
            </w:r>
          </w:p>
        </w:tc>
        <w:tc>
          <w:tcPr>
            <w:tcW w:type="dxa" w:w="2736"/>
          </w:tcPr>
          <w:p>
            <w:pPr>
              <w:spacing w:before="60" w:after="60"/>
            </w:pPr>
            <w:r/>
            <w:r>
              <w:rPr>
                <w:rFonts w:ascii="Consolas" w:hAnsi="Consolas"/>
                <w:b w:val="0"/>
                <w:color w:val="3E4E55"/>
                <w:sz w:val="17"/>
              </w:rPr>
              <w:t>training</w:t>
            </w:r>
          </w:p>
        </w:tc>
        <w:tc>
          <w:tcPr>
            <w:tcW w:type="dxa" w:w="4032"/>
          </w:tcPr>
          <w:p>
            <w:pPr>
              <w:spacing w:before="60" w:after="60"/>
            </w:pPr>
            <w:r/>
            <w:r>
              <w:rPr>
                <w:rFonts w:ascii="Segoe UI" w:hAnsi="Segoe UI"/>
                <w:b w:val="0"/>
                <w:color w:val="3E4E55"/>
                <w:sz w:val="17"/>
              </w:rPr>
              <w:t>ADR-001 remains open; both branches exist as configuration</w:t>
            </w:r>
          </w:p>
        </w:tc>
      </w:tr>
      <w:tr>
        <w:tc>
          <w:tcPr>
            <w:tcW w:type="dxa" w:w="2448"/>
          </w:tcPr>
          <w:p>
            <w:pPr>
              <w:spacing w:before="60" w:after="60"/>
            </w:pPr>
            <w:r/>
            <w:r>
              <w:rPr>
                <w:rFonts w:ascii="Segoe UI" w:hAnsi="Segoe UI"/>
                <w:b/>
                <w:color w:val="101A1E"/>
                <w:sz w:val="17"/>
              </w:rPr>
              <w:t>fleet_relative</w:t>
            </w:r>
          </w:p>
        </w:tc>
        <w:tc>
          <w:tcPr>
            <w:tcW w:type="dxa" w:w="2736"/>
          </w:tcPr>
          <w:p>
            <w:pPr>
              <w:spacing w:before="60" w:after="60"/>
            </w:pPr>
            <w:r/>
            <w:r>
              <w:rPr>
                <w:rFonts w:ascii="Consolas" w:hAnsi="Consolas"/>
                <w:b w:val="0"/>
                <w:color w:val="3E4E55"/>
                <w:sz w:val="17"/>
              </w:rPr>
              <w:t>False</w:t>
            </w:r>
          </w:p>
        </w:tc>
        <w:tc>
          <w:tcPr>
            <w:tcW w:type="dxa" w:w="4032"/>
          </w:tcPr>
          <w:p>
            <w:pPr>
              <w:spacing w:before="60" w:after="60"/>
            </w:pPr>
            <w:r/>
            <w:r>
              <w:rPr>
                <w:rFonts w:ascii="Segoe UI" w:hAnsi="Segoe UI"/>
                <w:b w:val="0"/>
                <w:color w:val="3E4E55"/>
                <w:sz w:val="17"/>
              </w:rPr>
              <w:t>ADR-029 ablation arm, default off</w:t>
            </w:r>
          </w:p>
        </w:tc>
      </w:tr>
      <w:tr>
        <w:tc>
          <w:tcPr>
            <w:tcW w:type="dxa" w:w="2448"/>
          </w:tcPr>
          <w:p>
            <w:pPr>
              <w:spacing w:before="60" w:after="60"/>
            </w:pPr>
            <w:r/>
            <w:r>
              <w:rPr>
                <w:rFonts w:ascii="Segoe UI" w:hAnsi="Segoe UI"/>
                <w:b/>
                <w:color w:val="101A1E"/>
                <w:sz w:val="17"/>
              </w:rPr>
              <w:t>Detector</w:t>
            </w:r>
          </w:p>
        </w:tc>
        <w:tc>
          <w:tcPr>
            <w:tcW w:type="dxa" w:w="2736"/>
          </w:tcPr>
          <w:p>
            <w:pPr>
              <w:spacing w:before="60" w:after="60"/>
            </w:pPr>
            <w:r/>
            <w:r>
              <w:rPr>
                <w:rFonts w:ascii="Segoe UI" w:hAnsi="Segoe UI"/>
                <w:b w:val="0"/>
                <w:color w:val="3E4E55"/>
                <w:sz w:val="17"/>
              </w:rPr>
              <w:t>ewma`, λ = 0.2</w:t>
            </w:r>
          </w:p>
        </w:tc>
        <w:tc>
          <w:tcPr>
            <w:tcW w:type="dxa" w:w="4032"/>
          </w:tcPr>
          <w:p>
            <w:pPr>
              <w:spacing w:before="60" w:after="60"/>
            </w:pPr>
            <w:r/>
            <w:r>
              <w:rPr>
                <w:rFonts w:ascii="Segoe UI" w:hAnsi="Segoe UI"/>
                <w:b w:val="0"/>
                <w:color w:val="3E4E55"/>
                <w:sz w:val="17"/>
              </w:rPr>
              <w:t>The only admissible method (LOCKED-02)</w:t>
            </w:r>
          </w:p>
        </w:tc>
      </w:tr>
      <w:tr>
        <w:tc>
          <w:tcPr>
            <w:tcW w:type="dxa" w:w="2448"/>
          </w:tcPr>
          <w:p>
            <w:pPr>
              <w:spacing w:before="60" w:after="60"/>
            </w:pPr>
            <w:r/>
            <w:r>
              <w:rPr>
                <w:rFonts w:ascii="Segoe UI" w:hAnsi="Segoe UI"/>
                <w:b/>
                <w:color w:val="101A1E"/>
                <w:sz w:val="17"/>
              </w:rPr>
              <w:t>Control limits</w:t>
            </w:r>
          </w:p>
        </w:tc>
        <w:tc>
          <w:tcPr>
            <w:tcW w:type="dxa" w:w="2736"/>
          </w:tcPr>
          <w:p>
            <w:pPr>
              <w:spacing w:before="60" w:after="60"/>
            </w:pPr>
            <w:r/>
            <w:r>
              <w:rPr>
                <w:rFonts w:ascii="Segoe UI" w:hAnsi="Segoe UI"/>
                <w:b w:val="0"/>
                <w:color w:val="3E4E55"/>
                <w:sz w:val="17"/>
              </w:rPr>
              <w:t>±k·σ·√(λ/(2−λ))`, steady state, k = 3.0</w:t>
            </w:r>
          </w:p>
        </w:tc>
        <w:tc>
          <w:tcPr>
            <w:tcW w:type="dxa" w:w="4032"/>
          </w:tcPr>
          <w:p>
            <w:pPr>
              <w:spacing w:before="60" w:after="60"/>
            </w:pPr>
            <w:r/>
            <w:r>
              <w:rPr>
                <w:rFonts w:ascii="Segoe UI" w:hAnsi="Segoe UI"/>
                <w:b w:val="0"/>
                <w:color w:val="3E4E55"/>
                <w:sz w:val="17"/>
              </w:rPr>
              <w:t>Time-varying variant implemented and selectable</w:t>
            </w:r>
          </w:p>
        </w:tc>
      </w:tr>
      <w:tr>
        <w:tc>
          <w:tcPr>
            <w:tcW w:type="dxa" w:w="2448"/>
          </w:tcPr>
          <w:p>
            <w:pPr>
              <w:spacing w:before="60" w:after="60"/>
            </w:pPr>
            <w:r/>
            <w:r>
              <w:rPr>
                <w:rFonts w:ascii="Segoe UI" w:hAnsi="Segoe UI"/>
                <w:b/>
                <w:color w:val="101A1E"/>
                <w:sz w:val="17"/>
              </w:rPr>
              <w:t>Persistence</w:t>
            </w:r>
          </w:p>
        </w:tc>
        <w:tc>
          <w:tcPr>
            <w:tcW w:type="dxa" w:w="2736"/>
          </w:tcPr>
          <w:p>
            <w:pPr>
              <w:spacing w:before="60" w:after="60"/>
            </w:pPr>
            <w:r/>
            <w:r>
              <w:rPr>
                <w:rFonts w:ascii="Consolas" w:hAnsi="Consolas"/>
                <w:b w:val="0"/>
                <w:color w:val="3E4E55"/>
                <w:sz w:val="17"/>
              </w:rPr>
              <w:t>3 samples</w:t>
            </w:r>
          </w:p>
        </w:tc>
        <w:tc>
          <w:tcPr>
            <w:tcW w:type="dxa" w:w="4032"/>
          </w:tcPr>
          <w:p>
            <w:pPr>
              <w:spacing w:before="60" w:after="60"/>
            </w:pPr>
            <w:r/>
            <w:r>
              <w:rPr>
                <w:rFonts w:ascii="Segoe UI" w:hAnsi="Segoe UI"/>
                <w:b w:val="0"/>
                <w:color w:val="3E4E55"/>
                <w:sz w:val="17"/>
              </w:rPr>
              <w:t>30 minutes; 12 and 20 also reported (ADR-031)</w:t>
            </w:r>
          </w:p>
        </w:tc>
      </w:tr>
      <w:tr>
        <w:tc>
          <w:tcPr>
            <w:tcW w:type="dxa" w:w="2448"/>
          </w:tcPr>
          <w:p>
            <w:pPr>
              <w:spacing w:before="60" w:after="60"/>
            </w:pPr>
            <w:r/>
            <w:r>
              <w:rPr>
                <w:rFonts w:ascii="Segoe UI" w:hAnsi="Segoe UI"/>
                <w:b/>
                <w:color w:val="101A1E"/>
                <w:sz w:val="17"/>
              </w:rPr>
              <w:t>Event match window</w:t>
            </w:r>
          </w:p>
        </w:tc>
        <w:tc>
          <w:tcPr>
            <w:tcW w:type="dxa" w:w="2736"/>
          </w:tcPr>
          <w:p>
            <w:pPr>
              <w:spacing w:before="60" w:after="60"/>
            </w:pPr>
            <w:r/>
            <w:r>
              <w:rPr>
                <w:rFonts w:ascii="Consolas" w:hAnsi="Consolas"/>
                <w:b w:val="0"/>
                <w:color w:val="3E4E55"/>
                <w:sz w:val="17"/>
              </w:rPr>
              <w:t>14 days</w:t>
            </w:r>
          </w:p>
        </w:tc>
        <w:tc>
          <w:tcPr>
            <w:tcW w:type="dxa" w:w="4032"/>
          </w:tcPr>
          <w:p>
            <w:pPr>
              <w:spacing w:before="60" w:after="60"/>
            </w:pPr>
            <w:r/>
            <w:r>
              <w:rPr>
                <w:rFonts w:ascii="Segoe UI" w:hAnsi="Segoe UI"/>
                <w:b w:val="0"/>
                <w:color w:val="3E4E55"/>
                <w:sz w:val="17"/>
              </w:rPr>
              <w:t>Pre-event; swept 7/14/30</w:t>
            </w:r>
          </w:p>
        </w:tc>
      </w:tr>
    </w:tbl>
    <w:p>
      <w:pPr>
        <w:spacing w:after="40"/>
      </w:pPr>
    </w:p>
    <w:p>
      <w:pPr>
        <w:pStyle w:val="H1x"/>
      </w:pPr>
      <w:r>
        <w:rPr>
          <w:b w:val="0"/>
          <w:i w:val="0"/>
        </w:rPr>
        <w:t>4.4  The training pipeline, in execution order</w:t>
      </w:r>
    </w:p>
    <w:p>
      <w:pPr>
        <w:pStyle w:val="ListNumber"/>
        <w:spacing w:after="80"/>
        <w:ind w:left="547"/>
      </w:pPr>
      <w:r>
        <w:rPr>
          <w:b/>
        </w:rPr>
        <w:t>Guards fire before any file is opened</w:t>
      </w:r>
      <w:r>
        <w:t xml:space="preserve"> — causal separation (1/2/8) and split policy (3). A guard failure aborts with no partial artifacts.</w:t>
      </w:r>
    </w:p>
    <w:p>
      <w:pPr>
        <w:pStyle w:val="ListNumber"/>
        <w:spacing w:after="80"/>
        <w:ind w:left="547"/>
      </w:pPr>
      <w:r>
        <w:rPr>
          <w:b/>
        </w:rPr>
        <w:t>Ingest</w:t>
      </w:r>
      <w:r>
        <w:t xml:space="preserve"> with provenance capture and deduplication.</w:t>
      </w:r>
    </w:p>
    <w:p>
      <w:pPr>
        <w:pStyle w:val="ListNumber"/>
        <w:spacing w:after="80"/>
        <w:ind w:left="547"/>
      </w:pPr>
      <w:r>
        <w:rPr>
          <w:b/>
        </w:rPr>
        <w:t>Validate</w:t>
      </w:r>
      <w:r>
        <w:t xml:space="preserve"> — six rules producing INFO/WARNING/ERROR findings. Never mutates.</w:t>
      </w:r>
    </w:p>
    <w:p>
      <w:pPr>
        <w:pStyle w:val="ListNumber"/>
        <w:spacing w:after="80"/>
        <w:ind w:left="547"/>
      </w:pPr>
      <w:r>
        <w:rPr>
          <w:b/>
        </w:rPr>
        <w:t>Clean</w:t>
      </w:r>
      <w:r>
        <w:t xml:space="preserve"> — the four registered operations, each audited.</w:t>
      </w:r>
    </w:p>
    <w:p>
      <w:pPr>
        <w:pStyle w:val="ListNumber"/>
        <w:spacing w:after="80"/>
        <w:ind w:left="547"/>
      </w:pPr>
      <w:r>
        <w:rPr>
          <w:b/>
        </w:rPr>
        <w:t>Split</w:t>
      </w:r>
      <w:r>
        <w:t xml:space="preserve"> chronologically, with a seasonal coverage report.</w:t>
      </w:r>
    </w:p>
    <w:p>
      <w:pPr>
        <w:pStyle w:val="ListNumber"/>
        <w:spacing w:after="80"/>
        <w:ind w:left="547"/>
      </w:pPr>
      <w:r>
        <w:rPr>
          <w:b/>
        </w:rPr>
        <w:t>Build the healthy state</w:t>
      </w:r>
      <w:r>
        <w:t xml:space="preserve"> on train and validation only.</w:t>
      </w:r>
    </w:p>
    <w:p>
      <w:pPr>
        <w:pStyle w:val="ListNumber"/>
        <w:spacing w:after="80"/>
        <w:ind w:left="547"/>
      </w:pPr>
      <w:r>
        <w:rPr>
          <w:b/>
        </w:rPr>
        <w:t>Fit baselines</w:t>
      </w:r>
      <w:r>
        <w:t xml:space="preserve"> — OLS first, because its validation RMSE is the denominator every tuned model's selection score divides by.</w:t>
      </w:r>
    </w:p>
    <w:p>
      <w:pPr>
        <w:pStyle w:val="ListNumber"/>
        <w:spacing w:after="80"/>
        <w:ind w:left="547"/>
      </w:pPr>
      <w:r>
        <w:rPr>
          <w:b/>
        </w:rPr>
        <w:t>Tune on an inner holdout carved from the END of TRAIN</w:t>
      </w:r>
      <w:r>
        <w:t xml:space="preserve"> (ADR-030). VALIDATION is never touched by the search, because it supplies the in-control characterisation and, under one open branch, the threshold statistics — scoring candidates there would calibrate detection thresholds on data the model was selected to fit well.</w:t>
      </w:r>
    </w:p>
    <w:p>
      <w:pPr>
        <w:pStyle w:val="ListNumber"/>
        <w:spacing w:after="80"/>
        <w:ind w:left="547"/>
      </w:pPr>
      <w:r>
        <w:rPr>
          <w:b/>
        </w:rPr>
        <w:t>Refit the winners on FULL TRAIN</w:t>
      </w:r>
      <w:r>
        <w:t xml:space="preserve"> at the selected hyperparameters, with the tree count pinned to what early stopping chose, so all three models see identical training rows and the comparison is not confounded by training-set size.</w:t>
      </w:r>
    </w:p>
    <w:p>
      <w:pPr>
        <w:pStyle w:val="ListNumber"/>
        <w:spacing w:after="80"/>
        <w:ind w:left="547"/>
      </w:pPr>
      <w:r>
        <w:rPr>
          <w:b/>
        </w:rPr>
        <w:t>Predict every partition</w:t>
      </w:r>
      <w:r>
        <w:t>, including training, because one open configuration branch fits threshold statistics there.</w:t>
      </w:r>
    </w:p>
    <w:p>
      <w:pPr>
        <w:pStyle w:val="ListNumber"/>
        <w:spacing w:after="80"/>
        <w:ind w:left="547"/>
      </w:pPr>
      <w:r>
        <w:rPr>
          <w:b/>
        </w:rPr>
        <w:t>Residuals → normalization (Guard 4) → EWMA → in-control characterisation</w:t>
      </w:r>
      <w:r>
        <w:t>, then detect on the FULL unfiltered monitoring stream.</w:t>
      </w:r>
    </w:p>
    <w:p>
      <w:pPr>
        <w:pStyle w:val="ListNumber"/>
        <w:spacing w:after="80"/>
        <w:ind w:left="547"/>
      </w:pPr>
      <w:r>
        <w:rPr>
          <w:b/>
        </w:rPr>
        <w:t>Compute the RQ1 healthy slice</w:t>
      </w:r>
      <w:r>
        <w:t xml:space="preserve"> — the same healthy criteria applied to the monitoring period. A metrics path only: computed after detection, subsets already-computed predictions, feeds nothing back.</w:t>
      </w:r>
    </w:p>
    <w:p>
      <w:pPr>
        <w:pStyle w:val="ListNumber"/>
        <w:spacing w:after="80"/>
        <w:ind w:left="547"/>
      </w:pPr>
      <w:r>
        <w:rPr>
          <w:b/>
        </w:rPr>
        <w:t>Persist</w:t>
      </w:r>
      <w:r>
        <w:t xml:space="preserve"> metadata, resolved config and its hash, metrics, models, predictions, residuals, reports, run log.</w:t>
      </w:r>
    </w:p>
    <w:p>
      <w:pPr>
        <w:pStyle w:val="H1x"/>
      </w:pPr>
      <w:r>
        <w:rPr>
          <w:b w:val="0"/>
          <w:i w:val="0"/>
        </w:rPr>
        <w:t>4.5  Reproducibility</w:t>
      </w:r>
    </w:p>
    <w:p>
      <w:pPr>
        <w:pStyle w:val="ListBullet"/>
        <w:spacing w:after="80"/>
        <w:ind w:left="490"/>
      </w:pPr>
      <w:r>
        <w:rPr>
          <w:b/>
        </w:rPr>
        <w:t>Every metadata field is mandatory</w:t>
      </w:r>
      <w:r>
        <w:t xml:space="preserve"> — an incomplete record cannot be constructed, so it cannot be persisted.</w:t>
      </w:r>
    </w:p>
    <w:p>
      <w:pPr>
        <w:pStyle w:val="ListBullet"/>
        <w:spacing w:after="80"/>
        <w:ind w:left="490"/>
      </w:pPr>
      <w:r>
        <w:rPr>
          <w:b/>
        </w:rPr>
        <w:t>Artifacts are the record, the database is disposable</w:t>
      </w:r>
      <w:r>
        <w:t xml:space="preserve"> — a reindex rebuilds every pointer row from the artifact directories alone, proven by a test that deletes the database.</w:t>
      </w:r>
    </w:p>
    <w:p>
      <w:pPr>
        <w:pStyle w:val="ListBullet"/>
        <w:spacing w:after="80"/>
        <w:ind w:left="490"/>
      </w:pPr>
      <w:r>
        <w:rPr>
          <w:b/>
        </w:rPr>
        <w:t>`reproduce` re-runs from stored config and inputs</w:t>
      </w:r>
      <w:r>
        <w:t>, diffs metrics recursively and requires EXACT frame equality on predictions. A source-hash mismatch is a hard stop.</w:t>
      </w:r>
    </w:p>
    <w:p>
      <w:pPr>
        <w:pStyle w:val="ListBullet"/>
        <w:spacing w:after="80"/>
        <w:ind w:left="490"/>
      </w:pPr>
      <w:r>
        <w:rPr>
          <w:b/>
        </w:rPr>
        <w:t>Determinism is enforced</w:t>
      </w:r>
      <w:r>
        <w:t xml:space="preserve"> — fixed seed, single-threaded fits, and a test asserting two runs produce identical metrics.</w:t>
      </w:r>
    </w:p>
    <w:p>
      <w:pPr>
        <w:pStyle w:val="H1x"/>
      </w:pPr>
      <w:r>
        <w:rPr>
          <w:b w:val="0"/>
          <w:i w:val="0"/>
        </w:rPr>
        <w:t>4.6  Diagnostics the pipeline now emits</w:t>
      </w:r>
    </w:p>
    <w:p>
      <w:r>
        <w:t>Two measurements were added during this work because two load-bearing assumptions were unmeasured. Both are read-only: they describe residuals that already exist and cannot change a model, a threshold or any reported metric.</w:t>
      </w:r>
    </w:p>
    <w:p>
      <w:pPr>
        <w:pStyle w:val="ListBullet"/>
        <w:spacing w:after="80"/>
        <w:ind w:left="490"/>
      </w:pPr>
      <w:r>
        <w:rPr>
          <w:b/>
        </w:rPr>
        <w:t>Cross-target residual correlation</w:t>
      </w:r>
      <w:r>
        <w:t xml:space="preserve"> — pooled and per turbine, Pearson and Spearman. Decides whether coordinated detection adds independent evidence or merely duplicates it. Because every normalizer is a per-target affine map, Pearson is invariant to normalization, and a test asserts that rather than leaving it as a claim.</w:t>
      </w:r>
    </w:p>
    <w:p>
      <w:pPr>
        <w:pStyle w:val="ListBullet"/>
        <w:spacing w:after="80"/>
        <w:ind w:left="490"/>
      </w:pPr>
      <w:r>
        <w:rPr>
          <w:b/>
        </w:rPr>
        <w:t>Per-turbine residual location and scale</w:t>
      </w:r>
      <w:r>
        <w:t xml:space="preserve"> — with the between-turbine centre spread expressed in units of the single POOLED scale. Normalization and control limits are fitted per target and pooled across machines, so this is the number that decides whether pooling is defensible.</w:t>
      </w:r>
    </w:p>
    <w:p>
      <w:pPr>
        <w:pStyle w:val="H1x"/>
      </w:pPr>
      <w:r>
        <w:rPr>
          <w:b w:val="0"/>
          <w:i w:val="0"/>
        </w:rPr>
        <w:t>4.7  What the system does not do</w:t>
      </w:r>
    </w:p>
    <w:p>
      <w:r>
        <w:t>Stated plainly, because it bounds every claim. It does not classify fault type — there is no classifier and no labels to train one. It does not estimate remaining useful life or time to failure. It does not localise to a sub-component: two thermal nodes are instrumented. The quantity labelled 'severity' is the largest smoothed residual, not a physical severity. Candidate mechanisms from the interpretation layer are literature-derived rule matches carrying an UNVALIDATED banner, not model outputs — the sign-off log is empty by design.</w:t>
      </w:r>
    </w:p>
    <w:p>
      <w:r>
        <w:br w:type="page"/>
      </w:r>
    </w:p>
    <w:p>
      <w:pPr>
        <w:pStyle w:val="PartHead"/>
      </w:pPr>
      <w:r>
        <w:rPr>
          <w:b w:val="0"/>
          <w:i w:val="0"/>
        </w:rPr>
        <w:t>Appendix</w:t>
      </w:r>
    </w:p>
    <w:p>
      <w:pPr>
        <w:pStyle w:val="PartSub"/>
      </w:pPr>
      <w:r>
        <w:rPr>
          <w:b w:val="0"/>
          <w:i w:val="0"/>
        </w:rPr>
        <w:t>Sources</w:t>
      </w:r>
    </w:p>
    <w:p>
      <w:pPr>
        <w:pStyle w:val="H2x"/>
      </w:pPr>
      <w:r>
        <w:rPr>
          <w:b w:val="0"/>
          <w:i w:val="0"/>
        </w:rPr>
        <w:t>Primary — retrieved and read in full text</w:t>
      </w:r>
    </w:p>
    <w:p>
      <w:pPr>
        <w:pStyle w:val="ListNumber"/>
        <w:spacing w:after="80"/>
        <w:ind w:left="547"/>
      </w:pPr>
      <w:r>
        <w:t>Chesterman X., Verstraeten T., Daems P.-J., Nowé A., Helsen J. (2023). Overview of normal behavior modeling approaches for SCADA-based wind turbine condition monitoring demonstrated on data from operational wind farms. Wind Energy Science 8(6):893. DOI 10.5194/wes-8-893-2023</w:t>
      </w:r>
    </w:p>
    <w:p>
      <w:pPr>
        <w:pStyle w:val="ListNumber"/>
        <w:spacing w:after="80"/>
        <w:ind w:left="547"/>
      </w:pPr>
      <w:r>
        <w:t>Gück C., Roelofs C.M.A., Faulstich S. (2024). CARE to Compare: a real-world dataset for anomaly detection in wind turbine data. arXiv:2404.10320; Data 9(12):138.</w:t>
      </w:r>
    </w:p>
    <w:p>
      <w:pPr>
        <w:pStyle w:val="ListNumber"/>
        <w:spacing w:after="80"/>
        <w:ind w:left="547"/>
      </w:pPr>
      <w:r>
        <w:t>Fiocchi F., Ladopoulou D., Dellaportas P. (2024, rev. 2025). Probabilistic Multi-Layer Perceptrons for Wind Farm Condition Monitoring. arXiv:2404.16496. — the only confirmed publication using the Kelmarsh dataset.</w:t>
      </w:r>
    </w:p>
    <w:p>
      <w:pPr>
        <w:pStyle w:val="ListNumber"/>
        <w:spacing w:after="80"/>
        <w:ind w:left="547"/>
      </w:pPr>
      <w:r>
        <w:t>Nogueira, Melani, de Souza (2025). Wind Turbine Fault Detection Through Autoencoder-Based Neural Network and FMSA. Sensors 25(14):4499.</w:t>
      </w:r>
    </w:p>
    <w:p>
      <w:pPr>
        <w:pStyle w:val="ListNumber"/>
        <w:spacing w:after="80"/>
        <w:ind w:left="547"/>
      </w:pPr>
      <w:r>
        <w:t>Nair R.R., Babu T., Panthakkan A., Balusamy B., Mansoor W. (2025). Hybrid Autoencoder-Based Framework for Early Fault Detection in Wind Turbines. arXiv:2510.15010.</w:t>
      </w:r>
    </w:p>
    <w:p>
      <w:pPr>
        <w:pStyle w:val="ListNumber"/>
        <w:spacing w:after="80"/>
        <w:ind w:left="547"/>
      </w:pPr>
      <w:r>
        <w:t>Machado M.R., de Sousa A.A.S.R., Coelho J.S., Teloli R.O. (2026). Failure classification of wind turbine operational conditions using hybrid machine learning. Wind Energy Science 11:1057.</w:t>
      </w:r>
    </w:p>
    <w:p>
      <w:pPr>
        <w:pStyle w:val="H2x"/>
      </w:pPr>
      <w:r>
        <w:rPr>
          <w:b w:val="0"/>
          <w:i w:val="0"/>
        </w:rPr>
        <w:t>Secondary — abstract or index record only; verify before citing</w:t>
      </w:r>
    </w:p>
    <w:p>
      <w:pPr>
        <w:pStyle w:val="ListNumber"/>
        <w:spacing w:after="80"/>
        <w:ind w:left="547"/>
      </w:pPr>
      <w:r>
        <w:t>Tautz-Weinert J., Watson S.J. (2017). Using SCADA data for wind turbine condition monitoring — a review. IET Renewable Power Generation 11(4). DOI 10.1049/iet-rpg.2016.0248</w:t>
      </w:r>
    </w:p>
    <w:p>
      <w:pPr>
        <w:pStyle w:val="ListNumber"/>
        <w:spacing w:after="80"/>
        <w:ind w:left="547"/>
      </w:pPr>
      <w:r>
        <w:t>Wind Turbine Gearbox Oil Temperature Forecasting Using SDEs and Multi-Objective Grey Modeling (2025). Machines 14(4):386.</w:t>
      </w:r>
    </w:p>
    <w:p>
      <w:pPr>
        <w:pStyle w:val="ListNumber"/>
        <w:spacing w:after="80"/>
        <w:ind w:left="547"/>
      </w:pPr>
      <w:r>
        <w:t>Temperature Prediction and Fault Warning of High-Speed Shaft of Wind Turbine Gearbox Based on Hybrid Deep Learning (2025). JMSE 13(7):1337.</w:t>
      </w:r>
    </w:p>
    <w:p>
      <w:pPr>
        <w:pStyle w:val="ListNumber"/>
        <w:spacing w:after="80"/>
        <w:ind w:left="547"/>
      </w:pPr>
      <w:r>
        <w:t>Wind turbine gearbox multi-scale condition monitoring through operational data (2024). Mechanics &amp; Industry.</w:t>
      </w:r>
    </w:p>
    <w:p>
      <w:pPr>
        <w:pStyle w:val="ListNumber"/>
        <w:spacing w:after="80"/>
        <w:ind w:left="547"/>
      </w:pPr>
      <w:r>
        <w:t>Wind Turbine Gearbox Failure Detection Through Cumulative Sum of Multivariate Time Series Data (2022). Frontiers in Energy Research 10:904622.</w:t>
      </w:r>
    </w:p>
    <w:p>
      <w:pPr>
        <w:pStyle w:val="H2x"/>
      </w:pPr>
      <w:r>
        <w:rPr>
          <w:b w:val="0"/>
          <w:i w:val="0"/>
        </w:rPr>
        <w:t>Data</w:t>
      </w:r>
    </w:p>
    <w:p>
      <w:pPr>
        <w:pStyle w:val="ListNumber"/>
        <w:spacing w:after="80"/>
        <w:ind w:left="547"/>
      </w:pPr>
      <w:r>
        <w:t>Kelmarsh wind farm data, Cubico Sustainable Investments Ltd, CC-BY-4.0. Zenodo DOI 10.5281/zenodo.5841833.</w:t>
      </w:r>
    </w:p>
    <w:p>
      <w:pPr>
        <w:pStyle w:val="H1x"/>
      </w:pPr>
      <w:r>
        <w:rPr>
          <w:b w:val="0"/>
          <w:i w:val="0"/>
        </w:rPr>
        <w:t>Closing note on evidence</w:t>
      </w:r>
    </w:p>
    <w:p>
      <w:r>
        <w:t xml:space="preserve">Dataset figures in Part 1 were re-derived independently from the committed census artefacts and matched. Configuration in Part 4 was read programmatically from the resolved application config. </w:t>
      </w:r>
      <w:r>
        <w:rPr>
          <w:b/>
        </w:rPr>
        <w:t>No experimental result appears anywhere in this report</w:t>
      </w:r>
      <w:r>
        <w:t>, because the experiment artefacts are excluded from version control by design and were not available; and no EDA result appears, because the EDA script has not yet been executed against the holdings.</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83" w:lineRule="auto"/>
    </w:pPr>
    <w:rPr>
      <w:rFonts w:ascii="Cambria" w:hAnsi="Cambria"/>
      <w:color w:val="101A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artHead">
    <w:name w:val="PartHead"/>
    <w:basedOn w:val="Normal"/>
    <w:pPr>
      <w:keepNext/>
      <w:spacing w:before="440" w:after="60"/>
    </w:pPr>
    <w:rPr>
      <w:rFonts w:ascii="Segoe UI" w:hAnsi="Segoe UI"/>
      <w:b/>
      <w:color w:val="0E6F79"/>
      <w:sz w:val="38"/>
    </w:rPr>
  </w:style>
  <w:style w:type="paragraph" w:customStyle="1" w:styleId="PartSub">
    <w:name w:val="PartSub"/>
    <w:basedOn w:val="Normal"/>
    <w:pPr>
      <w:keepNext/>
      <w:spacing w:before="0" w:after="280"/>
    </w:pPr>
    <w:rPr>
      <w:rFonts w:ascii="Segoe UI" w:hAnsi="Segoe UI"/>
      <w:b w:val="0"/>
      <w:color w:val="6B7C83"/>
      <w:sz w:val="20"/>
    </w:rPr>
  </w:style>
  <w:style w:type="paragraph" w:customStyle="1" w:styleId="H1x">
    <w:name w:val="H1x"/>
    <w:basedOn w:val="Normal"/>
    <w:pPr>
      <w:keepNext/>
      <w:spacing w:before="360" w:after="120"/>
    </w:pPr>
    <w:rPr>
      <w:rFonts w:ascii="Segoe UI" w:hAnsi="Segoe UI"/>
      <w:b/>
      <w:color w:val="101A1E"/>
      <w:sz w:val="29"/>
    </w:rPr>
  </w:style>
  <w:style w:type="paragraph" w:customStyle="1" w:styleId="H2x">
    <w:name w:val="H2x"/>
    <w:basedOn w:val="Normal"/>
    <w:pPr>
      <w:keepNext/>
      <w:spacing w:before="260" w:after="80"/>
    </w:pPr>
    <w:rPr>
      <w:rFonts w:ascii="Segoe UI" w:hAnsi="Segoe UI"/>
      <w:b/>
      <w:color w:val="101A1E"/>
      <w:sz w:val="23"/>
    </w:rPr>
  </w:style>
  <w:style w:type="paragraph" w:customStyle="1" w:styleId="Label">
    <w:name w:val="Label"/>
    <w:basedOn w:val="Normal"/>
    <w:pPr>
      <w:keepNext/>
      <w:spacing w:before="200" w:after="60"/>
    </w:pPr>
    <w:rPr>
      <w:rFonts w:ascii="Segoe UI" w:hAnsi="Segoe UI"/>
      <w:b/>
      <w:caps/>
      <w:color w:val="6B7C83"/>
      <w:sz w:val="17"/>
      <w:spacing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