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Defense Readiness Assessment</w:t>
      </w:r>
    </w:p>
    <w:p>
      <w:pPr>
        <w:pStyle w:val="Subtitle"/>
      </w:pPr>
      <w:r>
        <w:t xml:space="preserve">SCADA-Based Wind Turbine Gearbox Condition Monitoring — MSc Thesis Project</w:t>
      </w:r>
    </w:p>
    <w:p>
      <w:r>
        <w:t xml:space="preserve">Examiner's pre-defense review · 2026-08-20 · Scope: functionality, technical quality, methodology, results, coherence, risks, defense readiness. Report chapters are excluded from this grading by instruction; codebase state at commit a99330c, experiments EXP-20260817-001 / EXP-20260818-001.</w:t>
      </w:r>
    </w:p>
    <w:p>
      <w:pPr>
        <w:pStyle w:val="Heading1"/>
      </w:pPr>
      <w:r>
        <w:t xml:space="preserve">Verdict: NEARLY READY</w:t>
      </w:r>
    </w:p>
    <w:p>
      <w:r>
        <w:rPr>
          <w:b/>
        </w:rPr>
        <w:t xml:space="preserve">The instrument and its evidence are defense-grade; readiness now hinges on preservation, four closures, and rehearsal — not on new research. </w:t>
      </w:r>
      <w:r>
        <w:t xml:space="preserve">The pipeline is complete (M-01–M-31), reproducible to exact match, and every headline claim is backed by a recorded artefact and an honest register entry. The remaining work is finite and administrative-to-moderate: none of it changes the scientific story (RQ1 positive, RQ2 negative, RQ3 bounded positive), but several items would be embarrassing if a jury member finds them first.</w:t>
      </w:r>
    </w:p>
    <w:p>
      <w:pPr>
        <w:pStyle w:val="Heading1"/>
      </w:pPr>
      <w:r>
        <w:t xml:space="preserve">Scorecard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00"/>
        <w:gridCol w:w="1500"/>
        <w:gridCol w:w="6360"/>
      </w:tblGrid>
      <w:tr>
        <w:tc>
          <w:tcPr>
            <w:tcW w:w="1500" w:type="dxa"/>
          </w:tcPr>
          <w:p>
            <w:r>
              <w:rPr>
                <w:b/>
              </w:rPr>
              <w:t xml:space="preserve">Dimension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Grade</w:t>
            </w:r>
          </w:p>
        </w:tc>
        <w:tc>
          <w:tcPr>
            <w:tcW w:w="6360" w:type="dxa"/>
          </w:tcPr>
          <w:p>
            <w:r>
              <w:rPr>
                <w:b/>
              </w:rPr>
              <w:t xml:space="preserve">Basis</w:t>
            </w:r>
          </w:p>
        </w:tc>
      </w:tr>
      <w:tr>
        <w:tc>
          <w:tcPr>
            <w:tcW w:w="1500" w:type="dxa"/>
          </w:tcPr>
          <w:p>
            <w:r>
              <w:t xml:space="preserve">Functionality</w:t>
            </w:r>
          </w:p>
        </w:tc>
        <w:tc>
          <w:tcPr>
            <w:tcW w:w="1500" w:type="dxa"/>
          </w:tcPr>
          <w:p>
            <w:r>
              <w:t xml:space="preserve">Strong</w:t>
            </w:r>
          </w:p>
        </w:tc>
        <w:tc>
          <w:tcPr>
            <w:tcW w:w="6360" w:type="dxa"/>
          </w:tcPr>
          <w:p>
            <w:r>
              <w:t xml:space="preserve">M-01–M-31 complete; 570 tests, 95.7% coverage, strict mypy, enforced layer contract; CLI drivers regenerate every analysis from stored artifacts in seconds.</w:t>
            </w:r>
          </w:p>
        </w:tc>
      </w:tr>
      <w:tr>
        <w:tc>
          <w:tcPr>
            <w:tcW w:w="1500" w:type="dxa"/>
          </w:tcPr>
          <w:p>
            <w:r>
              <w:t xml:space="preserve">Technical quality</w:t>
            </w:r>
          </w:p>
        </w:tc>
        <w:tc>
          <w:tcPr>
            <w:tcW w:w="1500" w:type="dxa"/>
          </w:tcPr>
          <w:p>
            <w:r>
              <w:t xml:space="preserve">Strong</w:t>
            </w:r>
          </w:p>
        </w:tc>
        <w:tc>
          <w:tcPr>
            <w:tcW w:w="6360" w:type="dxa"/>
          </w:tcPr>
          <w:p>
            <w:r>
              <w:t xml:space="preserve">Fresh-clone-to-green-suite reproduction; experiment reproduce requires exact frame equality; provenance stamps (git commit, seeds, hashes) on every run; refusal-first design (dirty tree, unapproved runs, bad joins abort).</w:t>
            </w:r>
          </w:p>
        </w:tc>
      </w:tr>
      <w:tr>
        <w:tc>
          <w:tcPr>
            <w:tcW w:w="1500" w:type="dxa"/>
          </w:tcPr>
          <w:p>
            <w:r>
              <w:t xml:space="preserve">Methodology</w:t>
            </w:r>
          </w:p>
        </w:tc>
        <w:tc>
          <w:tcPr>
            <w:tcW w:w="1500" w:type="dxa"/>
          </w:tcPr>
          <w:p>
            <w:r>
              <w:t xml:space="preserve">Strong, two rulings open</w:t>
            </w:r>
          </w:p>
        </w:tc>
        <w:tc>
          <w:tcPr>
            <w:tcW w:w="6360" w:type="dxa"/>
          </w:tcPr>
          <w:p>
            <w:r>
              <w:t xml:space="preserve">Pre-registration discipline (ADR-016/031/048); post-hoc work correctly labelled and chronology provable from git (ADR-035, ADR-050). ADR-034/042 remain PROPOSED — the EWMA limits are calibrated quantile knobs, not control limits.</w:t>
            </w:r>
          </w:p>
        </w:tc>
      </w:tr>
      <w:tr>
        <w:tc>
          <w:tcPr>
            <w:tcW w:w="1500" w:type="dxa"/>
          </w:tcPr>
          <w:p>
            <w:r>
              <w:t xml:space="preserve">Results</w:t>
            </w:r>
          </w:p>
        </w:tc>
        <w:tc>
          <w:tcPr>
            <w:tcW w:w="1500" w:type="dxa"/>
          </w:tcPr>
          <w:p>
            <w:r>
              <w:t xml:space="preserve">Complete and citable</w:t>
            </w:r>
          </w:p>
        </w:tc>
        <w:tc>
          <w:tcPr>
            <w:tcW w:w="6360" w:type="dxa"/>
          </w:tcPr>
          <w:p>
            <w:r>
              <w:t xml:space="preserve">RQ1: XGBoost beats both baselines with non-overlapping CIs, seed-robust, in-regime. RQ2: pre-registered negative that hardens under literature persistence. RQ3: bounded positive at representation level (ruleset v2), bounds registered (LIM-038).</w:t>
            </w:r>
          </w:p>
        </w:tc>
      </w:tr>
      <w:tr>
        <w:tc>
          <w:tcPr>
            <w:tcW w:w="1500" w:type="dxa"/>
          </w:tcPr>
          <w:p>
            <w:r>
              <w:t xml:space="preserve">Coherence</w:t>
            </w:r>
          </w:p>
        </w:tc>
        <w:tc>
          <w:tcPr>
            <w:tcW w:w="1500" w:type="dxa"/>
          </w:tcPr>
          <w:p>
            <w:r>
              <w:t xml:space="preserve">Strong</w:t>
            </w:r>
          </w:p>
        </w:tc>
        <w:tc>
          <w:tcPr>
            <w:tcW w:w="6360" w:type="dxa"/>
          </w:tcPr>
          <w:p>
            <w:r>
              <w:t xml:space="preserve">RQ1-positive / RQ2-negative / RQ3-bounded-positive is a coherent arc; the ADR-035 insight (coordination fails while relative structure informs) is a genuine intellectual contribution.</w:t>
            </w:r>
          </w:p>
        </w:tc>
      </w:tr>
      <w:tr>
        <w:tc>
          <w:tcPr>
            <w:tcW w:w="1500" w:type="dxa"/>
          </w:tcPr>
          <w:p>
            <w:r>
              <w:t xml:space="preserve">Risk posture</w:t>
            </w:r>
          </w:p>
        </w:tc>
        <w:tc>
          <w:tcPr>
            <w:tcW w:w="1500" w:type="dxa"/>
          </w:tcPr>
          <w:p>
            <w:r>
              <w:t xml:space="preserve">Moderate</w:t>
            </w:r>
          </w:p>
        </w:tc>
        <w:tc>
          <w:tcPr>
            <w:tcW w:w="6360" w:type="dxa"/>
          </w:tcPr>
          <w:p>
            <w:r>
              <w:t xml:space="preserve">All evidence lives on one machine outside git; no remote, CI never executed (LIM-009); open decision-queue items carry High viva risk.</w:t>
            </w:r>
          </w:p>
        </w:tc>
      </w:tr>
      <w:tr>
        <w:tc>
          <w:tcPr>
            <w:tcW w:w="1500" w:type="dxa"/>
          </w:tcPr>
          <w:p>
            <w:r>
              <w:t xml:space="preserve">Defense readiness</w:t>
            </w:r>
          </w:p>
        </w:tc>
        <w:tc>
          <w:tcPr>
            <w:tcW w:w="1500" w:type="dxa"/>
          </w:tcPr>
          <w:p>
            <w:r>
              <w:t xml:space="preserve">Nearly ready</w:t>
            </w:r>
          </w:p>
        </w:tc>
        <w:tc>
          <w:tcPr>
            <w:tcW w:w="6360" w:type="dxa"/>
          </w:tcPr>
          <w:p>
            <w:r>
              <w:t xml:space="preserve">No UI by design — the demo must be artifact-driven and rehearsed; a Q&amp;A crib sheet keyed to the registers does not yet exist.</w:t>
            </w:r>
          </w:p>
        </w:tc>
      </w:tr>
    </w:tbl>
    <w:p>
      <w:pPr>
        <w:pStyle w:val="Heading1"/>
      </w:pPr>
      <w:r>
        <w:t xml:space="preserve">What is already defense-grade</w:t>
      </w:r>
    </w:p>
    <w:p>
      <w:pPr>
        <w:ind w:left="360"/>
      </w:pPr>
      <w:r>
        <w:t xml:space="preserve">•  Honesty architecture: 38 limitations and 50 decisions on record; adverse findings (LIM-031 no-model parity, LIM-032 multi-target null, LIM-034 regime leverage, LIM-035 refuted rescue) are reported first-class, not buried — this is the project's strongest asset before a jury.</w:t>
      </w:r>
    </w:p>
    <w:p>
      <w:pPr>
        <w:ind w:left="360"/>
      </w:pPr>
      <w:r>
        <w:t xml:space="preserve">•  The negative RQ2 result is pre-registered, denominator-corrected (ADR-048), and hardens rather than flips under literature-anchored persistence — a textbook defensible negative.</w:t>
      </w:r>
    </w:p>
    <w:p>
      <w:pPr>
        <w:ind w:left="360"/>
      </w:pPr>
      <w:r>
        <w:t xml:space="preserve">•  The ruleset v2 chain has provable spec → implementation → results chronology in git (c2c79d1 → 0982ecc → a99330c), pre-empting the post-hoc attack.</w:t>
      </w:r>
    </w:p>
    <w:p>
      <w:pPr>
        <w:ind w:left="360"/>
      </w:pPr>
      <w:r>
        <w:t xml:space="preserve">•  The EVENT-001 story is consistent at every layer: v1 abstained, v2 forced zero single-candidate attributions across the window (161 ambiguous, 101 abstentions).</w:t>
      </w:r>
    </w:p>
    <w:p>
      <w:pPr>
        <w:ind w:left="360"/>
      </w:pPr>
      <w:r>
        <w:t xml:space="preserve">•  Figures are regenerated from stored artifacts and cannot disagree with the metrics beside them; the residual-channel scatter makes ADR-035/LIM-034/LIM-037 visible in one image.</w:t>
      </w:r>
    </w:p>
    <w:p>
      <w:pPr>
        <w:pStyle w:val="Heading1"/>
      </w:pPr>
      <w:r>
        <w:t xml:space="preserve">Critical gaps and final validations (ordered by severity)</w:t>
      </w:r>
    </w:p>
    <w:p>
      <w:pPr>
        <w:ind w:left="360"/>
      </w:pPr>
      <w:r>
        <w:rPr>
          <w:b/>
        </w:rPr>
        <w:t xml:space="preserve">G1 — Evidence preservation (CRITICAL). </w:t>
      </w:r>
      <w:r>
        <w:t xml:space="preserve">Artifacts are excluded from git by design and exist on a single machine. A disk failure deletes the evidentiary basis of every claim. No remote push has occurred and CI has never executed (LIM-009), so the quality-gate claims are asserted, not demonstrated. Push the branch, obtain a green CI run, and archive artifacts/EXP-20260817-001 and EXP-20260818-001 (plus docs/evidence) to at least two locations.</w:t>
      </w:r>
    </w:p>
    <w:p>
      <w:pPr>
        <w:ind w:left="360"/>
      </w:pPr>
      <w:r>
        <w:rPr>
          <w:b/>
        </w:rPr>
        <w:t xml:space="preserve">G2 — Open author rulings, four with High viva risk. </w:t>
      </w:r>
      <w:r>
        <w:t xml:space="preserve">Decision-queue Group C (D-08–D-14) is open and the queue's own stop condition is unmet; D-08, D-09, D-10, D-11 are marked High viva risk in the project's own register. Each needs a written ruling or an explicit, argued deferral before the jury reads the register.</w:t>
      </w:r>
    </w:p>
    <w:p>
      <w:pPr>
        <w:ind w:left="360"/>
      </w:pPr>
      <w:r>
        <w:rPr>
          <w:b/>
        </w:rPr>
        <w:t xml:space="preserve">G3 — Control-limit status. </w:t>
      </w:r>
      <w:r>
        <w:t xml:space="preserve">ADR-034 and ADR-042 remain PROPOSED, so the EWMA limits are empirically calibrated quantile knobs (ADR-026) with a measured ~60× in-control inflation. This is honestly registered, but a jury member with SPC background will press. Either close the rulings or prepare the two-minute defense: serial correlation invalidates the i.i.d. ARL, the empirical rate is measured and reported, and comparisons are made at matched empirical operating points, never at nominal ones.</w:t>
      </w:r>
    </w:p>
    <w:p>
      <w:pPr>
        <w:ind w:left="360"/>
      </w:pPr>
      <w:r>
        <w:rPr>
          <w:b/>
        </w:rPr>
        <w:t xml:space="preserve">G4 — Sensitivity suite never executed (confirmed). </w:t>
      </w:r>
      <w:r>
        <w:t xml:space="preserve">No sensitivity artefact exists in either experiment. PROJECT.md §27.3 mandates the sweep over the provisional parameters (λ, control-limit multiplier, persistence, normalization family, gap handling), and LIM-027 concedes these cannot be defended analytically on this dataset. “Why λ = 0.2?” is a certain jury question; the honest answer requires the sweep to have run on the final code.</w:t>
      </w:r>
    </w:p>
    <w:p>
      <w:pPr>
        <w:ind w:left="360"/>
      </w:pPr>
      <w:r>
        <w:rPr>
          <w:b/>
        </w:rPr>
        <w:t xml:space="preserve">G5 — Signature-injection tests specified but not executed. </w:t>
      </w:r>
      <w:r>
        <w:t xml:space="preserve">ADR-050 explicitly scopes controlled signature-injection tests; the driver is drafted but was not run. Either execute it (minutes) or record a one-line de-scope in the register — a scoped-but-silent item reads worse than either outcome.</w:t>
      </w:r>
    </w:p>
    <w:p>
      <w:pPr>
        <w:ind w:left="360"/>
      </w:pPr>
      <w:r>
        <w:rPr>
          <w:b/>
        </w:rPr>
        <w:t xml:space="preserve">G6 — P-5 per-turbine centre/scale measurement. </w:t>
      </w:r>
      <w:r>
        <w:t xml:space="preserve">Named in LIM-038 as the prerequisite for answering the Kelmarsh 4 concentration question (64% of bearing-led attributions on one machine, none on another). Cheap to compute from stored residuals; without it, “sensor bias or fault?” has no measured answer.</w:t>
      </w:r>
    </w:p>
    <w:p>
      <w:pPr>
        <w:ind w:left="360"/>
      </w:pPr>
      <w:r>
        <w:rPr>
          <w:b/>
        </w:rPr>
        <w:t xml:space="preserve">G7 — Reproduction proof on the cited experiment. </w:t>
      </w:r>
      <w:r>
        <w:t xml:space="preserve">Run `app.experiments reproduce EXP-20260818-001` once on the final code and keep the exact-match log. It converts the reproducibility claim from design intent into a demonstrated fact dated before the defense.</w:t>
      </w:r>
    </w:p>
    <w:p>
      <w:pPr>
        <w:ind w:left="360"/>
      </w:pPr>
      <w:r>
        <w:rPr>
          <w:b/>
        </w:rPr>
        <w:t xml:space="preserve">G8 — Demo fragility. </w:t>
      </w:r>
      <w:r>
        <w:t xml:space="preserve">There is no UI (M-32/M-33 deliberately out of scope — defensible), so the live demo is CLI- and artifact-driven. Never run the 15–20-minute pipeline live; the entire demo must run from stored artifacts in seconds and be rehearsed twice against a timer.</w:t>
      </w:r>
    </w:p>
    <w:p>
      <w:pPr>
        <w:pStyle w:val="Heading1"/>
      </w:pPr>
      <w:r>
        <w:t xml:space="preserve">Jury attack surface — questions to rehearse</w:t>
      </w:r>
    </w:p>
    <w:p>
      <w:r>
        <w:t xml:space="preserve">Each question below has a defensible answer already recorded; the risk is fluency, not substance. Rehearse until each answer is 60–90 seconds with the register citation.</w:t>
      </w:r>
    </w:p>
    <w:p>
      <w:pPr>
        <w:ind w:left="360"/>
      </w:pPr>
      <w:r>
        <w:t xml:space="preserve">•  One labelled event, and it is non-thermal (LIM-026/036): why does detection evaluation mean anything? → Phase 0.5 pre-commitment, ADR-014 descriptive fallback, FA-side quantification.</w:t>
      </w:r>
    </w:p>
    <w:p>
      <w:pPr>
        <w:ind w:left="360"/>
      </w:pPr>
      <w:r>
        <w:t xml:space="preserve">•  A no-model fleet median matches your NBM (LIM-031): what did the model buy? → accuracy ≠ detection; single-turbine deployability; farm-wide-mode blindness of the fleet reference.</w:t>
      </w:r>
    </w:p>
    <w:p>
      <w:pPr>
        <w:ind w:left="360"/>
      </w:pPr>
      <w:r>
        <w:t xml:space="preserve">•  The multi-target architecture buys nothing (LIM-032): why keep the framing? → the payoff was always at coordination; ADR-035 measured why it could not appear there; narrowed claim.</w:t>
      </w:r>
    </w:p>
    <w:p>
      <w:pPr>
        <w:ind w:left="360"/>
      </w:pPr>
      <w:r>
        <w:t xml:space="preserve">•  60× false-alarm inflation: is the detector broken? → property of the thermal signal (B3 shows same inflation with no model); matched-FPR comparisons; open ruling G3.</w:t>
      </w:r>
    </w:p>
    <w:p>
      <w:pPr>
        <w:ind w:left="360"/>
      </w:pPr>
      <w:r>
        <w:t xml:space="preserve">•  RQ2 is negative — so the thesis failed? → pre-registered negative that hardens under sensitivity is a result; the ADR-035 diagnosis converts it into a contribution.</w:t>
      </w:r>
    </w:p>
    <w:p>
      <w:pPr>
        <w:ind w:left="360"/>
      </w:pPr>
      <w:r>
        <w:t xml:space="preserve">•  You changed the FMEA representation after seeing failure (ADR-050): why is this not results-driven method development? → chronology in git, exploratory label, v1 reported first, same taxonomy.</w:t>
      </w:r>
    </w:p>
    <w:p>
      <w:pPr>
        <w:ind w:left="360"/>
      </w:pPr>
      <w:r>
        <w:t xml:space="preserve">•  Isn't mode orthogonality true by construction? → on training, yes and recorded as such; its transfer in-support (−0.048) and failure out-of-support (0.86) is the empirical, falsifiable content.</w:t>
      </w:r>
    </w:p>
    <w:p>
      <w:pPr>
        <w:ind w:left="360"/>
      </w:pPr>
      <w:r>
        <w:t xml:space="preserve">•  Kelmarsh 4 produces 64% of bearing-led attributions: fault or sensor? → unresolved by design; ADR-050 caution + LIM-038; P-5 measurement is the pending discriminator (G6).</w:t>
      </w:r>
    </w:p>
    <w:p>
      <w:pPr>
        <w:ind w:left="360"/>
      </w:pPr>
      <w:r>
        <w:t xml:space="preserve">•  82% eligibility — is that a success rate? → no; eligibility is population, not performance (ADR-049 binding language).</w:t>
      </w:r>
    </w:p>
    <w:p>
      <w:pPr>
        <w:pStyle w:val="Heading1"/>
      </w:pPr>
      <w:r>
        <w:t xml:space="preserve">Highest-priority actions before the defense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600"/>
        <w:gridCol w:w="5760"/>
        <w:gridCol w:w="1200"/>
        <w:gridCol w:w="1800"/>
      </w:tblGrid>
      <w:tr>
        <w:tc>
          <w:tcPr>
            <w:tcW w:w="6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5760" w:type="dxa"/>
          </w:tcPr>
          <w:p>
            <w:r>
              <w:rPr>
                <w:b/>
              </w:rPr>
              <w:t xml:space="preserve">Action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Closes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Effort</w:t>
            </w:r>
          </w:p>
        </w:tc>
      </w:tr>
      <w:tr>
        <w:tc>
          <w:tcPr>
            <w:tcW w:w="600" w:type="dxa"/>
          </w:tcPr>
          <w:p>
            <w:r>
              <w:t xml:space="preserve">P1</w:t>
            </w:r>
          </w:p>
        </w:tc>
        <w:tc>
          <w:tcPr>
            <w:tcW w:w="5760" w:type="dxa"/>
          </w:tcPr>
          <w:p>
            <w:r>
              <w:t xml:space="preserve">Push branch, obtain green CI, archive both experiment artifact trees to two locations</w:t>
            </w:r>
          </w:p>
        </w:tc>
        <w:tc>
          <w:tcPr>
            <w:tcW w:w="1200" w:type="dxa"/>
          </w:tcPr>
          <w:p>
            <w:r>
              <w:t xml:space="preserve">G1</w:t>
            </w:r>
          </w:p>
        </w:tc>
        <w:tc>
          <w:tcPr>
            <w:tcW w:w="1800" w:type="dxa"/>
          </w:tcPr>
          <w:p>
            <w:r>
              <w:t xml:space="preserve">Same day</w:t>
            </w:r>
          </w:p>
        </w:tc>
      </w:tr>
      <w:tr>
        <w:tc>
          <w:tcPr>
            <w:tcW w:w="600" w:type="dxa"/>
          </w:tcPr>
          <w:p>
            <w:r>
              <w:t xml:space="preserve">P2</w:t>
            </w:r>
          </w:p>
        </w:tc>
        <w:tc>
          <w:tcPr>
            <w:tcW w:w="5760" w:type="dxa"/>
          </w:tcPr>
          <w:p>
            <w:r>
              <w:t xml:space="preserve">Run reproduce on EXP-20260818-001; retain the exact-match log</w:t>
            </w:r>
          </w:p>
        </w:tc>
        <w:tc>
          <w:tcPr>
            <w:tcW w:w="1200" w:type="dxa"/>
          </w:tcPr>
          <w:p>
            <w:r>
              <w:t xml:space="preserve">G7</w:t>
            </w:r>
          </w:p>
        </w:tc>
        <w:tc>
          <w:tcPr>
            <w:tcW w:w="1800" w:type="dxa"/>
          </w:tcPr>
          <w:p>
            <w:r>
              <w:t xml:space="preserve">30 min</w:t>
            </w:r>
          </w:p>
        </w:tc>
      </w:tr>
      <w:tr>
        <w:tc>
          <w:tcPr>
            <w:tcW w:w="600" w:type="dxa"/>
          </w:tcPr>
          <w:p>
            <w:r>
              <w:t xml:space="preserve">P3</w:t>
            </w:r>
          </w:p>
        </w:tc>
        <w:tc>
          <w:tcPr>
            <w:tcW w:w="5760" w:type="dxa"/>
          </w:tcPr>
          <w:p>
            <w:r>
              <w:t xml:space="preserve">Execute the M-27 sensitivity suite on final code; register the outcome</w:t>
            </w:r>
          </w:p>
        </w:tc>
        <w:tc>
          <w:tcPr>
            <w:tcW w:w="1200" w:type="dxa"/>
          </w:tcPr>
          <w:p>
            <w:r>
              <w:t xml:space="preserve">G4</w:t>
            </w:r>
          </w:p>
        </w:tc>
        <w:tc>
          <w:tcPr>
            <w:tcW w:w="1800" w:type="dxa"/>
          </w:tcPr>
          <w:p>
            <w:r>
              <w:t xml:space="preserve">Hours</w:t>
            </w:r>
          </w:p>
        </w:tc>
      </w:tr>
      <w:tr>
        <w:tc>
          <w:tcPr>
            <w:tcW w:w="600" w:type="dxa"/>
          </w:tcPr>
          <w:p>
            <w:r>
              <w:t xml:space="preserve">P4</w:t>
            </w:r>
          </w:p>
        </w:tc>
        <w:tc>
          <w:tcPr>
            <w:tcW w:w="5760" w:type="dxa"/>
          </w:tcPr>
          <w:p>
            <w:r>
              <w:t xml:space="preserve">Written rulings (or argued deferrals) for D-08–D-11; close or script ADR-034/042</w:t>
            </w:r>
          </w:p>
        </w:tc>
        <w:tc>
          <w:tcPr>
            <w:tcW w:w="1200" w:type="dxa"/>
          </w:tcPr>
          <w:p>
            <w:r>
              <w:t xml:space="preserve">G2, G3</w:t>
            </w:r>
          </w:p>
        </w:tc>
        <w:tc>
          <w:tcPr>
            <w:tcW w:w="1800" w:type="dxa"/>
          </w:tcPr>
          <w:p>
            <w:r>
              <w:t xml:space="preserve">1–2 days (author)</w:t>
            </w:r>
          </w:p>
        </w:tc>
      </w:tr>
      <w:tr>
        <w:tc>
          <w:tcPr>
            <w:tcW w:w="600" w:type="dxa"/>
          </w:tcPr>
          <w:p>
            <w:r>
              <w:t xml:space="preserve">P5</w:t>
            </w:r>
          </w:p>
        </w:tc>
        <w:tc>
          <w:tcPr>
            <w:tcW w:w="5760" w:type="dxa"/>
          </w:tcPr>
          <w:p>
            <w:r>
              <w:t xml:space="preserve">Run the signature-injection tests or record a one-line de-scope</w:t>
            </w:r>
          </w:p>
        </w:tc>
        <w:tc>
          <w:tcPr>
            <w:tcW w:w="1200" w:type="dxa"/>
          </w:tcPr>
          <w:p>
            <w:r>
              <w:t xml:space="preserve">G5</w:t>
            </w:r>
          </w:p>
        </w:tc>
        <w:tc>
          <w:tcPr>
            <w:tcW w:w="1800" w:type="dxa"/>
          </w:tcPr>
          <w:p>
            <w:r>
              <w:t xml:space="preserve">1 hour</w:t>
            </w:r>
          </w:p>
        </w:tc>
      </w:tr>
      <w:tr>
        <w:tc>
          <w:tcPr>
            <w:tcW w:w="600" w:type="dxa"/>
          </w:tcPr>
          <w:p>
            <w:r>
              <w:t xml:space="preserve">P6</w:t>
            </w:r>
          </w:p>
        </w:tc>
        <w:tc>
          <w:tcPr>
            <w:tcW w:w="5760" w:type="dxa"/>
          </w:tcPr>
          <w:p>
            <w:r>
              <w:t xml:space="preserve">P-5 per-turbine residual centre/scale measurement</w:t>
            </w:r>
          </w:p>
        </w:tc>
        <w:tc>
          <w:tcPr>
            <w:tcW w:w="1200" w:type="dxa"/>
          </w:tcPr>
          <w:p>
            <w:r>
              <w:t xml:space="preserve">G6</w:t>
            </w:r>
          </w:p>
        </w:tc>
        <w:tc>
          <w:tcPr>
            <w:tcW w:w="1800" w:type="dxa"/>
          </w:tcPr>
          <w:p>
            <w:r>
              <w:t xml:space="preserve">Hours</w:t>
            </w:r>
          </w:p>
        </w:tc>
      </w:tr>
      <w:tr>
        <w:tc>
          <w:tcPr>
            <w:tcW w:w="600" w:type="dxa"/>
          </w:tcPr>
          <w:p>
            <w:r>
              <w:t xml:space="preserve">P7</w:t>
            </w:r>
          </w:p>
        </w:tc>
        <w:tc>
          <w:tcPr>
            <w:tcW w:w="5760" w:type="dxa"/>
          </w:tcPr>
          <w:p>
            <w:r>
              <w:t xml:space="preserve">Scripted 15-minute artifact-driven demo + register-keyed Q&amp;A crib sheet; two timed rehearsals</w:t>
            </w:r>
          </w:p>
        </w:tc>
        <w:tc>
          <w:tcPr>
            <w:tcW w:w="1200" w:type="dxa"/>
          </w:tcPr>
          <w:p>
            <w:r>
              <w:t xml:space="preserve">G8</w:t>
            </w:r>
          </w:p>
        </w:tc>
        <w:tc>
          <w:tcPr>
            <w:tcW w:w="1800" w:type="dxa"/>
          </w:tcPr>
          <w:p>
            <w:r>
              <w:t xml:space="preserve">1 day</w:t>
            </w:r>
          </w:p>
        </w:tc>
      </w:tr>
    </w:tbl>
    <w:p>
      <w:pPr>
        <w:pStyle w:val="Heading1"/>
      </w:pPr>
      <w:r>
        <w:t xml:space="preserve">Recommended demo shape (15 minutes, artifact-driven)</w:t>
      </w:r>
    </w:p>
    <w:p>
      <w:pPr>
        <w:ind w:left="360"/>
      </w:pPr>
      <w:r>
        <w:t xml:space="preserve">•  Minute 0–2: fresh clone → uv sync → pytest green (live — this is the only thing run live, and it is fast).</w:t>
      </w:r>
    </w:p>
    <w:p>
      <w:pPr>
        <w:ind w:left="360"/>
      </w:pPr>
      <w:r>
        <w:t xml:space="preserve">•  Minute 2–6: headline results — metrics.json RQ1 slice, model-comparison CI figure, regime-split reading discipline.</w:t>
      </w:r>
    </w:p>
    <w:p>
      <w:pPr>
        <w:ind w:left="360"/>
      </w:pPr>
      <w:r>
        <w:t xml:space="preserve">•  Minute 6–10: RQ2 — operating-curve figure (raw vs modes), the matched-FPR verdict, the residual-channel scatter that explains it.</w:t>
      </w:r>
    </w:p>
    <w:p>
      <w:pPr>
        <w:ind w:left="360"/>
      </w:pPr>
      <w:r>
        <w:t xml:space="preserve">•  Minute 10–14: RQ3 — ruleset v2 outputs: one Type A rendering, one ambiguous set, the EVENT-001 abstention block, LIM-038 bounds stated unprompted.</w:t>
      </w:r>
    </w:p>
    <w:p>
      <w:pPr>
        <w:ind w:left="360"/>
      </w:pPr>
      <w:r>
        <w:t xml:space="preserve">•  Minute 14–15: close on the coherence claim: accuracy proven, coordination honestly refuted, interpretation bounded — and every number regenerable from the artefact store.</w:t>
      </w:r>
    </w:p>
    <w:p>
      <w:pPr>
        <w:pStyle w:val="Heading1"/>
      </w:pPr>
      <w:r>
        <w:t xml:space="preserve">Closing statement</w:t>
      </w:r>
    </w:p>
    <w:p>
      <w:r>
        <w:t xml:space="preserve">This project will defend well because it has already survived its own prosecution: the registers attack it harder than most juries will. Complete P1–P4 and the verdict upgrades to READY; P5–P7 convert a sound defense into a confident one. Nothing on the critical path requires new research.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  <w:pPrDefault>
      <w:pPr>
        <w:spacing w:after="120" w:line="264" w:lineRule="auto"/>
      </w:pPr>
    </w:pPrDefault>
  </w:docDefaults>
  <w:style w:type="paragraph" w:styleId="Title">
    <w:name w:val="Title"/>
    <w:pPr>
      <w:spacing w:after="40"/>
    </w:pPr>
    <w:rPr>
      <w:b/>
      <w:sz w:val="40"/>
      <w:color w:val="1F3864"/>
    </w:rPr>
  </w:style>
  <w:style w:type="paragraph" w:styleId="Subtitle">
    <w:name w:val="Subtitle"/>
    <w:pPr>
      <w:spacing w:after="200"/>
    </w:pPr>
    <w:rPr>
      <w:sz w:val="24"/>
      <w:color w:val="44546A"/>
    </w:rPr>
  </w:style>
  <w:style w:type="paragraph" w:styleId="Heading1">
    <w:name w:val="heading 1"/>
    <w:pPr>
      <w:spacing w:before="280" w:after="120"/>
      <w:outlineLvl w:val="0"/>
    </w:pPr>
    <w:rPr>
      <w:b/>
      <w:sz w:val="28"/>
      <w:color w:val="1F386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