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tHead"/>
        <w:spacing w:before="0"/>
      </w:pPr>
      <w:r>
        <w:rPr>
          <w:b w:val="0"/>
          <w:i w:val="0"/>
        </w:rPr>
        <w:t>Data, Models and Training Pipeline</w:t>
      </w:r>
    </w:p>
    <w:p>
      <w:pPr>
        <w:pStyle w:val="PartSub"/>
      </w:pPr>
      <w:r>
        <w:rPr>
          <w:b w:val="0"/>
          <w:i w:val="0"/>
        </w:rPr>
        <w:t>Audit findings for the data-science and machine-learning engineering scope</w:t>
      </w:r>
    </w:p>
    <w:p>
      <w:pPr>
        <w:pStyle w:val="H1x"/>
      </w:pPr>
      <w:r>
        <w:rPr>
          <w:b w:val="0"/>
          <w:i w:val="0"/>
        </w:rPr>
        <w:t>wind-gearbox-diagnostics</w:t>
      </w:r>
    </w:p>
    <w:p>
      <w:r>
        <w:t>SCADA-based wind turbine gearbox condition monitoring: multi-target XGBoost normal behaviour modelling, thermal residual analysis and EWMA detection. This document extracts, from a full source-level audit of the repository, every finding and description that bears on data processing, feature and target engineering, model selection and training, evaluation methodology, and experiment reproducibility.</w:t>
      </w:r>
    </w:p>
    <w:tbl>
      <w:tblPr>
        <w:tblStyle w:val="TableGrid"/>
        <w:tblW w:type="auto" w:w="0"/>
        <w:jc w:val="left"/>
        <w:tblLook w:firstColumn="1" w:firstRow="1" w:lastColumn="0" w:lastRow="0" w:noHBand="0" w:noVBand="1" w:val="04A0"/>
      </w:tblPr>
      <w:tblGrid>
        <w:gridCol w:w="4608"/>
        <w:gridCol w:w="4608"/>
      </w:tblGrid>
      <w:tr>
        <w:tc>
          <w:tcPr>
            <w:tcW w:type="dxa" w:w="2160"/>
            <w:shd w:val="clear" w:color="auto" w:fill="E7EDEF"/>
          </w:tcPr>
          <w:p>
            <w:pPr>
              <w:spacing w:before="60" w:after="60"/>
            </w:pPr>
            <w:r/>
            <w:r>
              <w:rPr>
                <w:rFonts w:ascii="Segoe UI" w:hAnsi="Segoe UI"/>
                <w:b/>
                <w:color w:val="101A1E"/>
                <w:sz w:val="17"/>
              </w:rPr>
              <w:t>Field</w:t>
            </w:r>
          </w:p>
        </w:tc>
        <w:tc>
          <w:tcPr>
            <w:tcW w:type="dxa" w:w="7056"/>
            <w:shd w:val="clear" w:color="auto" w:fill="E7EDEF"/>
          </w:tcPr>
          <w:p>
            <w:pPr>
              <w:spacing w:before="60" w:after="60"/>
            </w:pPr>
            <w:r/>
            <w:r>
              <w:rPr>
                <w:rFonts w:ascii="Segoe UI" w:hAnsi="Segoe UI"/>
                <w:b/>
                <w:color w:val="101A1E"/>
                <w:sz w:val="17"/>
              </w:rPr>
              <w:t>Value</w:t>
            </w:r>
          </w:p>
        </w:tc>
      </w:tr>
      <w:tr>
        <w:tc>
          <w:tcPr>
            <w:tcW w:type="dxa" w:w="2160"/>
          </w:tcPr>
          <w:p>
            <w:pPr>
              <w:spacing w:before="60" w:after="60"/>
            </w:pPr>
            <w:r/>
            <w:r>
              <w:rPr>
                <w:rFonts w:ascii="Segoe UI" w:hAnsi="Segoe UI"/>
                <w:b/>
                <w:color w:val="101A1E"/>
                <w:sz w:val="17"/>
              </w:rPr>
              <w:t>Repository</w:t>
            </w:r>
          </w:p>
        </w:tc>
        <w:tc>
          <w:tcPr>
            <w:tcW w:type="dxa" w:w="7056"/>
          </w:tcPr>
          <w:p>
            <w:pPr>
              <w:spacing w:before="60" w:after="60"/>
            </w:pPr>
            <w:r/>
            <w:r>
              <w:rPr>
                <w:rFonts w:ascii="Segoe UI" w:hAnsi="Segoe UI"/>
                <w:b w:val="0"/>
                <w:color w:val="3E4E55"/>
                <w:sz w:val="17"/>
              </w:rPr>
              <w:t>wind-gearbox-diagnostics</w:t>
            </w:r>
          </w:p>
        </w:tc>
      </w:tr>
      <w:tr>
        <w:tc>
          <w:tcPr>
            <w:tcW w:type="dxa" w:w="2160"/>
          </w:tcPr>
          <w:p>
            <w:pPr>
              <w:spacing w:before="60" w:after="60"/>
            </w:pPr>
            <w:r/>
            <w:r>
              <w:rPr>
                <w:rFonts w:ascii="Segoe UI" w:hAnsi="Segoe UI"/>
                <w:b/>
                <w:color w:val="101A1E"/>
                <w:sz w:val="17"/>
              </w:rPr>
              <w:t>Commit audited</w:t>
            </w:r>
          </w:p>
        </w:tc>
        <w:tc>
          <w:tcPr>
            <w:tcW w:type="dxa" w:w="7056"/>
          </w:tcPr>
          <w:p>
            <w:pPr>
              <w:spacing w:before="60" w:after="60"/>
            </w:pPr>
            <w:r/>
            <w:r>
              <w:rPr>
                <w:rFonts w:ascii="Segoe UI" w:hAnsi="Segoe UI"/>
                <w:b w:val="0"/>
                <w:color w:val="3E4E55"/>
                <w:sz w:val="17"/>
              </w:rPr>
              <w:t>7df11f9` (branch main, working tree clean)</w:t>
            </w:r>
          </w:p>
        </w:tc>
      </w:tr>
      <w:tr>
        <w:tc>
          <w:tcPr>
            <w:tcW w:type="dxa" w:w="2160"/>
          </w:tcPr>
          <w:p>
            <w:pPr>
              <w:spacing w:before="60" w:after="60"/>
            </w:pPr>
            <w:r/>
            <w:r>
              <w:rPr>
                <w:rFonts w:ascii="Segoe UI" w:hAnsi="Segoe UI"/>
                <w:b/>
                <w:color w:val="101A1E"/>
                <w:sz w:val="17"/>
              </w:rPr>
              <w:t>Audit date</w:t>
            </w:r>
          </w:p>
        </w:tc>
        <w:tc>
          <w:tcPr>
            <w:tcW w:type="dxa" w:w="7056"/>
          </w:tcPr>
          <w:p>
            <w:pPr>
              <w:spacing w:before="60" w:after="60"/>
            </w:pPr>
            <w:r/>
            <w:r>
              <w:rPr>
                <w:rFonts w:ascii="Segoe UI" w:hAnsi="Segoe UI"/>
                <w:b w:val="0"/>
                <w:color w:val="3E4E55"/>
                <w:sz w:val="17"/>
              </w:rPr>
              <w:t>15 August 2026</w:t>
            </w:r>
          </w:p>
        </w:tc>
      </w:tr>
      <w:tr>
        <w:tc>
          <w:tcPr>
            <w:tcW w:type="dxa" w:w="2160"/>
          </w:tcPr>
          <w:p>
            <w:pPr>
              <w:spacing w:before="60" w:after="60"/>
            </w:pPr>
            <w:r/>
            <w:r>
              <w:rPr>
                <w:rFonts w:ascii="Segoe UI" w:hAnsi="Segoe UI"/>
                <w:b/>
                <w:color w:val="101A1E"/>
                <w:sz w:val="17"/>
              </w:rPr>
              <w:t>Scope of this document</w:t>
            </w:r>
          </w:p>
        </w:tc>
        <w:tc>
          <w:tcPr>
            <w:tcW w:type="dxa" w:w="7056"/>
          </w:tcPr>
          <w:p>
            <w:pPr>
              <w:spacing w:before="60" w:after="60"/>
            </w:pPr>
            <w:r/>
            <w:r>
              <w:rPr>
                <w:rFonts w:ascii="Segoe UI" w:hAnsi="Segoe UI"/>
                <w:b w:val="0"/>
                <w:color w:val="3E4E55"/>
                <w:sz w:val="17"/>
              </w:rPr>
              <w:t>Data processing and cleaning; feature/target engineering; ML models; training pipeline; evaluation statistics; ML reproducibility</w:t>
            </w:r>
          </w:p>
        </w:tc>
      </w:tr>
      <w:tr>
        <w:tc>
          <w:tcPr>
            <w:tcW w:type="dxa" w:w="2160"/>
          </w:tcPr>
          <w:p>
            <w:pPr>
              <w:spacing w:before="60" w:after="60"/>
            </w:pPr>
            <w:r/>
            <w:r>
              <w:rPr>
                <w:rFonts w:ascii="Segoe UI" w:hAnsi="Segoe UI"/>
                <w:b/>
                <w:color w:val="101A1E"/>
                <w:sz w:val="17"/>
              </w:rPr>
              <w:t>Findings in scope</w:t>
            </w:r>
          </w:p>
        </w:tc>
        <w:tc>
          <w:tcPr>
            <w:tcW w:type="dxa" w:w="7056"/>
          </w:tcPr>
          <w:p>
            <w:pPr>
              <w:spacing w:before="60" w:after="60"/>
            </w:pPr>
            <w:r/>
            <w:r>
              <w:rPr>
                <w:rFonts w:ascii="Segoe UI" w:hAnsi="Segoe UI"/>
                <w:b w:val="0"/>
                <w:color w:val="3E4E55"/>
                <w:sz w:val="17"/>
              </w:rPr>
              <w:t>20 of 25 total (3 critical, 6 high, 7 medium, 4 low)</w:t>
            </w:r>
          </w:p>
        </w:tc>
      </w:tr>
      <w:tr>
        <w:tc>
          <w:tcPr>
            <w:tcW w:type="dxa" w:w="2160"/>
          </w:tcPr>
          <w:p>
            <w:pPr>
              <w:spacing w:before="60" w:after="60"/>
            </w:pPr>
            <w:r/>
            <w:r>
              <w:rPr>
                <w:rFonts w:ascii="Segoe UI" w:hAnsi="Segoe UI"/>
                <w:b/>
                <w:color w:val="101A1E"/>
                <w:sz w:val="17"/>
              </w:rPr>
              <w:t>Method</w:t>
            </w:r>
          </w:p>
        </w:tc>
        <w:tc>
          <w:tcPr>
            <w:tcW w:type="dxa" w:w="7056"/>
          </w:tcPr>
          <w:p>
            <w:pPr>
              <w:spacing w:before="60" w:after="60"/>
            </w:pPr>
            <w:r/>
            <w:r>
              <w:rPr>
                <w:rFonts w:ascii="Segoe UI" w:hAnsi="Segoe UI"/>
                <w:b w:val="0"/>
                <w:color w:val="3E4E55"/>
                <w:sz w:val="17"/>
              </w:rPr>
              <w:t>Source inspection of all 80 Python modules, configuration, tests and committed evidence artefacts</w:t>
            </w:r>
          </w:p>
        </w:tc>
      </w:tr>
      <w:tr>
        <w:tc>
          <w:tcPr>
            <w:tcW w:type="dxa" w:w="2160"/>
          </w:tcPr>
          <w:p>
            <w:pPr>
              <w:spacing w:before="60" w:after="60"/>
            </w:pPr>
            <w:r/>
            <w:r>
              <w:rPr>
                <w:rFonts w:ascii="Segoe UI" w:hAnsi="Segoe UI"/>
                <w:b/>
                <w:color w:val="101A1E"/>
                <w:sz w:val="17"/>
              </w:rPr>
              <w:t>Test suite executed</w:t>
            </w:r>
          </w:p>
        </w:tc>
        <w:tc>
          <w:tcPr>
            <w:tcW w:type="dxa" w:w="7056"/>
          </w:tcPr>
          <w:p>
            <w:pPr>
              <w:spacing w:before="60" w:after="60"/>
            </w:pPr>
            <w:r/>
            <w:r>
              <w:rPr>
                <w:rFonts w:ascii="Segoe UI" w:hAnsi="Segoe UI"/>
                <w:b w:val="0"/>
                <w:color w:val="3E4E55"/>
                <w:sz w:val="17"/>
              </w:rPr>
              <w:t>No — see Verification status below</w:t>
            </w:r>
          </w:p>
        </w:tc>
      </w:tr>
    </w:tbl>
    <w:p>
      <w:pPr>
        <w:spacing w:after="40"/>
      </w:pPr>
    </w:p>
    <w:p>
      <w:pPr>
        <w:pStyle w:val="H1x"/>
      </w:pPr>
      <w:r>
        <w:rPr>
          <w:b w:val="0"/>
          <w:i w:val="0"/>
        </w:rPr>
        <w:t>Verification status and how to read this document</w:t>
      </w:r>
    </w:p>
    <w:p>
      <w:pPr>
        <w:pStyle w:val="Label"/>
      </w:pPr>
      <w:r>
        <w:rPr>
          <w:b w:val="0"/>
          <w:i w:val="0"/>
        </w:rPr>
        <w:t>Evidence grades</w:t>
      </w:r>
    </w:p>
    <w:p>
      <w:pPr>
        <w:pStyle w:val="ListBullet"/>
        <w:spacing w:after="80"/>
        <w:ind w:left="547"/>
      </w:pPr>
      <w:r>
        <w:rPr>
          <w:b/>
        </w:rPr>
        <w:t>Verified</w:t>
      </w:r>
      <w:r>
        <w:t xml:space="preserve"> — directly demonstrated by the code as written, read in full.</w:t>
      </w:r>
    </w:p>
    <w:p>
      <w:pPr>
        <w:pStyle w:val="ListBullet"/>
        <w:spacing w:after="80"/>
        <w:ind w:left="547"/>
      </w:pPr>
      <w:r>
        <w:rPr>
          <w:b/>
        </w:rPr>
        <w:t>Inferred</w:t>
      </w:r>
      <w:r>
        <w:t xml:space="preserve"> — strongly implied by the implementation but dependent on runtime data that could not be inspected.</w:t>
      </w:r>
    </w:p>
    <w:p>
      <w:pPr>
        <w:pStyle w:val="ListBullet"/>
        <w:spacing w:after="80"/>
        <w:ind w:left="547"/>
      </w:pPr>
      <w:r>
        <w:rPr>
          <w:b/>
        </w:rPr>
        <w:t>Unknown</w:t>
      </w:r>
      <w:r>
        <w:t xml:space="preserve"> — cannot be established from available evidence.</w:t>
      </w:r>
    </w:p>
    <w:p>
      <w:pPr>
        <w:pStyle w:val="ListBullet"/>
        <w:spacing w:after="80"/>
        <w:ind w:left="547"/>
      </w:pPr>
      <w:r>
        <w:rPr>
          <w:b/>
        </w:rPr>
        <w:t>Concern</w:t>
      </w:r>
      <w:r>
        <w:t xml:space="preserve"> — technically plausible risk requiring validation.</w:t>
      </w:r>
    </w:p>
    <w:p>
      <w:pPr>
        <w:pStyle w:val="Label"/>
      </w:pPr>
      <w:r>
        <w:rPr>
          <w:b w:val="0"/>
          <w:i w:val="0"/>
        </w:rPr>
        <w:t>Two limits on this audit, stated plainly</w:t>
      </w:r>
    </w:p>
    <w:p>
      <w:r>
        <w:rPr>
          <w:b/>
        </w:rPr>
        <w:t xml:space="preserve">1. The test suite was not executed. </w:t>
      </w:r>
      <w:r>
        <w:t xml:space="preserve">The audit environment has no </w:t>
      </w:r>
      <w:r>
        <w:rPr>
          <w:rFonts w:ascii="Consolas" w:hAnsi="Consolas"/>
          <w:color w:val="3E4E55"/>
          <w:sz w:val="18"/>
        </w:rPr>
        <w:t>uv</w:t>
      </w:r>
      <w:r>
        <w:t xml:space="preserve"> and no scientific stack — pandas, numpy, xgboost, scikit-learn, scipy, statsmodels, pytest and pyarrow are all absent. No statement in this document about tests passing is a first-hand observation. What was verified statically: 375 </w:t>
      </w:r>
      <w:r>
        <w:rPr>
          <w:rFonts w:ascii="Consolas" w:hAnsi="Consolas"/>
          <w:color w:val="3E4E55"/>
          <w:sz w:val="18"/>
        </w:rPr>
        <w:t>def test_</w:t>
      </w:r>
      <w:r>
        <w:t xml:space="preserve"> functions across 22 files plus 5 parametrised decorators, consistent with the "378 tests" recorded in the project handoff. The "96% coverage" figure is quoted from that document and is Unknown to this audit.</w:t>
      </w:r>
    </w:p>
    <w:p>
      <w:r>
        <w:rPr>
          <w:b/>
        </w:rPr>
        <w:t xml:space="preserve">2. No modelling result is externally checkable. </w:t>
      </w:r>
      <w:r>
        <w:t xml:space="preserve">The </w:t>
      </w:r>
      <w:r>
        <w:rPr>
          <w:rFonts w:ascii="Consolas" w:hAnsi="Consolas"/>
          <w:color w:val="3E4E55"/>
          <w:sz w:val="18"/>
        </w:rPr>
        <w:t>artifacts/</w:t>
      </w:r>
      <w:r>
        <w:t xml:space="preserve"> directory is excluded by </w:t>
      </w:r>
      <w:r>
        <w:rPr>
          <w:rFonts w:ascii="Consolas" w:hAnsi="Consolas"/>
          <w:color w:val="3E4E55"/>
          <w:sz w:val="18"/>
        </w:rPr>
        <w:t>.gitignore</w:t>
      </w:r>
      <w:r>
        <w:t xml:space="preserve"> and absent from the working tree. Every accuracy figure, control-limit multiplier and inflation ratio quoted in the project's own documents rests on run outputs that no third party can inspect. By contrast the Phase 0.5 census evidence in </w:t>
      </w:r>
      <w:r>
        <w:rPr>
          <w:rFonts w:ascii="Consolas" w:hAnsi="Consolas"/>
          <w:color w:val="3E4E55"/>
          <w:sz w:val="18"/>
        </w:rPr>
        <w:t>docs/evidence/</w:t>
      </w:r>
      <w:r>
        <w:t xml:space="preserve"> is committed, and every figure re-derived from it during this audit matched the project's prose exactly.</w:t>
      </w:r>
    </w:p>
    <w:p>
      <w:pPr>
        <w:pStyle w:val="Label"/>
      </w:pPr>
      <w:r>
        <w:rPr>
          <w:b w:val="0"/>
          <w:i w:val="0"/>
        </w:rPr>
        <w:t>Scope boundary</w:t>
      </w:r>
    </w:p>
    <w:p>
      <w:r>
        <w:t>Five findings from the full audit are outside this document's scope because they concern the FMEA knowledge-based interpretation layer, operator-facing output rendering, or repository documentation rather than data-science or ML-engineering work. They are listed in Appendix B so nothing appears to have been dropped silently.</w:t>
      </w:r>
    </w:p>
    <w:p>
      <w:r>
        <w:br w:type="page"/>
      </w:r>
    </w:p>
    <w:p>
      <w:pPr>
        <w:pStyle w:val="PartHead"/>
      </w:pPr>
      <w:r>
        <w:rPr>
          <w:b w:val="0"/>
          <w:i w:val="0"/>
        </w:rPr>
        <w:t>Part A</w:t>
      </w:r>
    </w:p>
    <w:p>
      <w:pPr>
        <w:pStyle w:val="PartSub"/>
      </w:pPr>
      <w:r>
        <w:rPr>
          <w:b w:val="0"/>
          <w:i w:val="0"/>
        </w:rPr>
        <w:t>Data ingestion, validation and cleaning</w:t>
      </w:r>
    </w:p>
    <w:p>
      <w:pPr>
        <w:pStyle w:val="H1x"/>
      </w:pPr>
      <w:r>
        <w:rPr>
          <w:b w:val="0"/>
          <w:i w:val="0"/>
        </w:rPr>
        <w:t>A.1  Ingestion</w:t>
      </w:r>
    </w:p>
    <w:p>
      <w:r>
        <w:t xml:space="preserve">Source data is 36 Greenbyte-format CSV exports (6 turbines × 6 year folders, 10-minute sampling, 299 columns each) plus 36 status/alarm logs. The ingestion path in </w:t>
      </w:r>
      <w:r>
        <w:rPr>
          <w:rFonts w:ascii="Consolas" w:hAnsi="Consolas"/>
          <w:color w:val="3E4E55"/>
          <w:sz w:val="18"/>
        </w:rPr>
        <w:t>app/data/ingestion.py</w:t>
      </w:r>
      <w:r>
        <w:t xml:space="preserve"> performs, per file:</w:t>
      </w:r>
    </w:p>
    <w:p>
      <w:pPr>
        <w:pStyle w:val="ListBullet"/>
        <w:spacing w:after="80"/>
        <w:ind w:left="547"/>
      </w:pPr>
      <w:r>
        <w:rPr>
          <w:b/>
        </w:rPr>
        <w:t>Strict encoding detection</w:t>
      </w:r>
      <w:r>
        <w:t xml:space="preserve"> — utf-8, then cp1252, then latin-1, each attempted as a whole-file strict decode. Silent character replacement is treated as corruption because it would damage degree symbols and vendor text without leaving a trace. The encoding actually used is recorded in provenance.</w:t>
      </w:r>
    </w:p>
    <w:p>
      <w:pPr>
        <w:pStyle w:val="ListBullet"/>
        <w:spacing w:after="80"/>
        <w:ind w:left="547"/>
      </w:pPr>
      <w:r>
        <w:rPr>
          <w:b/>
        </w:rPr>
        <w:t>Raw → canonical column mapping</w:t>
      </w:r>
      <w:r>
        <w:t xml:space="preserve"> via a YAML mapping config. No dataset-specific column name appears anywhere in code; a meta-test AST-parses every module and fails if a canonical variable name appears as a string literal outside the schema module.</w:t>
      </w:r>
    </w:p>
    <w:p>
      <w:pPr>
        <w:pStyle w:val="ListBullet"/>
        <w:spacing w:after="80"/>
        <w:ind w:left="547"/>
      </w:pPr>
      <w:r>
        <w:rPr>
          <w:b/>
        </w:rPr>
        <w:t>UTC conversion exactly once</w:t>
      </w:r>
      <w:r>
        <w:t xml:space="preserve">, using the mapping's mandatory </w:t>
      </w:r>
      <w:r>
        <w:rPr>
          <w:rFonts w:ascii="Consolas" w:hAnsi="Consolas"/>
          <w:color w:val="3E4E55"/>
          <w:sz w:val="18"/>
        </w:rPr>
        <w:t>source_timezone</w:t>
      </w:r>
      <w:r>
        <w:t>. A missing or unresolvable timezone is a hard stop, never a guess. DST fold-back and spring-gap detection exist for non-UTC sources.</w:t>
      </w:r>
    </w:p>
    <w:p>
      <w:pPr>
        <w:pStyle w:val="ListBullet"/>
        <w:spacing w:after="80"/>
        <w:ind w:left="547"/>
      </w:pPr>
      <w:r>
        <w:rPr>
          <w:b/>
        </w:rPr>
        <w:t>Modelling-span filter</w:t>
      </w:r>
      <w:r>
        <w:t xml:space="preserve"> — inclusive date bounds, set to 2016-05-03 → 2021-06-30 for this dataset.</w:t>
      </w:r>
    </w:p>
    <w:p>
      <w:pPr>
        <w:pStyle w:val="ListBullet"/>
        <w:spacing w:after="80"/>
        <w:ind w:left="547"/>
      </w:pPr>
      <w:r>
        <w:rPr>
          <w:b/>
        </w:rPr>
        <w:t>SHA-256 provenance capture</w:t>
      </w:r>
      <w:r>
        <w:t xml:space="preserve"> per file, with original path, size, ingestion timestamp, declared timezone, encoding, schema version and mapping hash.</w:t>
      </w:r>
    </w:p>
    <w:p>
      <w:r>
        <w:t xml:space="preserve">Across files, frames are concatenated and deduplicated on </w:t>
      </w:r>
      <w:r>
        <w:rPr>
          <w:rFonts w:ascii="Consolas" w:hAnsi="Consolas"/>
          <w:color w:val="3E4E55"/>
          <w:sz w:val="18"/>
        </w:rPr>
        <w:t>(turbine_id, timestamp)</w:t>
      </w:r>
      <w:r>
        <w:t xml:space="preserve">, extended with the status code column where present. The deduplication design deserves note: rows sharing a key are collapsed </w:t>
      </w:r>
      <w:r>
        <w:rPr>
          <w:b/>
        </w:rPr>
        <w:t>only when their content is byte-identical</w:t>
      </w:r>
      <w:r>
        <w:t>. A key collision with differing content raises, on the explicit reasoning that silently choosing one would fabricate a record present in neither source file. This matters because export year-folders overlap at their boundaries — 215 duplicate rows across 213 keys were measured in the source data.</w:t>
      </w:r>
    </w:p>
    <w:p>
      <w:pPr>
        <w:pStyle w:val="Label"/>
      </w:pPr>
      <w:r>
        <w:rPr>
          <w:b w:val="0"/>
          <w:i w:val="0"/>
        </w:rPr>
        <w:t>Structural guarantee</w:t>
      </w:r>
    </w:p>
    <w:p>
      <w:r>
        <w:t xml:space="preserve">Provenance is enforced by construction: </w:t>
      </w:r>
      <w:r>
        <w:rPr>
          <w:rFonts w:ascii="Consolas" w:hAnsi="Consolas"/>
          <w:color w:val="3E4E55"/>
          <w:sz w:val="18"/>
        </w:rPr>
        <w:t>CanonicalDataset.__post_init__</w:t>
      </w:r>
      <w:r>
        <w:t xml:space="preserve"> raises without at least one provenance record, so no downstream artefact can lose track of its source bytes. Derived stages extend the chain with a content hash of their own output.</w:t>
      </w:r>
    </w:p>
    <w:p>
      <w:pPr>
        <w:pStyle w:val="H1x"/>
      </w:pPr>
      <w:r>
        <w:rPr>
          <w:b w:val="0"/>
          <w:i w:val="0"/>
        </w:rPr>
        <w:t>A.2  Validation rule engine</w:t>
      </w:r>
    </w:p>
    <w:p>
      <w:r>
        <w:t xml:space="preserve">Validation is strictly read-only and produces </w:t>
      </w:r>
      <w:r>
        <w:rPr>
          <w:b/>
        </w:rPr>
        <w:t>Findings</w:t>
      </w:r>
      <w:r>
        <w:t xml:space="preserve"> — data, not exceptions. The design principle is stated in the error module and held throughout: methodology violations raise unconditionally; imperfect data produces a report and lets configuration decide consequences.</w:t>
      </w:r>
    </w:p>
    <w:tbl>
      <w:tblPr>
        <w:tblStyle w:val="TableGrid"/>
        <w:tblW w:type="auto" w:w="0"/>
        <w:jc w:val="left"/>
        <w:tblLook w:firstColumn="1" w:firstRow="1" w:lastColumn="0" w:lastRow="0" w:noHBand="0" w:noVBand="1" w:val="04A0"/>
      </w:tblPr>
      <w:tblGrid>
        <w:gridCol w:w="3072"/>
        <w:gridCol w:w="3072"/>
        <w:gridCol w:w="3072"/>
      </w:tblGrid>
      <w:tr>
        <w:tc>
          <w:tcPr>
            <w:tcW w:type="dxa" w:w="1656"/>
            <w:shd w:val="clear" w:color="auto" w:fill="E7EDEF"/>
          </w:tcPr>
          <w:p>
            <w:pPr>
              <w:spacing w:before="60" w:after="60"/>
            </w:pPr>
            <w:r/>
            <w:r>
              <w:rPr>
                <w:rFonts w:ascii="Segoe UI" w:hAnsi="Segoe UI"/>
                <w:b/>
                <w:color w:val="101A1E"/>
                <w:sz w:val="17"/>
              </w:rPr>
              <w:t>Rule</w:t>
            </w:r>
          </w:p>
        </w:tc>
        <w:tc>
          <w:tcPr>
            <w:tcW w:type="dxa" w:w="5832"/>
            <w:shd w:val="clear" w:color="auto" w:fill="E7EDEF"/>
          </w:tcPr>
          <w:p>
            <w:pPr>
              <w:spacing w:before="60" w:after="60"/>
            </w:pPr>
            <w:r/>
            <w:r>
              <w:rPr>
                <w:rFonts w:ascii="Segoe UI" w:hAnsi="Segoe UI"/>
                <w:b/>
                <w:color w:val="101A1E"/>
                <w:sz w:val="17"/>
              </w:rPr>
              <w:t>Checks</w:t>
            </w:r>
          </w:p>
        </w:tc>
        <w:tc>
          <w:tcPr>
            <w:tcW w:type="dxa" w:w="1728"/>
            <w:shd w:val="clear" w:color="auto" w:fill="E7EDEF"/>
          </w:tcPr>
          <w:p>
            <w:pPr>
              <w:spacing w:before="60" w:after="60"/>
            </w:pPr>
            <w:r/>
            <w:r>
              <w:rPr>
                <w:rFonts w:ascii="Segoe UI" w:hAnsi="Segoe UI"/>
                <w:b/>
                <w:color w:val="101A1E"/>
                <w:sz w:val="17"/>
              </w:rPr>
              <w:t>Levels emitted</w:t>
            </w:r>
          </w:p>
        </w:tc>
      </w:tr>
      <w:tr>
        <w:tc>
          <w:tcPr>
            <w:tcW w:type="dxa" w:w="1656"/>
          </w:tcPr>
          <w:p>
            <w:pPr>
              <w:spacing w:before="60" w:after="60"/>
            </w:pPr>
            <w:r/>
            <w:r>
              <w:rPr>
                <w:rFonts w:ascii="Segoe UI" w:hAnsi="Segoe UI"/>
                <w:b/>
                <w:color w:val="101A1E"/>
                <w:sz w:val="17"/>
              </w:rPr>
              <w:t>TIMESTAMP</w:t>
            </w:r>
          </w:p>
        </w:tc>
        <w:tc>
          <w:tcPr>
            <w:tcW w:type="dxa" w:w="5832"/>
          </w:tcPr>
          <w:p>
            <w:pPr>
              <w:spacing w:before="60" w:after="60"/>
            </w:pPr>
            <w:r/>
            <w:r>
              <w:rPr>
                <w:rFonts w:ascii="Segoe UI" w:hAnsi="Segoe UI"/>
                <w:b w:val="0"/>
                <w:color w:val="3E4E55"/>
                <w:sz w:val="17"/>
              </w:rPr>
              <w:t>Parse failures, timezone-awareness, duplicate turbine/timestamp pairs, ordering, sampling gaps above the modal interval</w:t>
            </w:r>
          </w:p>
        </w:tc>
        <w:tc>
          <w:tcPr>
            <w:tcW w:type="dxa" w:w="1728"/>
          </w:tcPr>
          <w:p>
            <w:pPr>
              <w:spacing w:before="60" w:after="60"/>
            </w:pPr>
            <w:r/>
            <w:r>
              <w:rPr>
                <w:rFonts w:ascii="Segoe UI" w:hAnsi="Segoe UI"/>
                <w:b w:val="0"/>
                <w:color w:val="3E4E55"/>
                <w:sz w:val="17"/>
              </w:rPr>
              <w:t>ERROR / WARNING / INFO</w:t>
            </w:r>
          </w:p>
        </w:tc>
      </w:tr>
      <w:tr>
        <w:tc>
          <w:tcPr>
            <w:tcW w:type="dxa" w:w="1656"/>
          </w:tcPr>
          <w:p>
            <w:pPr>
              <w:spacing w:before="60" w:after="60"/>
            </w:pPr>
            <w:r/>
            <w:r>
              <w:rPr>
                <w:rFonts w:ascii="Segoe UI" w:hAnsi="Segoe UI"/>
                <w:b/>
                <w:color w:val="101A1E"/>
                <w:sz w:val="17"/>
              </w:rPr>
              <w:t>MISSING</w:t>
            </w:r>
          </w:p>
        </w:tc>
        <w:tc>
          <w:tcPr>
            <w:tcW w:type="dxa" w:w="5832"/>
          </w:tcPr>
          <w:p>
            <w:pPr>
              <w:spacing w:before="60" w:after="60"/>
            </w:pPr>
            <w:r/>
            <w:r>
              <w:rPr>
                <w:rFonts w:ascii="Segoe UI" w:hAnsi="Segoe UI"/>
                <w:b w:val="0"/>
                <w:color w:val="3E4E55"/>
                <w:sz w:val="17"/>
              </w:rPr>
              <w:t>Per-column null fraction</w:t>
            </w:r>
          </w:p>
        </w:tc>
        <w:tc>
          <w:tcPr>
            <w:tcW w:type="dxa" w:w="1728"/>
          </w:tcPr>
          <w:p>
            <w:pPr>
              <w:spacing w:before="60" w:after="60"/>
            </w:pPr>
            <w:r/>
            <w:r>
              <w:rPr>
                <w:rFonts w:ascii="Segoe UI" w:hAnsi="Segoe UI"/>
                <w:b w:val="0"/>
                <w:color w:val="3E4E55"/>
                <w:sz w:val="17"/>
              </w:rPr>
              <w:t>WARNING ≥50%, else INFO</w:t>
            </w:r>
          </w:p>
        </w:tc>
      </w:tr>
      <w:tr>
        <w:tc>
          <w:tcPr>
            <w:tcW w:type="dxa" w:w="1656"/>
          </w:tcPr>
          <w:p>
            <w:pPr>
              <w:spacing w:before="60" w:after="60"/>
            </w:pPr>
            <w:r/>
            <w:r>
              <w:rPr>
                <w:rFonts w:ascii="Segoe UI" w:hAnsi="Segoe UI"/>
                <w:b/>
                <w:color w:val="101A1E"/>
                <w:sz w:val="17"/>
              </w:rPr>
              <w:t>CONSTANT</w:t>
            </w:r>
          </w:p>
        </w:tc>
        <w:tc>
          <w:tcPr>
            <w:tcW w:type="dxa" w:w="5832"/>
          </w:tcPr>
          <w:p>
            <w:pPr>
              <w:spacing w:before="60" w:after="60"/>
            </w:pPr>
            <w:r/>
            <w:r>
              <w:rPr>
                <w:rFonts w:ascii="Segoe UI" w:hAnsi="Segoe UI"/>
                <w:b w:val="0"/>
                <w:color w:val="3E4E55"/>
                <w:sz w:val="17"/>
              </w:rPr>
              <w:t>Entirely-null columns, single-distinct-value columns</w:t>
            </w:r>
          </w:p>
        </w:tc>
        <w:tc>
          <w:tcPr>
            <w:tcW w:type="dxa" w:w="1728"/>
          </w:tcPr>
          <w:p>
            <w:pPr>
              <w:spacing w:before="60" w:after="60"/>
            </w:pPr>
            <w:r/>
            <w:r>
              <w:rPr>
                <w:rFonts w:ascii="Segoe UI" w:hAnsi="Segoe UI"/>
                <w:b w:val="0"/>
                <w:color w:val="3E4E55"/>
                <w:sz w:val="17"/>
              </w:rPr>
              <w:t>WARNING / INFO</w:t>
            </w:r>
          </w:p>
        </w:tc>
      </w:tr>
      <w:tr>
        <w:tc>
          <w:tcPr>
            <w:tcW w:type="dxa" w:w="1656"/>
          </w:tcPr>
          <w:p>
            <w:pPr>
              <w:spacing w:before="60" w:after="60"/>
            </w:pPr>
            <w:r/>
            <w:r>
              <w:rPr>
                <w:rFonts w:ascii="Segoe UI" w:hAnsi="Segoe UI"/>
                <w:b/>
                <w:color w:val="101A1E"/>
                <w:sz w:val="17"/>
              </w:rPr>
              <w:t>RANGE</w:t>
            </w:r>
          </w:p>
        </w:tc>
        <w:tc>
          <w:tcPr>
            <w:tcW w:type="dxa" w:w="5832"/>
          </w:tcPr>
          <w:p>
            <w:pPr>
              <w:spacing w:before="60" w:after="60"/>
            </w:pPr>
            <w:r/>
            <w:r>
              <w:rPr>
                <w:rFonts w:ascii="Segoe UI" w:hAnsi="Segoe UI"/>
                <w:b w:val="0"/>
                <w:color w:val="3E4E55"/>
                <w:sz w:val="17"/>
              </w:rPr>
              <w:t>Values outside the schema's declared physically-impossible bounds</w:t>
            </w:r>
          </w:p>
        </w:tc>
        <w:tc>
          <w:tcPr>
            <w:tcW w:type="dxa" w:w="1728"/>
          </w:tcPr>
          <w:p>
            <w:pPr>
              <w:spacing w:before="60" w:after="60"/>
            </w:pPr>
            <w:r/>
            <w:r>
              <w:rPr>
                <w:rFonts w:ascii="Segoe UI" w:hAnsi="Segoe UI"/>
                <w:b w:val="0"/>
                <w:color w:val="3E4E55"/>
                <w:sz w:val="17"/>
              </w:rPr>
              <w:t>ERROR</w:t>
            </w:r>
          </w:p>
        </w:tc>
      </w:tr>
      <w:tr>
        <w:tc>
          <w:tcPr>
            <w:tcW w:type="dxa" w:w="1656"/>
          </w:tcPr>
          <w:p>
            <w:pPr>
              <w:spacing w:before="60" w:after="60"/>
            </w:pPr>
            <w:r/>
            <w:r>
              <w:rPr>
                <w:rFonts w:ascii="Segoe UI" w:hAnsi="Segoe UI"/>
                <w:b/>
                <w:color w:val="101A1E"/>
                <w:sz w:val="17"/>
              </w:rPr>
              <w:t>SCHEMA</w:t>
            </w:r>
          </w:p>
        </w:tc>
        <w:tc>
          <w:tcPr>
            <w:tcW w:type="dxa" w:w="5832"/>
          </w:tcPr>
          <w:p>
            <w:pPr>
              <w:spacing w:before="60" w:after="60"/>
            </w:pPr>
            <w:r/>
            <w:r>
              <w:rPr>
                <w:rFonts w:ascii="Segoe UI" w:hAnsi="Segoe UI"/>
                <w:b w:val="0"/>
                <w:color w:val="3E4E55"/>
                <w:sz w:val="17"/>
              </w:rPr>
              <w:t>Required roles present (targets, predictors); schema-version drift</w:t>
            </w:r>
          </w:p>
        </w:tc>
        <w:tc>
          <w:tcPr>
            <w:tcW w:type="dxa" w:w="1728"/>
          </w:tcPr>
          <w:p>
            <w:pPr>
              <w:spacing w:before="60" w:after="60"/>
            </w:pPr>
            <w:r/>
            <w:r>
              <w:rPr>
                <w:rFonts w:ascii="Segoe UI" w:hAnsi="Segoe UI"/>
                <w:b w:val="0"/>
                <w:color w:val="3E4E55"/>
                <w:sz w:val="17"/>
              </w:rPr>
              <w:t>ERROR / WARNING</w:t>
            </w:r>
          </w:p>
        </w:tc>
      </w:tr>
      <w:tr>
        <w:tc>
          <w:tcPr>
            <w:tcW w:type="dxa" w:w="1656"/>
          </w:tcPr>
          <w:p>
            <w:pPr>
              <w:spacing w:before="60" w:after="60"/>
            </w:pPr>
            <w:r/>
            <w:r>
              <w:rPr>
                <w:rFonts w:ascii="Segoe UI" w:hAnsi="Segoe UI"/>
                <w:b/>
                <w:color w:val="101A1E"/>
                <w:sz w:val="17"/>
              </w:rPr>
              <w:t>STEP_CHANGE</w:t>
            </w:r>
          </w:p>
        </w:tc>
        <w:tc>
          <w:tcPr>
            <w:tcW w:type="dxa" w:w="5832"/>
          </w:tcPr>
          <w:p>
            <w:pPr>
              <w:spacing w:before="60" w:after="60"/>
            </w:pPr>
            <w:r/>
            <w:r>
              <w:rPr>
                <w:rFonts w:ascii="Segoe UI" w:hAnsi="Segoe UI"/>
                <w:b w:val="0"/>
                <w:color w:val="3E4E55"/>
                <w:sz w:val="17"/>
              </w:rPr>
              <w:t>Sustained level shifts in thermal target channels (candidate recalibrations)</w:t>
            </w:r>
          </w:p>
        </w:tc>
        <w:tc>
          <w:tcPr>
            <w:tcW w:type="dxa" w:w="1728"/>
          </w:tcPr>
          <w:p>
            <w:pPr>
              <w:spacing w:before="60" w:after="60"/>
            </w:pPr>
            <w:r/>
            <w:r>
              <w:rPr>
                <w:rFonts w:ascii="Segoe UI" w:hAnsi="Segoe UI"/>
                <w:b w:val="0"/>
                <w:color w:val="3E4E55"/>
                <w:sz w:val="17"/>
              </w:rPr>
              <w:t>WARNING</w:t>
            </w:r>
          </w:p>
        </w:tc>
      </w:tr>
    </w:tbl>
    <w:p>
      <w:pPr>
        <w:spacing w:after="40"/>
      </w:pPr>
    </w:p>
    <w:p>
      <w:r>
        <w:t xml:space="preserve">Bounds are declared per variable in the canonical schema and are </w:t>
      </w:r>
      <w:r>
        <w:rPr>
          <w:i/>
        </w:rPr>
        <w:t>physically impossible</w:t>
      </w:r>
      <w:r>
        <w:t xml:space="preserve"> limits, not operating limits — an important distinction the code maintains. Validation reports them; it never clips or corrects.</w:t>
      </w:r>
    </w:p>
    <w:tbl>
      <w:tblPr>
        <w:tblStyle w:val="TableGrid"/>
        <w:tblW w:type="auto" w:w="0"/>
        <w:jc w:val="left"/>
        <w:tblLook w:firstColumn="1" w:firstRow="1" w:lastColumn="0" w:lastRow="0" w:noHBand="0" w:noVBand="1" w:val="04A0"/>
      </w:tblPr>
      <w:tblGrid>
        <w:gridCol w:w="3072"/>
        <w:gridCol w:w="3072"/>
        <w:gridCol w:w="3072"/>
      </w:tblGrid>
      <w:tr>
        <w:tc>
          <w:tcPr>
            <w:tcW w:type="dxa" w:w="3456"/>
            <w:shd w:val="clear" w:color="auto" w:fill="E7EDEF"/>
          </w:tcPr>
          <w:p>
            <w:pPr>
              <w:spacing w:before="60" w:after="60"/>
            </w:pPr>
            <w:r/>
            <w:r>
              <w:rPr>
                <w:rFonts w:ascii="Segoe UI" w:hAnsi="Segoe UI"/>
                <w:b/>
                <w:color w:val="101A1E"/>
                <w:sz w:val="17"/>
              </w:rPr>
              <w:t>Variable</w:t>
            </w:r>
          </w:p>
        </w:tc>
        <w:tc>
          <w:tcPr>
            <w:tcW w:type="dxa" w:w="3456"/>
            <w:shd w:val="clear" w:color="auto" w:fill="E7EDEF"/>
          </w:tcPr>
          <w:p>
            <w:pPr>
              <w:spacing w:before="60" w:after="60"/>
            </w:pPr>
            <w:r/>
            <w:r>
              <w:rPr>
                <w:rFonts w:ascii="Segoe UI" w:hAnsi="Segoe UI"/>
                <w:b/>
                <w:color w:val="101A1E"/>
                <w:sz w:val="17"/>
              </w:rPr>
              <w:t>Plausible range</w:t>
            </w:r>
          </w:p>
        </w:tc>
        <w:tc>
          <w:tcPr>
            <w:tcW w:type="dxa" w:w="2304"/>
            <w:shd w:val="clear" w:color="auto" w:fill="E7EDEF"/>
          </w:tcPr>
          <w:p>
            <w:pPr>
              <w:spacing w:before="60" w:after="60"/>
            </w:pPr>
            <w:r/>
            <w:r>
              <w:rPr>
                <w:rFonts w:ascii="Segoe UI" w:hAnsi="Segoe UI"/>
                <w:b/>
                <w:color w:val="101A1E"/>
                <w:sz w:val="17"/>
              </w:rPr>
              <w:t>Unit</w:t>
            </w:r>
          </w:p>
        </w:tc>
      </w:tr>
      <w:tr>
        <w:tc>
          <w:tcPr>
            <w:tcW w:type="dxa" w:w="3456"/>
          </w:tcPr>
          <w:p>
            <w:pPr>
              <w:spacing w:before="60" w:after="60"/>
            </w:pPr>
            <w:r/>
            <w:r>
              <w:rPr>
                <w:rFonts w:ascii="Segoe UI" w:hAnsi="Segoe UI"/>
                <w:b/>
                <w:color w:val="101A1E"/>
                <w:sz w:val="17"/>
              </w:rPr>
              <w:t>wind_speed</w:t>
            </w:r>
          </w:p>
        </w:tc>
        <w:tc>
          <w:tcPr>
            <w:tcW w:type="dxa" w:w="3456"/>
          </w:tcPr>
          <w:p>
            <w:pPr>
              <w:spacing w:before="60" w:after="60"/>
            </w:pPr>
            <w:r/>
            <w:r>
              <w:rPr>
                <w:rFonts w:ascii="Segoe UI" w:hAnsi="Segoe UI"/>
                <w:b w:val="0"/>
                <w:color w:val="3E4E55"/>
                <w:sz w:val="17"/>
              </w:rPr>
              <w:t>(0, 120)</w:t>
            </w:r>
          </w:p>
        </w:tc>
        <w:tc>
          <w:tcPr>
            <w:tcW w:type="dxa" w:w="2304"/>
          </w:tcPr>
          <w:p>
            <w:pPr>
              <w:spacing w:before="60" w:after="60"/>
            </w:pPr>
            <w:r/>
            <w:r>
              <w:rPr>
                <w:rFonts w:ascii="Segoe UI" w:hAnsi="Segoe UI"/>
                <w:b w:val="0"/>
                <w:color w:val="3E4E55"/>
                <w:sz w:val="17"/>
              </w:rPr>
              <w:t>m/s</w:t>
            </w:r>
          </w:p>
        </w:tc>
      </w:tr>
      <w:tr>
        <w:tc>
          <w:tcPr>
            <w:tcW w:type="dxa" w:w="3456"/>
          </w:tcPr>
          <w:p>
            <w:pPr>
              <w:spacing w:before="60" w:after="60"/>
            </w:pPr>
            <w:r/>
            <w:r>
              <w:rPr>
                <w:rFonts w:ascii="Segoe UI" w:hAnsi="Segoe UI"/>
                <w:b/>
                <w:color w:val="101A1E"/>
                <w:sz w:val="17"/>
              </w:rPr>
              <w:t>rotor_speed</w:t>
            </w:r>
          </w:p>
        </w:tc>
        <w:tc>
          <w:tcPr>
            <w:tcW w:type="dxa" w:w="3456"/>
          </w:tcPr>
          <w:p>
            <w:pPr>
              <w:spacing w:before="60" w:after="60"/>
            </w:pPr>
            <w:r/>
            <w:r>
              <w:rPr>
                <w:rFonts w:ascii="Segoe UI" w:hAnsi="Segoe UI"/>
                <w:b w:val="0"/>
                <w:color w:val="3E4E55"/>
                <w:sz w:val="17"/>
              </w:rPr>
              <w:t>(−1, 100)</w:t>
            </w:r>
          </w:p>
        </w:tc>
        <w:tc>
          <w:tcPr>
            <w:tcW w:type="dxa" w:w="2304"/>
          </w:tcPr>
          <w:p>
            <w:pPr>
              <w:spacing w:before="60" w:after="60"/>
            </w:pPr>
            <w:r/>
            <w:r>
              <w:rPr>
                <w:rFonts w:ascii="Segoe UI" w:hAnsi="Segoe UI"/>
                <w:b w:val="0"/>
                <w:color w:val="3E4E55"/>
                <w:sz w:val="17"/>
              </w:rPr>
              <w:t>rpm</w:t>
            </w:r>
          </w:p>
        </w:tc>
      </w:tr>
      <w:tr>
        <w:tc>
          <w:tcPr>
            <w:tcW w:type="dxa" w:w="3456"/>
          </w:tcPr>
          <w:p>
            <w:pPr>
              <w:spacing w:before="60" w:after="60"/>
            </w:pPr>
            <w:r/>
            <w:r>
              <w:rPr>
                <w:rFonts w:ascii="Segoe UI" w:hAnsi="Segoe UI"/>
                <w:b/>
                <w:color w:val="101A1E"/>
                <w:sz w:val="17"/>
              </w:rPr>
              <w:t>generator_speed</w:t>
            </w:r>
          </w:p>
        </w:tc>
        <w:tc>
          <w:tcPr>
            <w:tcW w:type="dxa" w:w="3456"/>
          </w:tcPr>
          <w:p>
            <w:pPr>
              <w:spacing w:before="60" w:after="60"/>
            </w:pPr>
            <w:r/>
            <w:r>
              <w:rPr>
                <w:rFonts w:ascii="Segoe UI" w:hAnsi="Segoe UI"/>
                <w:b w:val="0"/>
                <w:color w:val="3E4E55"/>
                <w:sz w:val="17"/>
              </w:rPr>
              <w:t>(−5, 5000)</w:t>
            </w:r>
          </w:p>
        </w:tc>
        <w:tc>
          <w:tcPr>
            <w:tcW w:type="dxa" w:w="2304"/>
          </w:tcPr>
          <w:p>
            <w:pPr>
              <w:spacing w:before="60" w:after="60"/>
            </w:pPr>
            <w:r/>
            <w:r>
              <w:rPr>
                <w:rFonts w:ascii="Segoe UI" w:hAnsi="Segoe UI"/>
                <w:b w:val="0"/>
                <w:color w:val="3E4E55"/>
                <w:sz w:val="17"/>
              </w:rPr>
              <w:t>rpm</w:t>
            </w:r>
          </w:p>
        </w:tc>
      </w:tr>
      <w:tr>
        <w:tc>
          <w:tcPr>
            <w:tcW w:type="dxa" w:w="3456"/>
          </w:tcPr>
          <w:p>
            <w:pPr>
              <w:spacing w:before="60" w:after="60"/>
            </w:pPr>
            <w:r/>
            <w:r>
              <w:rPr>
                <w:rFonts w:ascii="Segoe UI" w:hAnsi="Segoe UI"/>
                <w:b/>
                <w:color w:val="101A1E"/>
                <w:sz w:val="17"/>
              </w:rPr>
              <w:t>active_power</w:t>
            </w:r>
          </w:p>
        </w:tc>
        <w:tc>
          <w:tcPr>
            <w:tcW w:type="dxa" w:w="3456"/>
          </w:tcPr>
          <w:p>
            <w:pPr>
              <w:spacing w:before="60" w:after="60"/>
            </w:pPr>
            <w:r/>
            <w:r>
              <w:rPr>
                <w:rFonts w:ascii="Segoe UI" w:hAnsi="Segoe UI"/>
                <w:b w:val="0"/>
                <w:color w:val="3E4E55"/>
                <w:sz w:val="17"/>
              </w:rPr>
              <w:t>none declared</w:t>
            </w:r>
          </w:p>
        </w:tc>
        <w:tc>
          <w:tcPr>
            <w:tcW w:type="dxa" w:w="2304"/>
          </w:tcPr>
          <w:p>
            <w:pPr>
              <w:spacing w:before="60" w:after="60"/>
            </w:pPr>
            <w:r/>
            <w:r>
              <w:rPr>
                <w:rFonts w:ascii="Segoe UI" w:hAnsi="Segoe UI"/>
                <w:b w:val="0"/>
                <w:color w:val="3E4E55"/>
                <w:sz w:val="17"/>
              </w:rPr>
              <w:t>kW</w:t>
            </w:r>
          </w:p>
        </w:tc>
      </w:tr>
      <w:tr>
        <w:tc>
          <w:tcPr>
            <w:tcW w:type="dxa" w:w="3456"/>
          </w:tcPr>
          <w:p>
            <w:pPr>
              <w:spacing w:before="60" w:after="60"/>
            </w:pPr>
            <w:r/>
            <w:r>
              <w:rPr>
                <w:rFonts w:ascii="Segoe UI" w:hAnsi="Segoe UI"/>
                <w:b/>
                <w:color w:val="101A1E"/>
                <w:sz w:val="17"/>
              </w:rPr>
              <w:t>pitch_angle</w:t>
            </w:r>
          </w:p>
        </w:tc>
        <w:tc>
          <w:tcPr>
            <w:tcW w:type="dxa" w:w="3456"/>
          </w:tcPr>
          <w:p>
            <w:pPr>
              <w:spacing w:before="60" w:after="60"/>
            </w:pPr>
            <w:r/>
            <w:r>
              <w:rPr>
                <w:rFonts w:ascii="Segoe UI" w:hAnsi="Segoe UI"/>
                <w:b w:val="0"/>
                <w:color w:val="3E4E55"/>
                <w:sz w:val="17"/>
              </w:rPr>
              <w:t>(−360, 360)</w:t>
            </w:r>
          </w:p>
        </w:tc>
        <w:tc>
          <w:tcPr>
            <w:tcW w:type="dxa" w:w="2304"/>
          </w:tcPr>
          <w:p>
            <w:pPr>
              <w:spacing w:before="60" w:after="60"/>
            </w:pPr>
            <w:r/>
            <w:r>
              <w:rPr>
                <w:rFonts w:ascii="Segoe UI" w:hAnsi="Segoe UI"/>
                <w:b w:val="0"/>
                <w:color w:val="3E4E55"/>
                <w:sz w:val="17"/>
              </w:rPr>
              <w:t>deg</w:t>
            </w:r>
          </w:p>
        </w:tc>
      </w:tr>
      <w:tr>
        <w:tc>
          <w:tcPr>
            <w:tcW w:type="dxa" w:w="3456"/>
          </w:tcPr>
          <w:p>
            <w:pPr>
              <w:spacing w:before="60" w:after="60"/>
            </w:pPr>
            <w:r/>
            <w:r>
              <w:rPr>
                <w:rFonts w:ascii="Segoe UI" w:hAnsi="Segoe UI"/>
                <w:b/>
                <w:color w:val="101A1E"/>
                <w:sz w:val="17"/>
              </w:rPr>
              <w:t>ambient_temperature</w:t>
            </w:r>
          </w:p>
        </w:tc>
        <w:tc>
          <w:tcPr>
            <w:tcW w:type="dxa" w:w="3456"/>
          </w:tcPr>
          <w:p>
            <w:pPr>
              <w:spacing w:before="60" w:after="60"/>
            </w:pPr>
            <w:r/>
            <w:r>
              <w:rPr>
                <w:rFonts w:ascii="Segoe UI" w:hAnsi="Segoe UI"/>
                <w:b w:val="0"/>
                <w:color w:val="3E4E55"/>
                <w:sz w:val="17"/>
              </w:rPr>
              <w:t>(−90, 70)</w:t>
            </w:r>
          </w:p>
        </w:tc>
        <w:tc>
          <w:tcPr>
            <w:tcW w:type="dxa" w:w="2304"/>
          </w:tcPr>
          <w:p>
            <w:pPr>
              <w:spacing w:before="60" w:after="60"/>
            </w:pPr>
            <w:r/>
            <w:r>
              <w:rPr>
                <w:rFonts w:ascii="Segoe UI" w:hAnsi="Segoe UI"/>
                <w:b w:val="0"/>
                <w:color w:val="3E4E55"/>
                <w:sz w:val="17"/>
              </w:rPr>
              <w:t>°C</w:t>
            </w:r>
          </w:p>
        </w:tc>
      </w:tr>
      <w:tr>
        <w:tc>
          <w:tcPr>
            <w:tcW w:type="dxa" w:w="3456"/>
          </w:tcPr>
          <w:p>
            <w:pPr>
              <w:spacing w:before="60" w:after="60"/>
            </w:pPr>
            <w:r/>
            <w:r>
              <w:rPr>
                <w:rFonts w:ascii="Segoe UI" w:hAnsi="Segoe UI"/>
                <w:b/>
                <w:color w:val="101A1E"/>
                <w:sz w:val="17"/>
              </w:rPr>
              <w:t>nacelle_temperature</w:t>
            </w:r>
          </w:p>
        </w:tc>
        <w:tc>
          <w:tcPr>
            <w:tcW w:type="dxa" w:w="3456"/>
          </w:tcPr>
          <w:p>
            <w:pPr>
              <w:spacing w:before="60" w:after="60"/>
            </w:pPr>
            <w:r/>
            <w:r>
              <w:rPr>
                <w:rFonts w:ascii="Segoe UI" w:hAnsi="Segoe UI"/>
                <w:b w:val="0"/>
                <w:color w:val="3E4E55"/>
                <w:sz w:val="17"/>
              </w:rPr>
              <w:t>(−90, 120)</w:t>
            </w:r>
          </w:p>
        </w:tc>
        <w:tc>
          <w:tcPr>
            <w:tcW w:type="dxa" w:w="2304"/>
          </w:tcPr>
          <w:p>
            <w:pPr>
              <w:spacing w:before="60" w:after="60"/>
            </w:pPr>
            <w:r/>
            <w:r>
              <w:rPr>
                <w:rFonts w:ascii="Segoe UI" w:hAnsi="Segoe UI"/>
                <w:b w:val="0"/>
                <w:color w:val="3E4E55"/>
                <w:sz w:val="17"/>
              </w:rPr>
              <w:t>°C</w:t>
            </w:r>
          </w:p>
        </w:tc>
      </w:tr>
      <w:tr>
        <w:tc>
          <w:tcPr>
            <w:tcW w:type="dxa" w:w="3456"/>
          </w:tcPr>
          <w:p>
            <w:pPr>
              <w:spacing w:before="60" w:after="60"/>
            </w:pPr>
            <w:r/>
            <w:r>
              <w:rPr>
                <w:rFonts w:ascii="Segoe UI" w:hAnsi="Segoe UI"/>
                <w:b/>
                <w:color w:val="101A1E"/>
                <w:sz w:val="17"/>
              </w:rPr>
              <w:t>gearbox_oil_temperature</w:t>
            </w:r>
          </w:p>
        </w:tc>
        <w:tc>
          <w:tcPr>
            <w:tcW w:type="dxa" w:w="3456"/>
          </w:tcPr>
          <w:p>
            <w:pPr>
              <w:spacing w:before="60" w:after="60"/>
            </w:pPr>
            <w:r/>
            <w:r>
              <w:rPr>
                <w:rFonts w:ascii="Segoe UI" w:hAnsi="Segoe UI"/>
                <w:b w:val="0"/>
                <w:color w:val="3E4E55"/>
                <w:sz w:val="17"/>
              </w:rPr>
              <w:t>(−90, 200)</w:t>
            </w:r>
          </w:p>
        </w:tc>
        <w:tc>
          <w:tcPr>
            <w:tcW w:type="dxa" w:w="2304"/>
          </w:tcPr>
          <w:p>
            <w:pPr>
              <w:spacing w:before="60" w:after="60"/>
            </w:pPr>
            <w:r/>
            <w:r>
              <w:rPr>
                <w:rFonts w:ascii="Segoe UI" w:hAnsi="Segoe UI"/>
                <w:b w:val="0"/>
                <w:color w:val="3E4E55"/>
                <w:sz w:val="17"/>
              </w:rPr>
              <w:t>°C</w:t>
            </w:r>
          </w:p>
        </w:tc>
      </w:tr>
      <w:tr>
        <w:tc>
          <w:tcPr>
            <w:tcW w:type="dxa" w:w="3456"/>
          </w:tcPr>
          <w:p>
            <w:pPr>
              <w:spacing w:before="60" w:after="60"/>
            </w:pPr>
            <w:r/>
            <w:r>
              <w:rPr>
                <w:rFonts w:ascii="Segoe UI" w:hAnsi="Segoe UI"/>
                <w:b/>
                <w:color w:val="101A1E"/>
                <w:sz w:val="17"/>
              </w:rPr>
              <w:t>gearbox_bearing_temperature</w:t>
            </w:r>
          </w:p>
        </w:tc>
        <w:tc>
          <w:tcPr>
            <w:tcW w:type="dxa" w:w="3456"/>
          </w:tcPr>
          <w:p>
            <w:pPr>
              <w:spacing w:before="60" w:after="60"/>
            </w:pPr>
            <w:r/>
            <w:r>
              <w:rPr>
                <w:rFonts w:ascii="Segoe UI" w:hAnsi="Segoe UI"/>
                <w:b w:val="0"/>
                <w:color w:val="3E4E55"/>
                <w:sz w:val="17"/>
              </w:rPr>
              <w:t>(−90, 250)</w:t>
            </w:r>
          </w:p>
        </w:tc>
        <w:tc>
          <w:tcPr>
            <w:tcW w:type="dxa" w:w="2304"/>
          </w:tcPr>
          <w:p>
            <w:pPr>
              <w:spacing w:before="60" w:after="60"/>
            </w:pPr>
            <w:r/>
            <w:r>
              <w:rPr>
                <w:rFonts w:ascii="Segoe UI" w:hAnsi="Segoe UI"/>
                <w:b w:val="0"/>
                <w:color w:val="3E4E55"/>
                <w:sz w:val="17"/>
              </w:rPr>
              <w:t>°C</w:t>
            </w:r>
          </w:p>
        </w:tc>
      </w:tr>
    </w:tbl>
    <w:p>
      <w:pPr>
        <w:spacing w:after="40"/>
      </w:pPr>
    </w:p>
    <w:p>
      <w:pPr>
        <w:pStyle w:val="H1x"/>
      </w:pPr>
      <w:r>
        <w:rPr>
          <w:b w:val="0"/>
          <w:i w:val="0"/>
        </w:rPr>
        <w:t>A.3  Cleaning operations and audit trail</w:t>
      </w:r>
    </w:p>
    <w:p>
      <w:r>
        <w:t xml:space="preserve">Data can only be altered through a registry of named operations in </w:t>
      </w:r>
      <w:r>
        <w:rPr>
          <w:rFonts w:ascii="Consolas" w:hAnsi="Consolas"/>
          <w:color w:val="3E4E55"/>
          <w:sz w:val="18"/>
        </w:rPr>
        <w:t>app/data/cleaning.py</w:t>
      </w:r>
      <w:r>
        <w:t xml:space="preserve">. Each records rule, reason, and before/after row counts, and the audit exposes an </w:t>
      </w:r>
      <w:r>
        <w:rPr>
          <w:rFonts w:ascii="Consolas" w:hAnsi="Consolas"/>
          <w:color w:val="3E4E55"/>
          <w:sz w:val="18"/>
        </w:rPr>
        <w:t>arithmetic_holds()</w:t>
      </w:r>
      <w:r>
        <w:t xml:space="preserve"> check asserting that before − removed = after per operation and that consecutive operations chain consistently. There is no path that removes rows without an audit entry.</w:t>
      </w:r>
    </w:p>
    <w:tbl>
      <w:tblPr>
        <w:tblStyle w:val="TableGrid"/>
        <w:tblW w:type="auto" w:w="0"/>
        <w:jc w:val="left"/>
        <w:tblLook w:firstColumn="1" w:firstRow="1" w:lastColumn="0" w:lastRow="0" w:noHBand="0" w:noVBand="1" w:val="04A0"/>
      </w:tblPr>
      <w:tblGrid>
        <w:gridCol w:w="3072"/>
        <w:gridCol w:w="3072"/>
        <w:gridCol w:w="3072"/>
      </w:tblGrid>
      <w:tr>
        <w:tc>
          <w:tcPr>
            <w:tcW w:type="dxa" w:w="3384"/>
            <w:shd w:val="clear" w:color="auto" w:fill="E7EDEF"/>
          </w:tcPr>
          <w:p>
            <w:pPr>
              <w:spacing w:before="60" w:after="60"/>
            </w:pPr>
            <w:r/>
            <w:r>
              <w:rPr>
                <w:rFonts w:ascii="Segoe UI" w:hAnsi="Segoe UI"/>
                <w:b/>
                <w:color w:val="101A1E"/>
                <w:sz w:val="17"/>
              </w:rPr>
              <w:t>Operation</w:t>
            </w:r>
          </w:p>
        </w:tc>
        <w:tc>
          <w:tcPr>
            <w:tcW w:type="dxa" w:w="4824"/>
            <w:shd w:val="clear" w:color="auto" w:fill="E7EDEF"/>
          </w:tcPr>
          <w:p>
            <w:pPr>
              <w:spacing w:before="60" w:after="60"/>
            </w:pPr>
            <w:r/>
            <w:r>
              <w:rPr>
                <w:rFonts w:ascii="Segoe UI" w:hAnsi="Segoe UI"/>
                <w:b/>
                <w:color w:val="101A1E"/>
                <w:sz w:val="17"/>
              </w:rPr>
              <w:t>Effect</w:t>
            </w:r>
          </w:p>
        </w:tc>
        <w:tc>
          <w:tcPr>
            <w:tcW w:type="dxa" w:w="1296"/>
            <w:shd w:val="clear" w:color="auto" w:fill="E7EDEF"/>
          </w:tcPr>
          <w:p>
            <w:pPr>
              <w:spacing w:before="60" w:after="60"/>
            </w:pPr>
            <w:r/>
            <w:r>
              <w:rPr>
                <w:rFonts w:ascii="Segoe UI" w:hAnsi="Segoe UI"/>
                <w:b/>
                <w:color w:val="101A1E"/>
                <w:sz w:val="17"/>
              </w:rPr>
              <w:t>Used in headline run</w:t>
            </w:r>
          </w:p>
        </w:tc>
      </w:tr>
      <w:tr>
        <w:tc>
          <w:tcPr>
            <w:tcW w:type="dxa" w:w="3384"/>
          </w:tcPr>
          <w:p>
            <w:pPr>
              <w:spacing w:before="60" w:after="60"/>
            </w:pPr>
            <w:r/>
            <w:r>
              <w:rPr>
                <w:rFonts w:ascii="Segoe UI" w:hAnsi="Segoe UI"/>
                <w:b/>
                <w:color w:val="101A1E"/>
                <w:sz w:val="17"/>
              </w:rPr>
              <w:t>drop_unparseable_timestamps</w:t>
            </w:r>
          </w:p>
        </w:tc>
        <w:tc>
          <w:tcPr>
            <w:tcW w:type="dxa" w:w="4824"/>
          </w:tcPr>
          <w:p>
            <w:pPr>
              <w:spacing w:before="60" w:after="60"/>
            </w:pPr>
            <w:r/>
            <w:r>
              <w:rPr>
                <w:rFonts w:ascii="Segoe UI" w:hAnsi="Segoe UI"/>
                <w:b w:val="0"/>
                <w:color w:val="3E4E55"/>
                <w:sz w:val="17"/>
              </w:rPr>
              <w:t>Removes rows whose timestamp could not be parsed</w:t>
            </w:r>
          </w:p>
        </w:tc>
        <w:tc>
          <w:tcPr>
            <w:tcW w:type="dxa" w:w="1296"/>
          </w:tcPr>
          <w:p>
            <w:pPr>
              <w:spacing w:before="60" w:after="60"/>
            </w:pPr>
            <w:r/>
            <w:r>
              <w:rPr>
                <w:rFonts w:ascii="Segoe UI" w:hAnsi="Segoe UI"/>
                <w:b w:val="0"/>
                <w:color w:val="3E4E55"/>
                <w:sz w:val="17"/>
              </w:rPr>
              <w:t>Yes (1st)</w:t>
            </w:r>
          </w:p>
        </w:tc>
      </w:tr>
      <w:tr>
        <w:tc>
          <w:tcPr>
            <w:tcW w:type="dxa" w:w="3384"/>
          </w:tcPr>
          <w:p>
            <w:pPr>
              <w:spacing w:before="60" w:after="60"/>
            </w:pPr>
            <w:r/>
            <w:r>
              <w:rPr>
                <w:rFonts w:ascii="Segoe UI" w:hAnsi="Segoe UI"/>
                <w:b/>
                <w:color w:val="101A1E"/>
                <w:sz w:val="17"/>
              </w:rPr>
              <w:t>drop_missing_all_targets</w:t>
            </w:r>
          </w:p>
        </w:tc>
        <w:tc>
          <w:tcPr>
            <w:tcW w:type="dxa" w:w="4824"/>
          </w:tcPr>
          <w:p>
            <w:pPr>
              <w:spacing w:before="60" w:after="60"/>
            </w:pPr>
            <w:r/>
            <w:r>
              <w:rPr>
                <w:rFonts w:ascii="Segoe UI" w:hAnsi="Segoe UI"/>
                <w:b w:val="0"/>
                <w:color w:val="3E4E55"/>
                <w:sz w:val="17"/>
              </w:rPr>
              <w:t>Removes rows with no thermal target at all</w:t>
            </w:r>
          </w:p>
        </w:tc>
        <w:tc>
          <w:tcPr>
            <w:tcW w:type="dxa" w:w="1296"/>
          </w:tcPr>
          <w:p>
            <w:pPr>
              <w:spacing w:before="60" w:after="60"/>
            </w:pPr>
            <w:r/>
            <w:r>
              <w:rPr>
                <w:rFonts w:ascii="Segoe UI" w:hAnsi="Segoe UI"/>
                <w:b w:val="0"/>
                <w:color w:val="3E4E55"/>
                <w:sz w:val="17"/>
              </w:rPr>
              <w:t>No</w:t>
            </w:r>
          </w:p>
        </w:tc>
      </w:tr>
      <w:tr>
        <w:tc>
          <w:tcPr>
            <w:tcW w:type="dxa" w:w="3384"/>
          </w:tcPr>
          <w:p>
            <w:pPr>
              <w:spacing w:before="60" w:after="60"/>
            </w:pPr>
            <w:r/>
            <w:r>
              <w:rPr>
                <w:rFonts w:ascii="Segoe UI" w:hAnsi="Segoe UI"/>
                <w:b/>
                <w:color w:val="101A1E"/>
                <w:sz w:val="17"/>
              </w:rPr>
              <w:t>drop_missing_any_target</w:t>
            </w:r>
          </w:p>
        </w:tc>
        <w:tc>
          <w:tcPr>
            <w:tcW w:type="dxa" w:w="4824"/>
          </w:tcPr>
          <w:p>
            <w:pPr>
              <w:spacing w:before="60" w:after="60"/>
            </w:pPr>
            <w:r/>
            <w:r>
              <w:rPr>
                <w:rFonts w:ascii="Segoe UI" w:hAnsi="Segoe UI"/>
                <w:b w:val="0"/>
                <w:color w:val="3E4E55"/>
                <w:sz w:val="17"/>
              </w:rPr>
              <w:t>Removes rows missing either thermal target (multi-target fitting requires both)</w:t>
            </w:r>
          </w:p>
        </w:tc>
        <w:tc>
          <w:tcPr>
            <w:tcW w:type="dxa" w:w="1296"/>
          </w:tcPr>
          <w:p>
            <w:pPr>
              <w:spacing w:before="60" w:after="60"/>
            </w:pPr>
            <w:r/>
            <w:r>
              <w:rPr>
                <w:rFonts w:ascii="Segoe UI" w:hAnsi="Segoe UI"/>
                <w:b w:val="0"/>
                <w:color w:val="3E4E55"/>
                <w:sz w:val="17"/>
              </w:rPr>
              <w:t>Yes (2nd)</w:t>
            </w:r>
          </w:p>
        </w:tc>
      </w:tr>
      <w:tr>
        <w:tc>
          <w:tcPr>
            <w:tcW w:type="dxa" w:w="3384"/>
          </w:tcPr>
          <w:p>
            <w:pPr>
              <w:spacing w:before="60" w:after="60"/>
            </w:pPr>
            <w:r/>
            <w:r>
              <w:rPr>
                <w:rFonts w:ascii="Segoe UI" w:hAnsi="Segoe UI"/>
                <w:b/>
                <w:color w:val="101A1E"/>
                <w:sz w:val="17"/>
              </w:rPr>
              <w:t>nullify_impossible_predictor_values</w:t>
            </w:r>
          </w:p>
        </w:tc>
        <w:tc>
          <w:tcPr>
            <w:tcW w:type="dxa" w:w="4824"/>
          </w:tcPr>
          <w:p>
            <w:pPr>
              <w:spacing w:before="60" w:after="60"/>
            </w:pPr>
            <w:r/>
            <w:r>
              <w:rPr>
                <w:rFonts w:ascii="Segoe UI" w:hAnsi="Segoe UI"/>
                <w:b w:val="0"/>
                <w:color w:val="3E4E55"/>
                <w:sz w:val="17"/>
              </w:rPr>
              <w:t>Sets out-of-range predictor values to missing (ADR-020)</w:t>
            </w:r>
          </w:p>
        </w:tc>
        <w:tc>
          <w:tcPr>
            <w:tcW w:type="dxa" w:w="1296"/>
          </w:tcPr>
          <w:p>
            <w:pPr>
              <w:spacing w:before="60" w:after="60"/>
            </w:pPr>
            <w:r/>
            <w:r>
              <w:rPr>
                <w:rFonts w:ascii="Segoe UI" w:hAnsi="Segoe UI"/>
                <w:b w:val="0"/>
                <w:color w:val="3E4E55"/>
                <w:sz w:val="17"/>
              </w:rPr>
              <w:t>Yes (3rd)</w:t>
            </w:r>
          </w:p>
        </w:tc>
      </w:tr>
      <w:tr>
        <w:tc>
          <w:tcPr>
            <w:tcW w:type="dxa" w:w="3384"/>
          </w:tcPr>
          <w:p>
            <w:pPr>
              <w:spacing w:before="60" w:after="60"/>
            </w:pPr>
            <w:r/>
            <w:r>
              <w:rPr>
                <w:rFonts w:ascii="Segoe UI" w:hAnsi="Segoe UI"/>
                <w:b/>
                <w:color w:val="101A1E"/>
                <w:sz w:val="17"/>
              </w:rPr>
              <w:t>drop_missing_any_predictor</w:t>
            </w:r>
          </w:p>
        </w:tc>
        <w:tc>
          <w:tcPr>
            <w:tcW w:type="dxa" w:w="4824"/>
          </w:tcPr>
          <w:p>
            <w:pPr>
              <w:spacing w:before="60" w:after="60"/>
            </w:pPr>
            <w:r/>
            <w:r>
              <w:rPr>
                <w:rFonts w:ascii="Segoe UI" w:hAnsi="Segoe UI"/>
                <w:b w:val="0"/>
                <w:color w:val="3E4E55"/>
                <w:sz w:val="17"/>
              </w:rPr>
              <w:t>Removes rows missing any predictor — the model cannot score them</w:t>
            </w:r>
          </w:p>
        </w:tc>
        <w:tc>
          <w:tcPr>
            <w:tcW w:type="dxa" w:w="1296"/>
          </w:tcPr>
          <w:p>
            <w:pPr>
              <w:spacing w:before="60" w:after="60"/>
            </w:pPr>
            <w:r/>
            <w:r>
              <w:rPr>
                <w:rFonts w:ascii="Segoe UI" w:hAnsi="Segoe UI"/>
                <w:b w:val="0"/>
                <w:color w:val="3E4E55"/>
                <w:sz w:val="17"/>
              </w:rPr>
              <w:t>Yes (4th)</w:t>
            </w:r>
          </w:p>
        </w:tc>
      </w:tr>
    </w:tbl>
    <w:p>
      <w:pPr>
        <w:spacing w:after="40"/>
      </w:pPr>
    </w:p>
    <w:p>
      <w:pPr>
        <w:pStyle w:val="Label"/>
      </w:pPr>
      <w:r>
        <w:rPr>
          <w:b w:val="0"/>
          <w:i w:val="0"/>
        </w:rPr>
        <w:t>The impossible-value policy</w:t>
      </w:r>
    </w:p>
    <w:p>
      <w:r>
        <w:t xml:space="preserve">Before ADR-020 no policy acted on out-of-range values: findings were reported and all flagged rows entered the modelling data. The measured consequence in the first real run was that 1,462 monitoring rows were scored with generator-speed readings the schema declares physically impossible, so residuals and detection states at those timestamps were computed from impossible inputs. The current policy nullifies then drops, in every partition. The cleaning layer </w:t>
      </w:r>
      <w:r>
        <w:rPr>
          <w:b/>
        </w:rPr>
        <w:t>refuses the nullify operation unless the drop rule follows it</w:t>
      </w:r>
      <w:r>
        <w:t xml:space="preserve"> — a genuinely good piece of defensive design, since the policy cannot silently half-apply.</w:t>
      </w:r>
    </w:p>
    <w:p>
      <w:r>
        <w:t xml:space="preserve">The schema bound itself was also corrected: </w:t>
      </w:r>
      <w:r>
        <w:rPr>
          <w:rFonts w:ascii="Consolas" w:hAnsi="Consolas"/>
          <w:color w:val="3E4E55"/>
          <w:sz w:val="18"/>
        </w:rPr>
        <w:t>generator_speed</w:t>
      </w:r>
      <w:r>
        <w:t xml:space="preserve"> was widened from (−1, 5000) to (−5, 5000) because standstill sensor jitter around zero — 2,621 rows, overwhelmingly in (−2, −1], across all six machines and all six years — is routine rather than impossible. Deeper negatives (605 rows, including 269 identical −576.6 rpm readings over a 39.7-hour run with the rotor stationary) remain out of range and are dropped.</w:t>
      </w:r>
    </w:p>
    <w:p>
      <w:pPr>
        <w:pStyle w:val="H1x"/>
      </w:pPr>
      <w:r>
        <w:rPr>
          <w:b w:val="0"/>
          <w:i w:val="0"/>
        </w:rPr>
        <w:t>A.4  Healthy-state construction — the training population</w:t>
      </w:r>
    </w:p>
    <w:p>
      <w:r>
        <w:t xml:space="preserve">This is the most consequential data-processing stage for model quality. </w:t>
      </w:r>
      <w:r>
        <w:rPr>
          <w:rFonts w:ascii="Consolas" w:hAnsi="Consolas"/>
          <w:color w:val="3E4E55"/>
          <w:sz w:val="18"/>
        </w:rPr>
        <w:t>HealthyStateBuilder</w:t>
      </w:r>
      <w:r>
        <w:t xml:space="preserve"> constructs the population the NBM learns "normal" from, by exclusion. Exclusion reasons are attributed </w:t>
      </w:r>
      <w:r>
        <w:rPr>
          <w:b/>
        </w:rPr>
        <w:t>disjointly</w:t>
      </w:r>
      <w:r>
        <w:t xml:space="preserve"> by a documented priority order, so a row excluded for several reasons counts once and the accounting identity accepted + excluded = total holds exactly.</w:t>
      </w:r>
    </w:p>
    <w:tbl>
      <w:tblPr>
        <w:tblStyle w:val="TableGrid"/>
        <w:tblW w:type="auto" w:w="0"/>
        <w:jc w:val="left"/>
        <w:tblLook w:firstColumn="1" w:firstRow="1" w:lastColumn="0" w:lastRow="0" w:noHBand="0" w:noVBand="1" w:val="04A0"/>
      </w:tblPr>
      <w:tblGrid>
        <w:gridCol w:w="3072"/>
        <w:gridCol w:w="3072"/>
        <w:gridCol w:w="3072"/>
      </w:tblGrid>
      <w:tr>
        <w:tc>
          <w:tcPr>
            <w:tcW w:type="dxa" w:w="1080"/>
            <w:shd w:val="clear" w:color="auto" w:fill="E7EDEF"/>
          </w:tcPr>
          <w:p>
            <w:pPr>
              <w:spacing w:before="60" w:after="60"/>
            </w:pPr>
            <w:r/>
            <w:r>
              <w:rPr>
                <w:rFonts w:ascii="Segoe UI" w:hAnsi="Segoe UI"/>
                <w:b/>
                <w:color w:val="101A1E"/>
                <w:sz w:val="17"/>
              </w:rPr>
              <w:t>Priority</w:t>
            </w:r>
          </w:p>
        </w:tc>
        <w:tc>
          <w:tcPr>
            <w:tcW w:type="dxa" w:w="3744"/>
            <w:shd w:val="clear" w:color="auto" w:fill="E7EDEF"/>
          </w:tcPr>
          <w:p>
            <w:pPr>
              <w:spacing w:before="60" w:after="60"/>
            </w:pPr>
            <w:r/>
            <w:r>
              <w:rPr>
                <w:rFonts w:ascii="Segoe UI" w:hAnsi="Segoe UI"/>
                <w:b/>
                <w:color w:val="101A1E"/>
                <w:sz w:val="17"/>
              </w:rPr>
              <w:t>Exclusion reason</w:t>
            </w:r>
          </w:p>
        </w:tc>
        <w:tc>
          <w:tcPr>
            <w:tcW w:type="dxa" w:w="4680"/>
            <w:shd w:val="clear" w:color="auto" w:fill="E7EDEF"/>
          </w:tcPr>
          <w:p>
            <w:pPr>
              <w:spacing w:before="60" w:after="60"/>
            </w:pPr>
            <w:r/>
            <w:r>
              <w:rPr>
                <w:rFonts w:ascii="Segoe UI" w:hAnsi="Segoe UI"/>
                <w:b/>
                <w:color w:val="101A1E"/>
                <w:sz w:val="17"/>
              </w:rPr>
              <w:t>Source</w:t>
            </w:r>
          </w:p>
        </w:tc>
      </w:tr>
      <w:tr>
        <w:tc>
          <w:tcPr>
            <w:tcW w:type="dxa" w:w="1080"/>
          </w:tcPr>
          <w:p>
            <w:pPr>
              <w:spacing w:before="60" w:after="60"/>
            </w:pPr>
            <w:r/>
            <w:r>
              <w:rPr>
                <w:rFonts w:ascii="Segoe UI" w:hAnsi="Segoe UI"/>
                <w:b/>
                <w:color w:val="101A1E"/>
                <w:sz w:val="17"/>
              </w:rPr>
              <w:t>1</w:t>
            </w:r>
          </w:p>
        </w:tc>
        <w:tc>
          <w:tcPr>
            <w:tcW w:type="dxa" w:w="3744"/>
          </w:tcPr>
          <w:p>
            <w:pPr>
              <w:spacing w:before="60" w:after="60"/>
            </w:pPr>
            <w:r/>
            <w:r>
              <w:rPr>
                <w:rFonts w:ascii="Segoe UI" w:hAnsi="Segoe UI"/>
                <w:b w:val="0"/>
                <w:color w:val="3E4E55"/>
                <w:sz w:val="17"/>
              </w:rPr>
              <w:t>known_fault_period</w:t>
            </w:r>
          </w:p>
        </w:tc>
        <w:tc>
          <w:tcPr>
            <w:tcW w:type="dxa" w:w="4680"/>
          </w:tcPr>
          <w:p>
            <w:pPr>
              <w:spacing w:before="60" w:after="60"/>
            </w:pPr>
            <w:r/>
            <w:r>
              <w:rPr>
                <w:rFonts w:ascii="Segoe UI" w:hAnsi="Segoe UI"/>
                <w:b w:val="0"/>
                <w:color w:val="3E4E55"/>
                <w:sz w:val="17"/>
              </w:rPr>
              <w:t>Supplied fault windows</w:t>
            </w:r>
          </w:p>
        </w:tc>
      </w:tr>
      <w:tr>
        <w:tc>
          <w:tcPr>
            <w:tcW w:type="dxa" w:w="1080"/>
          </w:tcPr>
          <w:p>
            <w:pPr>
              <w:spacing w:before="60" w:after="60"/>
            </w:pPr>
            <w:r/>
            <w:r>
              <w:rPr>
                <w:rFonts w:ascii="Segoe UI" w:hAnsi="Segoe UI"/>
                <w:b/>
                <w:color w:val="101A1E"/>
                <w:sz w:val="17"/>
              </w:rPr>
              <w:t>2</w:t>
            </w:r>
          </w:p>
        </w:tc>
        <w:tc>
          <w:tcPr>
            <w:tcW w:type="dxa" w:w="3744"/>
          </w:tcPr>
          <w:p>
            <w:pPr>
              <w:spacing w:before="60" w:after="60"/>
            </w:pPr>
            <w:r/>
            <w:r>
              <w:rPr>
                <w:rFonts w:ascii="Segoe UI" w:hAnsi="Segoe UI"/>
                <w:b w:val="0"/>
                <w:color w:val="3E4E55"/>
                <w:sz w:val="17"/>
              </w:rPr>
              <w:t>pre_fault_window</w:t>
            </w:r>
          </w:p>
        </w:tc>
        <w:tc>
          <w:tcPr>
            <w:tcW w:type="dxa" w:w="4680"/>
          </w:tcPr>
          <w:p>
            <w:pPr>
              <w:spacing w:before="60" w:after="60"/>
            </w:pPr>
            <w:r/>
            <w:r>
              <w:rPr>
                <w:rFonts w:ascii="Segoe UI" w:hAnsi="Segoe UI"/>
                <w:b w:val="0"/>
                <w:color w:val="3E4E55"/>
                <w:sz w:val="17"/>
              </w:rPr>
              <w:t>Derived: fault start − fault_pre_exclusion_days</w:t>
            </w:r>
          </w:p>
        </w:tc>
      </w:tr>
      <w:tr>
        <w:tc>
          <w:tcPr>
            <w:tcW w:type="dxa" w:w="1080"/>
          </w:tcPr>
          <w:p>
            <w:pPr>
              <w:spacing w:before="60" w:after="60"/>
            </w:pPr>
            <w:r/>
            <w:r>
              <w:rPr>
                <w:rFonts w:ascii="Segoe UI" w:hAnsi="Segoe UI"/>
                <w:b/>
                <w:color w:val="101A1E"/>
                <w:sz w:val="17"/>
              </w:rPr>
              <w:t>3</w:t>
            </w:r>
          </w:p>
        </w:tc>
        <w:tc>
          <w:tcPr>
            <w:tcW w:type="dxa" w:w="3744"/>
          </w:tcPr>
          <w:p>
            <w:pPr>
              <w:spacing w:before="60" w:after="60"/>
            </w:pPr>
            <w:r/>
            <w:r>
              <w:rPr>
                <w:rFonts w:ascii="Segoe UI" w:hAnsi="Segoe UI"/>
                <w:b w:val="0"/>
                <w:color w:val="3E4E55"/>
                <w:sz w:val="17"/>
              </w:rPr>
              <w:t>post_maintenance_window</w:t>
            </w:r>
          </w:p>
        </w:tc>
        <w:tc>
          <w:tcPr>
            <w:tcW w:type="dxa" w:w="4680"/>
          </w:tcPr>
          <w:p>
            <w:pPr>
              <w:spacing w:before="60" w:after="60"/>
            </w:pPr>
            <w:r/>
            <w:r>
              <w:rPr>
                <w:rFonts w:ascii="Segoe UI" w:hAnsi="Segoe UI"/>
                <w:b w:val="0"/>
                <w:color w:val="3E4E55"/>
                <w:sz w:val="17"/>
              </w:rPr>
              <w:t>Derived: maintenance end + maintenance_post_exclusion_days</w:t>
            </w:r>
          </w:p>
        </w:tc>
      </w:tr>
      <w:tr>
        <w:tc>
          <w:tcPr>
            <w:tcW w:type="dxa" w:w="1080"/>
          </w:tcPr>
          <w:p>
            <w:pPr>
              <w:spacing w:before="60" w:after="60"/>
            </w:pPr>
            <w:r/>
            <w:r>
              <w:rPr>
                <w:rFonts w:ascii="Segoe UI" w:hAnsi="Segoe UI"/>
                <w:b/>
                <w:color w:val="101A1E"/>
                <w:sz w:val="17"/>
              </w:rPr>
              <w:t>4</w:t>
            </w:r>
          </w:p>
        </w:tc>
        <w:tc>
          <w:tcPr>
            <w:tcW w:type="dxa" w:w="3744"/>
          </w:tcPr>
          <w:p>
            <w:pPr>
              <w:spacing w:before="60" w:after="60"/>
            </w:pPr>
            <w:r/>
            <w:r>
              <w:rPr>
                <w:rFonts w:ascii="Segoe UI" w:hAnsi="Segoe UI"/>
                <w:b w:val="0"/>
                <w:color w:val="3E4E55"/>
                <w:sz w:val="17"/>
              </w:rPr>
              <w:t>maintenance_period</w:t>
            </w:r>
          </w:p>
        </w:tc>
        <w:tc>
          <w:tcPr>
            <w:tcW w:type="dxa" w:w="4680"/>
          </w:tcPr>
          <w:p>
            <w:pPr>
              <w:spacing w:before="60" w:after="60"/>
            </w:pPr>
            <w:r/>
            <w:r>
              <w:rPr>
                <w:rFonts w:ascii="Segoe UI" w:hAnsi="Segoe UI"/>
                <w:b w:val="0"/>
                <w:color w:val="3E4E55"/>
                <w:sz w:val="17"/>
              </w:rPr>
              <w:t>Supplied maintenance windows</w:t>
            </w:r>
          </w:p>
        </w:tc>
      </w:tr>
      <w:tr>
        <w:tc>
          <w:tcPr>
            <w:tcW w:type="dxa" w:w="1080"/>
          </w:tcPr>
          <w:p>
            <w:pPr>
              <w:spacing w:before="60" w:after="60"/>
            </w:pPr>
            <w:r/>
            <w:r>
              <w:rPr>
                <w:rFonts w:ascii="Segoe UI" w:hAnsi="Segoe UI"/>
                <w:b/>
                <w:color w:val="101A1E"/>
                <w:sz w:val="17"/>
              </w:rPr>
              <w:t>5</w:t>
            </w:r>
          </w:p>
        </w:tc>
        <w:tc>
          <w:tcPr>
            <w:tcW w:type="dxa" w:w="3744"/>
          </w:tcPr>
          <w:p>
            <w:pPr>
              <w:spacing w:before="60" w:after="60"/>
            </w:pPr>
            <w:r/>
            <w:r>
              <w:rPr>
                <w:rFonts w:ascii="Segoe UI" w:hAnsi="Segoe UI"/>
                <w:b w:val="0"/>
                <w:color w:val="3E4E55"/>
                <w:sz w:val="17"/>
              </w:rPr>
              <w:t>alarm_period</w:t>
            </w:r>
          </w:p>
        </w:tc>
        <w:tc>
          <w:tcPr>
            <w:tcW w:type="dxa" w:w="4680"/>
          </w:tcPr>
          <w:p>
            <w:pPr>
              <w:spacing w:before="60" w:after="60"/>
            </w:pPr>
            <w:r/>
            <w:r>
              <w:rPr>
                <w:rFonts w:ascii="Segoe UI" w:hAnsi="Segoe UI"/>
                <w:b w:val="0"/>
                <w:color w:val="3E4E55"/>
                <w:sz w:val="17"/>
              </w:rPr>
              <w:t>Status rows with Stop/Warning status and a populated end timestamp</w:t>
            </w:r>
          </w:p>
        </w:tc>
      </w:tr>
      <w:tr>
        <w:tc>
          <w:tcPr>
            <w:tcW w:type="dxa" w:w="1080"/>
          </w:tcPr>
          <w:p>
            <w:pPr>
              <w:spacing w:before="60" w:after="60"/>
            </w:pPr>
            <w:r/>
            <w:r>
              <w:rPr>
                <w:rFonts w:ascii="Segoe UI" w:hAnsi="Segoe UI"/>
                <w:b/>
                <w:color w:val="101A1E"/>
                <w:sz w:val="17"/>
              </w:rPr>
              <w:t>6</w:t>
            </w:r>
          </w:p>
        </w:tc>
        <w:tc>
          <w:tcPr>
            <w:tcW w:type="dxa" w:w="3744"/>
          </w:tcPr>
          <w:p>
            <w:pPr>
              <w:spacing w:before="60" w:after="60"/>
            </w:pPr>
            <w:r/>
            <w:r>
              <w:rPr>
                <w:rFonts w:ascii="Segoe UI" w:hAnsi="Segoe UI"/>
                <w:b w:val="0"/>
                <w:color w:val="3E4E55"/>
                <w:sz w:val="17"/>
              </w:rPr>
              <w:t>shutdown_or_invalid_state</w:t>
            </w:r>
          </w:p>
        </w:tc>
        <w:tc>
          <w:tcPr>
            <w:tcW w:type="dxa" w:w="4680"/>
          </w:tcPr>
          <w:p>
            <w:pPr>
              <w:spacing w:before="60" w:after="60"/>
            </w:pPr>
            <w:r/>
            <w:r>
              <w:rPr>
                <w:rFonts w:ascii="Segoe UI" w:hAnsi="Segoe UI"/>
                <w:b w:val="0"/>
                <w:color w:val="3E4E55"/>
                <w:sz w:val="17"/>
              </w:rPr>
              <w:t>Reserved; not populated in this dataset</w:t>
            </w:r>
          </w:p>
        </w:tc>
      </w:tr>
      <w:tr>
        <w:tc>
          <w:tcPr>
            <w:tcW w:type="dxa" w:w="1080"/>
          </w:tcPr>
          <w:p>
            <w:pPr>
              <w:spacing w:before="60" w:after="60"/>
            </w:pPr>
            <w:r/>
            <w:r>
              <w:rPr>
                <w:rFonts w:ascii="Segoe UI" w:hAnsi="Segoe UI"/>
                <w:b/>
                <w:color w:val="101A1E"/>
                <w:sz w:val="17"/>
              </w:rPr>
              <w:t>7</w:t>
            </w:r>
          </w:p>
        </w:tc>
        <w:tc>
          <w:tcPr>
            <w:tcW w:type="dxa" w:w="3744"/>
          </w:tcPr>
          <w:p>
            <w:pPr>
              <w:spacing w:before="60" w:after="60"/>
            </w:pPr>
            <w:r/>
            <w:r>
              <w:rPr>
                <w:rFonts w:ascii="Segoe UI" w:hAnsi="Segoe UI"/>
                <w:b w:val="0"/>
                <w:color w:val="3E4E55"/>
                <w:sz w:val="17"/>
              </w:rPr>
              <w:t>author_designated_event_span</w:t>
            </w:r>
          </w:p>
        </w:tc>
        <w:tc>
          <w:tcPr>
            <w:tcW w:type="dxa" w:w="4680"/>
          </w:tcPr>
          <w:p>
            <w:pPr>
              <w:spacing w:before="60" w:after="60"/>
            </w:pPr>
            <w:r/>
            <w:r>
              <w:rPr>
                <w:rFonts w:ascii="Segoe UI" w:hAnsi="Segoe UI"/>
                <w:b w:val="0"/>
                <w:color w:val="3E4E55"/>
                <w:sz w:val="17"/>
              </w:rPr>
              <w:t>Named window covering the full labelled event episode</w:t>
            </w:r>
          </w:p>
        </w:tc>
      </w:tr>
      <w:tr>
        <w:tc>
          <w:tcPr>
            <w:tcW w:type="dxa" w:w="1080"/>
          </w:tcPr>
          <w:p>
            <w:pPr>
              <w:spacing w:before="60" w:after="60"/>
            </w:pPr>
            <w:r/>
            <w:r>
              <w:rPr>
                <w:rFonts w:ascii="Segoe UI" w:hAnsi="Segoe UI"/>
                <w:b/>
                <w:color w:val="101A1E"/>
                <w:sz w:val="17"/>
              </w:rPr>
              <w:t>8</w:t>
            </w:r>
          </w:p>
        </w:tc>
        <w:tc>
          <w:tcPr>
            <w:tcW w:type="dxa" w:w="3744"/>
          </w:tcPr>
          <w:p>
            <w:pPr>
              <w:spacing w:before="60" w:after="60"/>
            </w:pPr>
            <w:r/>
            <w:r>
              <w:rPr>
                <w:rFonts w:ascii="Segoe UI" w:hAnsi="Segoe UI"/>
                <w:b w:val="0"/>
                <w:color w:val="3E4E55"/>
                <w:sz w:val="17"/>
              </w:rPr>
              <w:t>author_designated_artefact</w:t>
            </w:r>
          </w:p>
        </w:tc>
        <w:tc>
          <w:tcPr>
            <w:tcW w:type="dxa" w:w="4680"/>
          </w:tcPr>
          <w:p>
            <w:pPr>
              <w:spacing w:before="60" w:after="60"/>
            </w:pPr>
            <w:r/>
            <w:r>
              <w:rPr>
                <w:rFonts w:ascii="Segoe UI" w:hAnsi="Segoe UI"/>
                <w:b w:val="0"/>
                <w:color w:val="3E4E55"/>
                <w:sz w:val="17"/>
              </w:rPr>
              <w:t>Named windows for two sensor-recalibration episodes</w:t>
            </w:r>
          </w:p>
        </w:tc>
      </w:tr>
      <w:tr>
        <w:tc>
          <w:tcPr>
            <w:tcW w:type="dxa" w:w="1080"/>
          </w:tcPr>
          <w:p>
            <w:pPr>
              <w:spacing w:before="60" w:after="60"/>
            </w:pPr>
            <w:r/>
            <w:r>
              <w:rPr>
                <w:rFonts w:ascii="Segoe UI" w:hAnsi="Segoe UI"/>
                <w:b/>
                <w:color w:val="101A1E"/>
                <w:sz w:val="17"/>
              </w:rPr>
              <w:t>9</w:t>
            </w:r>
          </w:p>
        </w:tc>
        <w:tc>
          <w:tcPr>
            <w:tcW w:type="dxa" w:w="3744"/>
          </w:tcPr>
          <w:p>
            <w:pPr>
              <w:spacing w:before="60" w:after="60"/>
            </w:pPr>
            <w:r/>
            <w:r>
              <w:rPr>
                <w:rFonts w:ascii="Segoe UI" w:hAnsi="Segoe UI"/>
                <w:b w:val="0"/>
                <w:color w:val="3E4E55"/>
                <w:sz w:val="17"/>
              </w:rPr>
              <w:t>sensor_failure_or_step_change</w:t>
            </w:r>
          </w:p>
        </w:tc>
        <w:tc>
          <w:tcPr>
            <w:tcW w:type="dxa" w:w="4680"/>
          </w:tcPr>
          <w:p>
            <w:pPr>
              <w:spacing w:before="60" w:after="60"/>
            </w:pPr>
            <w:r/>
            <w:r>
              <w:rPr>
                <w:rFonts w:ascii="Segoe UI" w:hAnsi="Segoe UI"/>
                <w:b w:val="0"/>
                <w:color w:val="3E4E55"/>
                <w:sz w:val="17"/>
              </w:rPr>
              <w:t>Step-change detector — DISABLED (see A.5)</w:t>
            </w:r>
          </w:p>
        </w:tc>
      </w:tr>
      <w:tr>
        <w:tc>
          <w:tcPr>
            <w:tcW w:type="dxa" w:w="1080"/>
          </w:tcPr>
          <w:p>
            <w:pPr>
              <w:spacing w:before="60" w:after="60"/>
            </w:pPr>
            <w:r/>
            <w:r>
              <w:rPr>
                <w:rFonts w:ascii="Segoe UI" w:hAnsi="Segoe UI"/>
                <w:b/>
                <w:color w:val="101A1E"/>
                <w:sz w:val="17"/>
              </w:rPr>
              <w:t>10</w:t>
            </w:r>
          </w:p>
        </w:tc>
        <w:tc>
          <w:tcPr>
            <w:tcW w:type="dxa" w:w="3744"/>
          </w:tcPr>
          <w:p>
            <w:pPr>
              <w:spacing w:before="60" w:after="60"/>
            </w:pPr>
            <w:r/>
            <w:r>
              <w:rPr>
                <w:rFonts w:ascii="Segoe UI" w:hAnsi="Segoe UI"/>
                <w:b w:val="0"/>
                <w:color w:val="3E4E55"/>
                <w:sz w:val="17"/>
              </w:rPr>
              <w:t>curtailment</w:t>
            </w:r>
          </w:p>
        </w:tc>
        <w:tc>
          <w:tcPr>
            <w:tcW w:type="dxa" w:w="4680"/>
          </w:tcPr>
          <w:p>
            <w:pPr>
              <w:spacing w:before="60" w:after="60"/>
            </w:pPr>
            <w:r/>
            <w:r>
              <w:rPr>
                <w:rFonts w:ascii="Segoe UI" w:hAnsi="Segoe UI"/>
                <w:b w:val="0"/>
                <w:color w:val="3E4E55"/>
                <w:sz w:val="17"/>
              </w:rPr>
              <w:t>Reserved; not populated</w:t>
            </w:r>
          </w:p>
        </w:tc>
      </w:tr>
      <w:tr>
        <w:tc>
          <w:tcPr>
            <w:tcW w:type="dxa" w:w="1080"/>
          </w:tcPr>
          <w:p>
            <w:pPr>
              <w:spacing w:before="60" w:after="60"/>
            </w:pPr>
            <w:r/>
            <w:r>
              <w:rPr>
                <w:rFonts w:ascii="Segoe UI" w:hAnsi="Segoe UI"/>
                <w:b/>
                <w:color w:val="101A1E"/>
                <w:sz w:val="17"/>
              </w:rPr>
              <w:t>11</w:t>
            </w:r>
          </w:p>
        </w:tc>
        <w:tc>
          <w:tcPr>
            <w:tcW w:type="dxa" w:w="3744"/>
          </w:tcPr>
          <w:p>
            <w:pPr>
              <w:spacing w:before="60" w:after="60"/>
            </w:pPr>
            <w:r/>
            <w:r>
              <w:rPr>
                <w:rFonts w:ascii="Segoe UI" w:hAnsi="Segoe UI"/>
                <w:b w:val="0"/>
                <w:color w:val="3E4E55"/>
                <w:sz w:val="17"/>
              </w:rPr>
              <w:t>below_minimum_active_power</w:t>
            </w:r>
          </w:p>
        </w:tc>
        <w:tc>
          <w:tcPr>
            <w:tcW w:type="dxa" w:w="4680"/>
          </w:tcPr>
          <w:p>
            <w:pPr>
              <w:spacing w:before="60" w:after="60"/>
            </w:pPr>
            <w:r/>
            <w:r>
              <w:rPr>
                <w:rFonts w:ascii="Segoe UI" w:hAnsi="Segoe UI"/>
                <w:b w:val="0"/>
                <w:color w:val="3E4E55"/>
                <w:sz w:val="17"/>
              </w:rPr>
              <w:t>Operating-state floor, 50 kW</w:t>
            </w:r>
          </w:p>
        </w:tc>
      </w:tr>
    </w:tbl>
    <w:p>
      <w:pPr>
        <w:spacing w:after="40"/>
      </w:pPr>
    </w:p>
    <w:p>
      <w:r>
        <w:t xml:space="preserve">Guard 5 handles the dangerous failure case explicitly: a fault window whose turbine identifier matches no observation excludes nothing, and without a warning the failure period would sit silently in the training set. The builder emits </w:t>
      </w:r>
      <w:r>
        <w:rPr>
          <w:rFonts w:ascii="Consolas" w:hAnsi="Consolas"/>
          <w:color w:val="3E4E55"/>
          <w:sz w:val="18"/>
        </w:rPr>
        <w:t>GUARD5.WINDOW_MATCHED_NOTHING</w:t>
      </w:r>
      <w:r>
        <w:t xml:space="preserve"> when a known-failure window matches zero rows, and </w:t>
      </w:r>
      <w:r>
        <w:rPr>
          <w:rFonts w:ascii="Consolas" w:hAnsi="Consolas"/>
          <w:color w:val="3E4E55"/>
          <w:sz w:val="18"/>
        </w:rPr>
        <w:t>GUARD5.FAILURE_IN_HEALTHY</w:t>
      </w:r>
      <w:r>
        <w:t xml:space="preserve"> if any fault-window row survives into the healthy population. Both are tested.</w:t>
      </w:r>
    </w:p>
    <w:p>
      <w:pPr>
        <w:pStyle w:val="H1x"/>
      </w:pPr>
      <w:r>
        <w:rPr>
          <w:b w:val="0"/>
          <w:i w:val="0"/>
        </w:rPr>
        <w:t>A.5  The step-change detector and the 39.8% attrition episode</w:t>
      </w:r>
    </w:p>
    <w:p>
      <w:r>
        <w:t>This is the single most instructive data-processing episode in the project's history, and it is worth recording in full for an ML audience.</w:t>
      </w:r>
    </w:p>
    <w:p>
      <w:r>
        <w:t xml:space="preserve">The M-10 step-change rule flags sustained level shifts in the thermal target channels using a rolling-median change-point heuristic (window 144 samples, minimum magnitude 5.0 °C), on the sound rationale that a sensor replacement or recalibration mimics or masks a fault. In the first real run these detections were used as a healthy-state exclusion criterion with ±1-day windows, and they became the </w:t>
      </w:r>
      <w:r>
        <w:rPr>
          <w:b/>
        </w:rPr>
        <w:t>dominant attrition</w:t>
      </w:r>
      <w:r>
        <w:t>: 337,263 of 847,396 train/validation rows — 39.8% — removed by 3,187 detections whose parameters had never been reviewed or sensitivity-tested.</w:t>
      </w:r>
    </w:p>
    <w:p>
      <w:r>
        <w:t>The subsequent evidence review found the detector was not identifying recalibrations at all:</w:t>
      </w:r>
    </w:p>
    <w:p>
      <w:pPr>
        <w:pStyle w:val="ListBullet"/>
        <w:spacing w:after="80"/>
        <w:ind w:left="547"/>
      </w:pPr>
      <w:r>
        <w:t>94% of detections coincided with an active-power step of ≥100 kW across the same windows; median |ΔP| 365 kW on 2.05 MW machines; signed ΔT–ΔP correlation 0.40.</w:t>
      </w:r>
    </w:p>
    <w:p>
      <w:pPr>
        <w:pStyle w:val="ListBullet"/>
        <w:spacing w:after="80"/>
        <w:ind w:left="547"/>
      </w:pPr>
      <w:r>
        <w:t>The operating-state pattern was explicit: positive temperature steps ran 76 kW → 360 kW (coming to load), negative steps 313 kW → 6 kW (going idle).</w:t>
      </w:r>
    </w:p>
    <w:p>
      <w:pPr>
        <w:pStyle w:val="ListBullet"/>
        <w:spacing w:after="80"/>
        <w:ind w:left="547"/>
      </w:pPr>
      <w:r>
        <w:t>Shift retention decayed to 48% at 7 days and 47% at 30 days. A genuine recalibration would predict a stable offset near 100% at every horizon.</w:t>
      </w:r>
    </w:p>
    <w:p>
      <w:pPr>
        <w:pStyle w:val="ListBullet"/>
        <w:spacing w:after="80"/>
        <w:ind w:left="547"/>
      </w:pPr>
      <w:r>
        <w:t>Only 1 of 99 sampled detections was recalibration-like — a persistent shift without a coincident power move.</w:t>
      </w:r>
    </w:p>
    <w:p>
      <w:pPr>
        <w:pStyle w:val="ListBullet"/>
        <w:spacing w:after="80"/>
        <w:ind w:left="547"/>
      </w:pPr>
      <w:r>
        <w:t>The ≥30 °C subset was worse, not better: 97% load coincidence, 99% sign agreement, correlation 0.72. Raising the magnitude threshold does not rescue the exclusion — the largest steps are start-up warm-ups and shutdown cool-downs.</w:t>
      </w:r>
    </w:p>
    <w:p>
      <w:r>
        <w:t xml:space="preserve">The exclusion was therefore disabled. The detector remains active as a </w:t>
      </w:r>
      <w:r>
        <w:rPr>
          <w:b/>
        </w:rPr>
        <w:t>reporting-only</w:t>
      </w:r>
      <w:r>
        <w:t xml:space="preserve"> rule; two genuinely recalibration-like episodes are excluded by name instead; and the detector's parameters were lifted into the configuration system with sweep grids (window 72/144/288, magnitude 2.5/5.0/10.0, exclusion days 0.5/1.0/2.0), with the enabled/disabled switch itself swept so the conclusion is tested rather than only the parameters.</w:t>
      </w:r>
    </w:p>
    <w:p>
      <w:pPr>
        <w:pStyle w:val="Label"/>
      </w:pPr>
      <w:r>
        <w:rPr>
          <w:b w:val="0"/>
          <w:i w:val="0"/>
        </w:rPr>
        <w:t>ML relevance</w:t>
      </w:r>
    </w:p>
    <w:p>
      <w:r>
        <w:t xml:space="preserve">The failure mode is a classic one and generalises well beyond this project: an exclusion rule intended to remove sensor artefacts was instead removing </w:t>
      </w:r>
      <w:r>
        <w:rPr>
          <w:b/>
        </w:rPr>
        <w:t>normal operating-regime transitions</w:t>
      </w:r>
      <w:r>
        <w:t>, biasing the model toward steady-state behaviour and mis-calibrating it during transients — precisely where residuals are read. It is also judged the most likely explanation for an otherwise puzzling result in the first run, where the linear baseline generalised better than the tree model on the monitoring period: a tree model trained almost exclusively on steady-state rows degrades sharply on transients, while linear regression degrades gracefully.</w:t>
      </w:r>
    </w:p>
    <w:p>
      <w:r>
        <w:t>A second, structural lesson was drawn and recorded: the project's own guard against unswept tunables could not see these parameters, because both the provisional-marker set and the sweep grids derive from the same universe (the configuration schema) and these three values lived outside it as constructor defaults. A consistency check within a declared universe cannot detect that the universe is incomplete.</w:t>
      </w:r>
    </w:p>
    <w:p>
      <w:pPr>
        <w:pStyle w:val="H1x"/>
      </w:pPr>
      <w:r>
        <w:rPr>
          <w:b w:val="0"/>
          <w:i w:val="0"/>
        </w:rPr>
        <w:t>A.6  Chronological splitting</w:t>
      </w:r>
    </w:p>
    <w:p>
      <w:r>
        <w:t xml:space="preserve">Random shuffled splits are prohibited and the prohibition is enforced: </w:t>
      </w:r>
      <w:r>
        <w:rPr>
          <w:rFonts w:ascii="Consolas" w:hAnsi="Consolas"/>
          <w:color w:val="3E4E55"/>
          <w:sz w:val="18"/>
        </w:rPr>
        <w:t>SplitPolicyGuard</w:t>
      </w:r>
      <w:r>
        <w:t xml:space="preserve"> raises on a random strategy for any thesis-flagged experiment, and the guard fires before any file is opened. Two strategies are used in practice — fraction-based chronological (70/15/15 default) and explicit dates.</w:t>
      </w:r>
    </w:p>
    <w:tbl>
      <w:tblPr>
        <w:tblStyle w:val="TableGrid"/>
        <w:tblW w:type="auto" w:w="0"/>
        <w:jc w:val="left"/>
        <w:tblLook w:firstColumn="1" w:firstRow="1" w:lastColumn="0" w:lastRow="0" w:noHBand="0" w:noVBand="1" w:val="04A0"/>
      </w:tblPr>
      <w:tblGrid>
        <w:gridCol w:w="3072"/>
        <w:gridCol w:w="3072"/>
        <w:gridCol w:w="3072"/>
      </w:tblGrid>
      <w:tr>
        <w:tc>
          <w:tcPr>
            <w:tcW w:type="dxa" w:w="1944"/>
            <w:shd w:val="clear" w:color="auto" w:fill="E7EDEF"/>
          </w:tcPr>
          <w:p>
            <w:pPr>
              <w:spacing w:before="60" w:after="60"/>
            </w:pPr>
            <w:r/>
            <w:r>
              <w:rPr>
                <w:rFonts w:ascii="Segoe UI" w:hAnsi="Segoe UI"/>
                <w:b/>
                <w:color w:val="101A1E"/>
                <w:sz w:val="17"/>
              </w:rPr>
              <w:t>Partition</w:t>
            </w:r>
          </w:p>
        </w:tc>
        <w:tc>
          <w:tcPr>
            <w:tcW w:type="dxa" w:w="2664"/>
            <w:shd w:val="clear" w:color="auto" w:fill="E7EDEF"/>
          </w:tcPr>
          <w:p>
            <w:pPr>
              <w:spacing w:before="60" w:after="60"/>
            </w:pPr>
            <w:r/>
            <w:r>
              <w:rPr>
                <w:rFonts w:ascii="Segoe UI" w:hAnsi="Segoe UI"/>
                <w:b/>
                <w:color w:val="101A1E"/>
                <w:sz w:val="17"/>
              </w:rPr>
              <w:t>Boundary</w:t>
            </w:r>
          </w:p>
        </w:tc>
        <w:tc>
          <w:tcPr>
            <w:tcW w:type="dxa" w:w="4896"/>
            <w:shd w:val="clear" w:color="auto" w:fill="E7EDEF"/>
          </w:tcPr>
          <w:p>
            <w:pPr>
              <w:spacing w:before="60" w:after="60"/>
            </w:pPr>
            <w:r/>
            <w:r>
              <w:rPr>
                <w:rFonts w:ascii="Segoe UI" w:hAnsi="Segoe UI"/>
                <w:b/>
                <w:color w:val="101A1E"/>
                <w:sz w:val="17"/>
              </w:rPr>
              <w:t>Content</w:t>
            </w:r>
          </w:p>
        </w:tc>
      </w:tr>
      <w:tr>
        <w:tc>
          <w:tcPr>
            <w:tcW w:type="dxa" w:w="1944"/>
          </w:tcPr>
          <w:p>
            <w:pPr>
              <w:spacing w:before="60" w:after="60"/>
            </w:pPr>
            <w:r/>
            <w:r>
              <w:rPr>
                <w:rFonts w:ascii="Segoe UI" w:hAnsi="Segoe UI"/>
                <w:b/>
                <w:color w:val="101A1E"/>
                <w:sz w:val="17"/>
              </w:rPr>
              <w:t>TRAIN</w:t>
            </w:r>
          </w:p>
        </w:tc>
        <w:tc>
          <w:tcPr>
            <w:tcW w:type="dxa" w:w="2664"/>
          </w:tcPr>
          <w:p>
            <w:pPr>
              <w:spacing w:before="60" w:after="60"/>
            </w:pPr>
            <w:r/>
            <w:r>
              <w:rPr>
                <w:rFonts w:ascii="Segoe UI" w:hAnsi="Segoe UI"/>
                <w:b w:val="0"/>
                <w:color w:val="3E4E55"/>
                <w:sz w:val="17"/>
              </w:rPr>
              <w:t>&lt; 2018-07-01</w:t>
            </w:r>
          </w:p>
        </w:tc>
        <w:tc>
          <w:tcPr>
            <w:tcW w:type="dxa" w:w="4896"/>
          </w:tcPr>
          <w:p>
            <w:pPr>
              <w:spacing w:before="60" w:after="60"/>
            </w:pPr>
            <w:r/>
            <w:r>
              <w:rPr>
                <w:rFonts w:ascii="Segoe UI" w:hAnsi="Segoe UI"/>
                <w:b w:val="0"/>
                <w:color w:val="3E4E55"/>
                <w:sz w:val="17"/>
              </w:rPr>
              <w:t>Healthy-state filtered</w:t>
            </w:r>
          </w:p>
        </w:tc>
      </w:tr>
      <w:tr>
        <w:tc>
          <w:tcPr>
            <w:tcW w:type="dxa" w:w="1944"/>
          </w:tcPr>
          <w:p>
            <w:pPr>
              <w:spacing w:before="60" w:after="60"/>
            </w:pPr>
            <w:r/>
            <w:r>
              <w:rPr>
                <w:rFonts w:ascii="Segoe UI" w:hAnsi="Segoe UI"/>
                <w:b/>
                <w:color w:val="101A1E"/>
                <w:sz w:val="17"/>
              </w:rPr>
              <w:t>VALIDATION</w:t>
            </w:r>
          </w:p>
        </w:tc>
        <w:tc>
          <w:tcPr>
            <w:tcW w:type="dxa" w:w="2664"/>
          </w:tcPr>
          <w:p>
            <w:pPr>
              <w:spacing w:before="60" w:after="60"/>
            </w:pPr>
            <w:r/>
            <w:r>
              <w:rPr>
                <w:rFonts w:ascii="Segoe UI" w:hAnsi="Segoe UI"/>
                <w:b w:val="0"/>
                <w:color w:val="3E4E55"/>
                <w:sz w:val="17"/>
              </w:rPr>
              <w:t>2018-07-01 → 2019-02-01</w:t>
            </w:r>
          </w:p>
        </w:tc>
        <w:tc>
          <w:tcPr>
            <w:tcW w:type="dxa" w:w="4896"/>
          </w:tcPr>
          <w:p>
            <w:pPr>
              <w:spacing w:before="60" w:after="60"/>
            </w:pPr>
            <w:r/>
            <w:r>
              <w:rPr>
                <w:rFonts w:ascii="Segoe UI" w:hAnsi="Segoe UI"/>
                <w:b w:val="0"/>
                <w:color w:val="3E4E55"/>
                <w:sz w:val="17"/>
              </w:rPr>
              <w:t>Healthy-state filtered; used for tuning, early stopping, in-control characterisation and threshold statistics</w:t>
            </w:r>
          </w:p>
        </w:tc>
      </w:tr>
      <w:tr>
        <w:tc>
          <w:tcPr>
            <w:tcW w:type="dxa" w:w="1944"/>
          </w:tcPr>
          <w:p>
            <w:pPr>
              <w:spacing w:before="60" w:after="60"/>
            </w:pPr>
            <w:r/>
            <w:r>
              <w:rPr>
                <w:rFonts w:ascii="Segoe UI" w:hAnsi="Segoe UI"/>
                <w:b/>
                <w:color w:val="101A1E"/>
                <w:sz w:val="17"/>
              </w:rPr>
              <w:t>TEST / monitoring</w:t>
            </w:r>
          </w:p>
        </w:tc>
        <w:tc>
          <w:tcPr>
            <w:tcW w:type="dxa" w:w="2664"/>
          </w:tcPr>
          <w:p>
            <w:pPr>
              <w:spacing w:before="60" w:after="60"/>
            </w:pPr>
            <w:r/>
            <w:r>
              <w:rPr>
                <w:rFonts w:ascii="Segoe UI" w:hAnsi="Segoe UI"/>
                <w:b w:val="0"/>
                <w:color w:val="3E4E55"/>
                <w:sz w:val="17"/>
              </w:rPr>
              <w:t>≥ 2019-02-01</w:t>
            </w:r>
          </w:p>
        </w:tc>
        <w:tc>
          <w:tcPr>
            <w:tcW w:type="dxa" w:w="4896"/>
          </w:tcPr>
          <w:p>
            <w:pPr>
              <w:spacing w:before="60" w:after="60"/>
            </w:pPr>
            <w:r/>
            <w:r>
              <w:rPr>
                <w:rFonts w:ascii="Segoe UI" w:hAnsi="Segoe UI"/>
                <w:b w:val="0"/>
                <w:color w:val="3E4E55"/>
                <w:sz w:val="17"/>
              </w:rPr>
              <w:t>UNFILTERED — anomalous rows are the signal being monitored</w:t>
            </w:r>
          </w:p>
        </w:tc>
      </w:tr>
    </w:tbl>
    <w:p>
      <w:pPr>
        <w:spacing w:after="40"/>
      </w:pPr>
    </w:p>
    <w:p>
      <w:r>
        <w:t>The default 70/15/15 fractions were recorded as infeasible for this dataset: the 70% boundary lands in late 2019 and would place the single labelled event in training. Explicit dates are required, not merely preferred. A seasonal coverage report accompanies every split, reporting training span in months, calendar-month coverage, months present in test but absent from training, and ambient-temperature range in both partitions, with warnings surfaced for the limitations register.</w:t>
      </w:r>
    </w:p>
    <w:p>
      <w:r>
        <w:t xml:space="preserve">A structural finding worth carrying into any similar project: </w:t>
      </w:r>
      <w:r>
        <w:rPr>
          <w:b/>
        </w:rPr>
        <w:t>no admissible split closes the ambient-extrapolation gap here</w:t>
      </w:r>
      <w:r>
        <w:t>. The monitoring ambient extremes all fall after any boundary that keeps the labelled event in test, and the entire pre-monitoring span covers a narrower range. The extrapolation is a property of the dataset combined with the event-placement constraint, not of the dates chosen.</w:t>
      </w:r>
    </w:p>
    <w:p>
      <w:pPr>
        <w:pStyle w:val="H1x"/>
      </w:pPr>
      <w:r>
        <w:rPr>
          <w:b w:val="0"/>
          <w:i w:val="0"/>
        </w:rPr>
        <w:t>A.7  Data-quality constraints inherited from the dataset</w:t>
      </w:r>
    </w:p>
    <w:p>
      <w:r>
        <w:t>These were established by a read-only census before any model was fitted, and every figure below was independently re-derived from the committed evidence JSON during this audit and matched exactly.</w:t>
      </w:r>
    </w:p>
    <w:tbl>
      <w:tblPr>
        <w:tblStyle w:val="TableGrid"/>
        <w:tblW w:type="auto" w:w="0"/>
        <w:jc w:val="left"/>
        <w:tblLook w:firstColumn="1" w:firstRow="1" w:lastColumn="0" w:lastRow="0" w:noHBand="0" w:noVBand="1" w:val="04A0"/>
      </w:tblPr>
      <w:tblGrid>
        <w:gridCol w:w="3072"/>
        <w:gridCol w:w="3072"/>
        <w:gridCol w:w="3072"/>
      </w:tblGrid>
      <w:tr>
        <w:tc>
          <w:tcPr>
            <w:tcW w:type="dxa" w:w="2736"/>
            <w:shd w:val="clear" w:color="auto" w:fill="E7EDEF"/>
          </w:tcPr>
          <w:p>
            <w:pPr>
              <w:spacing w:before="60" w:after="60"/>
            </w:pPr>
            <w:r/>
            <w:r>
              <w:rPr>
                <w:rFonts w:ascii="Segoe UI" w:hAnsi="Segoe UI"/>
                <w:b/>
                <w:color w:val="101A1E"/>
                <w:sz w:val="17"/>
              </w:rPr>
              <w:t>Constraint</w:t>
            </w:r>
          </w:p>
        </w:tc>
        <w:tc>
          <w:tcPr>
            <w:tcW w:type="dxa" w:w="3168"/>
            <w:shd w:val="clear" w:color="auto" w:fill="E7EDEF"/>
          </w:tcPr>
          <w:p>
            <w:pPr>
              <w:spacing w:before="60" w:after="60"/>
            </w:pPr>
            <w:r/>
            <w:r>
              <w:rPr>
                <w:rFonts w:ascii="Segoe UI" w:hAnsi="Segoe UI"/>
                <w:b/>
                <w:color w:val="101A1E"/>
                <w:sz w:val="17"/>
              </w:rPr>
              <w:t>Measured value</w:t>
            </w:r>
          </w:p>
        </w:tc>
        <w:tc>
          <w:tcPr>
            <w:tcW w:type="dxa" w:w="3600"/>
            <w:shd w:val="clear" w:color="auto" w:fill="E7EDEF"/>
          </w:tcPr>
          <w:p>
            <w:pPr>
              <w:spacing w:before="60" w:after="60"/>
            </w:pPr>
            <w:r/>
            <w:r>
              <w:rPr>
                <w:rFonts w:ascii="Segoe UI" w:hAnsi="Segoe UI"/>
                <w:b/>
                <w:color w:val="101A1E"/>
                <w:sz w:val="17"/>
              </w:rPr>
              <w:t>Consequence for modelling</w:t>
            </w:r>
          </w:p>
        </w:tc>
      </w:tr>
      <w:tr>
        <w:tc>
          <w:tcPr>
            <w:tcW w:type="dxa" w:w="2736"/>
          </w:tcPr>
          <w:p>
            <w:pPr>
              <w:spacing w:before="60" w:after="60"/>
            </w:pPr>
            <w:r/>
            <w:r>
              <w:rPr>
                <w:rFonts w:ascii="Segoe UI" w:hAnsi="Segoe UI"/>
                <w:b/>
                <w:color w:val="101A1E"/>
                <w:sz w:val="17"/>
              </w:rPr>
              <w:t>No gearbox-bearing channel exists by name</w:t>
            </w:r>
          </w:p>
        </w:tc>
        <w:tc>
          <w:tcPr>
            <w:tcW w:type="dxa" w:w="3168"/>
          </w:tcPr>
          <w:p>
            <w:pPr>
              <w:spacing w:before="60" w:after="60"/>
            </w:pPr>
            <w:r/>
            <w:r>
              <w:rPr>
                <w:rFonts w:ascii="Segoe UI" w:hAnsi="Segoe UI"/>
                <w:b w:val="0"/>
                <w:color w:val="3E4E55"/>
                <w:sz w:val="17"/>
              </w:rPr>
              <w:t>No column contains both "gear" and "bearing"</w:t>
            </w:r>
          </w:p>
        </w:tc>
        <w:tc>
          <w:tcPr>
            <w:tcW w:type="dxa" w:w="3600"/>
          </w:tcPr>
          <w:p>
            <w:pPr>
              <w:spacing w:before="60" w:after="60"/>
            </w:pPr>
            <w:r/>
            <w:r>
              <w:rPr>
                <w:rFonts w:ascii="Segoe UI" w:hAnsi="Segoe UI"/>
                <w:b w:val="0"/>
                <w:color w:val="3E4E55"/>
                <w:sz w:val="17"/>
              </w:rPr>
              <w:t>Bearing target designated by proxy from correlation evidence</w:t>
            </w:r>
          </w:p>
        </w:tc>
      </w:tr>
      <w:tr>
        <w:tc>
          <w:tcPr>
            <w:tcW w:type="dxa" w:w="2736"/>
          </w:tcPr>
          <w:p>
            <w:pPr>
              <w:spacing w:before="60" w:after="60"/>
            </w:pPr>
            <w:r/>
            <w:r>
              <w:rPr>
                <w:rFonts w:ascii="Segoe UI" w:hAnsi="Segoe UI"/>
                <w:b/>
                <w:color w:val="101A1E"/>
                <w:sz w:val="17"/>
              </w:rPr>
              <w:t>No maintenance free text anywhere</w:t>
            </w:r>
          </w:p>
        </w:tc>
        <w:tc>
          <w:tcPr>
            <w:tcW w:type="dxa" w:w="3168"/>
          </w:tcPr>
          <w:p>
            <w:pPr>
              <w:spacing w:before="60" w:after="60"/>
            </w:pPr>
            <w:r/>
            <w:r>
              <w:rPr>
                <w:rFonts w:ascii="Segoe UI" w:hAnsi="Segoe UI"/>
                <w:b w:val="0"/>
                <w:color w:val="3E4E55"/>
                <w:sz w:val="17"/>
              </w:rPr>
              <w:t>Comment column non-empty in 0 of 57,515 rows; Service comment column absent</w:t>
            </w:r>
          </w:p>
        </w:tc>
        <w:tc>
          <w:tcPr>
            <w:tcW w:type="dxa" w:w="3600"/>
          </w:tcPr>
          <w:p>
            <w:pPr>
              <w:spacing w:before="60" w:after="60"/>
            </w:pPr>
            <w:r/>
            <w:r>
              <w:rPr>
                <w:rFonts w:ascii="Segoe UI" w:hAnsi="Segoe UI"/>
                <w:b w:val="0"/>
                <w:color w:val="3E4E55"/>
                <w:sz w:val="17"/>
              </w:rPr>
              <w:t>Mechanism-level ground truth unavailable; alarm-level only</w:t>
            </w:r>
          </w:p>
        </w:tc>
      </w:tr>
      <w:tr>
        <w:tc>
          <w:tcPr>
            <w:tcW w:type="dxa" w:w="2736"/>
          </w:tcPr>
          <w:p>
            <w:pPr>
              <w:spacing w:before="60" w:after="60"/>
            </w:pPr>
            <w:r/>
            <w:r>
              <w:rPr>
                <w:rFonts w:ascii="Segoe UI" w:hAnsi="Segoe UI"/>
                <w:b/>
                <w:color w:val="101A1E"/>
                <w:sz w:val="17"/>
              </w:rPr>
              <w:t>Most status rows have no duration</w:t>
            </w:r>
          </w:p>
        </w:tc>
        <w:tc>
          <w:tcPr>
            <w:tcW w:type="dxa" w:w="3168"/>
          </w:tcPr>
          <w:p>
            <w:pPr>
              <w:spacing w:before="60" w:after="60"/>
            </w:pPr>
            <w:r/>
            <w:r>
              <w:rPr>
                <w:rFonts w:ascii="Segoe UI" w:hAnsi="Segoe UI"/>
                <w:b w:val="0"/>
                <w:color w:val="3E4E55"/>
                <w:sz w:val="17"/>
              </w:rPr>
              <w:t>8,094 of 57,515 rows (14.1%) carry a populated end timestamp</w:t>
            </w:r>
          </w:p>
        </w:tc>
        <w:tc>
          <w:tcPr>
            <w:tcW w:type="dxa" w:w="3600"/>
          </w:tcPr>
          <w:p>
            <w:pPr>
              <w:spacing w:before="60" w:after="60"/>
            </w:pPr>
            <w:r/>
            <w:r>
              <w:rPr>
                <w:rFonts w:ascii="Segoe UI" w:hAnsi="Segoe UI"/>
                <w:b w:val="0"/>
                <w:color w:val="3E4E55"/>
                <w:sz w:val="17"/>
              </w:rPr>
              <w:t>Only 14.1% of status rows can define an exclusion window</w:t>
            </w:r>
          </w:p>
        </w:tc>
      </w:tr>
      <w:tr>
        <w:tc>
          <w:tcPr>
            <w:tcW w:type="dxa" w:w="2736"/>
          </w:tcPr>
          <w:p>
            <w:pPr>
              <w:spacing w:before="60" w:after="60"/>
            </w:pPr>
            <w:r/>
            <w:r>
              <w:rPr>
                <w:rFonts w:ascii="Segoe UI" w:hAnsi="Segoe UI"/>
                <w:b/>
                <w:color w:val="101A1E"/>
                <w:sz w:val="17"/>
              </w:rPr>
              <w:t>Thermal channels empty before 2016-05-03</w:t>
            </w:r>
          </w:p>
        </w:tc>
        <w:tc>
          <w:tcPr>
            <w:tcW w:type="dxa" w:w="3168"/>
          </w:tcPr>
          <w:p>
            <w:pPr>
              <w:spacing w:before="60" w:after="60"/>
            </w:pPr>
            <w:r/>
            <w:r>
              <w:rPr>
                <w:rFonts w:ascii="Segoe UI" w:hAnsi="Segoe UI"/>
                <w:b w:val="0"/>
                <w:color w:val="3E4E55"/>
                <w:sz w:val="17"/>
              </w:rPr>
              <w:t>Gear-oil channels 100% null until 2016-05-03 09:40 on every turbine</w:t>
            </w:r>
          </w:p>
        </w:tc>
        <w:tc>
          <w:tcPr>
            <w:tcW w:type="dxa" w:w="3600"/>
          </w:tcPr>
          <w:p>
            <w:pPr>
              <w:spacing w:before="60" w:after="60"/>
            </w:pPr>
            <w:r/>
            <w:r>
              <w:rPr>
                <w:rFonts w:ascii="Segoe UI" w:hAnsi="Segoe UI"/>
                <w:b w:val="0"/>
                <w:color w:val="3E4E55"/>
                <w:sz w:val="17"/>
              </w:rPr>
              <w:t>780 status rows have zero preceding thermal coverage and cannot serve as evaluation targets</w:t>
            </w:r>
          </w:p>
        </w:tc>
      </w:tr>
      <w:tr>
        <w:tc>
          <w:tcPr>
            <w:tcW w:type="dxa" w:w="2736"/>
          </w:tcPr>
          <w:p>
            <w:pPr>
              <w:spacing w:before="60" w:after="60"/>
            </w:pPr>
            <w:r/>
            <w:r>
              <w:rPr>
                <w:rFonts w:ascii="Segoe UI" w:hAnsi="Segoe UI"/>
                <w:b/>
                <w:color w:val="101A1E"/>
                <w:sz w:val="17"/>
              </w:rPr>
              <w:t>Year folders overlap at boundaries</w:t>
            </w:r>
          </w:p>
        </w:tc>
        <w:tc>
          <w:tcPr>
            <w:tcW w:type="dxa" w:w="3168"/>
          </w:tcPr>
          <w:p>
            <w:pPr>
              <w:spacing w:before="60" w:after="60"/>
            </w:pPr>
            <w:r/>
            <w:r>
              <w:rPr>
                <w:rFonts w:ascii="Segoe UI" w:hAnsi="Segoe UI"/>
                <w:b w:val="0"/>
                <w:color w:val="3E4E55"/>
                <w:sz w:val="17"/>
              </w:rPr>
              <w:t>215 duplicate rows across 213 keys</w:t>
            </w:r>
          </w:p>
        </w:tc>
        <w:tc>
          <w:tcPr>
            <w:tcW w:type="dxa" w:w="3600"/>
          </w:tcPr>
          <w:p>
            <w:pPr>
              <w:spacing w:before="60" w:after="60"/>
            </w:pPr>
            <w:r/>
            <w:r>
              <w:rPr>
                <w:rFonts w:ascii="Segoe UI" w:hAnsi="Segoe UI"/>
                <w:b w:val="0"/>
                <w:color w:val="3E4E55"/>
                <w:sz w:val="17"/>
              </w:rPr>
              <w:t>Deduplication mandatory; handled at ingestion</w:t>
            </w:r>
          </w:p>
        </w:tc>
      </w:tr>
      <w:tr>
        <w:tc>
          <w:tcPr>
            <w:tcW w:type="dxa" w:w="2736"/>
          </w:tcPr>
          <w:p>
            <w:pPr>
              <w:spacing w:before="60" w:after="60"/>
            </w:pPr>
            <w:r/>
            <w:r>
              <w:rPr>
                <w:rFonts w:ascii="Segoe UI" w:hAnsi="Segoe UI"/>
                <w:b/>
                <w:color w:val="101A1E"/>
                <w:sz w:val="17"/>
              </w:rPr>
              <w:t>One malformed status row</w:t>
            </w:r>
          </w:p>
        </w:tc>
        <w:tc>
          <w:tcPr>
            <w:tcW w:type="dxa" w:w="3168"/>
          </w:tcPr>
          <w:p>
            <w:pPr>
              <w:spacing w:before="60" w:after="60"/>
            </w:pPr>
            <w:r/>
            <w:r>
              <w:rPr>
                <w:rFonts w:ascii="Segoe UI" w:hAnsi="Segoe UI"/>
                <w:b w:val="0"/>
                <w:color w:val="3E4E55"/>
                <w:sz w:val="17"/>
              </w:rPr>
              <w:t>1 row of 282,234 has end before start (−36.8 min)</w:t>
            </w:r>
          </w:p>
        </w:tc>
        <w:tc>
          <w:tcPr>
            <w:tcW w:type="dxa" w:w="3600"/>
          </w:tcPr>
          <w:p>
            <w:pPr>
              <w:spacing w:before="60" w:after="60"/>
            </w:pPr>
            <w:r/>
            <w:r>
              <w:rPr>
                <w:rFonts w:ascii="Segoe UI" w:hAnsi="Segoe UI"/>
                <w:b w:val="0"/>
                <w:color w:val="3E4E55"/>
                <w:sz w:val="17"/>
              </w:rPr>
              <w:t>Refused by the event constructor, reported verbatim</w:t>
            </w:r>
          </w:p>
        </w:tc>
      </w:tr>
      <w:tr>
        <w:tc>
          <w:tcPr>
            <w:tcW w:type="dxa" w:w="2736"/>
          </w:tcPr>
          <w:p>
            <w:pPr>
              <w:spacing w:before="60" w:after="60"/>
            </w:pPr>
            <w:r/>
            <w:r>
              <w:rPr>
                <w:rFonts w:ascii="Segoe UI" w:hAnsi="Segoe UI"/>
                <w:b/>
                <w:color w:val="101A1E"/>
                <w:sz w:val="17"/>
              </w:rPr>
              <w:t>Labelled gearbox events</w:t>
            </w:r>
          </w:p>
        </w:tc>
        <w:tc>
          <w:tcPr>
            <w:tcW w:type="dxa" w:w="3168"/>
          </w:tcPr>
          <w:p>
            <w:pPr>
              <w:spacing w:before="60" w:after="60"/>
            </w:pPr>
            <w:r/>
            <w:r>
              <w:rPr>
                <w:rFonts w:ascii="Segoe UI" w:hAnsi="Segoe UI"/>
                <w:b w:val="0"/>
                <w:color w:val="3E4E55"/>
                <w:sz w:val="17"/>
              </w:rPr>
              <w:t>One (1)</w:t>
            </w:r>
          </w:p>
        </w:tc>
        <w:tc>
          <w:tcPr>
            <w:tcW w:type="dxa" w:w="3600"/>
          </w:tcPr>
          <w:p>
            <w:pPr>
              <w:spacing w:before="60" w:after="60"/>
            </w:pPr>
            <w:r/>
            <w:r>
              <w:rPr>
                <w:rFonts w:ascii="Segoe UI" w:hAnsi="Segoe UI"/>
                <w:b w:val="0"/>
                <w:color w:val="3E4E55"/>
                <w:sz w:val="17"/>
              </w:rPr>
              <w:t>Forecloses all inferential detection-rate and lead-time claims</w:t>
            </w:r>
          </w:p>
        </w:tc>
      </w:tr>
    </w:tbl>
    <w:p>
      <w:pPr>
        <w:spacing w:after="40"/>
      </w:pPr>
    </w:p>
    <w:p>
      <w:r>
        <w:br w:type="page"/>
      </w:r>
    </w:p>
    <w:p>
      <w:pPr>
        <w:pStyle w:val="PartHead"/>
      </w:pPr>
      <w:r>
        <w:rPr>
          <w:b w:val="0"/>
          <w:i w:val="0"/>
        </w:rPr>
        <w:t>Part B</w:t>
      </w:r>
    </w:p>
    <w:p>
      <w:pPr>
        <w:pStyle w:val="PartSub"/>
      </w:pPr>
      <w:r>
        <w:rPr>
          <w:b w:val="0"/>
          <w:i w:val="0"/>
        </w:rPr>
        <w:t>Feature and target engineering</w:t>
      </w:r>
    </w:p>
    <w:p>
      <w:pPr>
        <w:pStyle w:val="H1x"/>
      </w:pPr>
      <w:r>
        <w:rPr>
          <w:b w:val="0"/>
          <w:i w:val="0"/>
        </w:rPr>
        <w:t>B.1  Predictor set and causal separation</w:t>
      </w:r>
    </w:p>
    <w:p>
      <w:r>
        <w:t xml:space="preserve">Seven exogenous predictors are used. The governing constraint is that the NBM may use only variables causally upstream of the thermal targets, and it is enforced at a single chokepoint in </w:t>
      </w:r>
      <w:r>
        <w:rPr>
          <w:rFonts w:ascii="Consolas" w:hAnsi="Consolas"/>
          <w:color w:val="3E4E55"/>
          <w:sz w:val="18"/>
        </w:rPr>
        <w:t>app/data/guards.py</w:t>
      </w:r>
      <w:r>
        <w:t xml:space="preserve"> which every fit and every tuning search must pass through.</w:t>
      </w:r>
    </w:p>
    <w:tbl>
      <w:tblPr>
        <w:tblStyle w:val="TableGrid"/>
        <w:tblW w:type="auto" w:w="0"/>
        <w:jc w:val="left"/>
        <w:tblLook w:firstColumn="1" w:firstRow="1" w:lastColumn="0" w:lastRow="0" w:noHBand="0" w:noVBand="1" w:val="04A0"/>
      </w:tblPr>
      <w:tblGrid>
        <w:gridCol w:w="3072"/>
        <w:gridCol w:w="3072"/>
        <w:gridCol w:w="3072"/>
      </w:tblGrid>
      <w:tr>
        <w:tc>
          <w:tcPr>
            <w:tcW w:type="dxa" w:w="2304"/>
            <w:shd w:val="clear" w:color="auto" w:fill="E7EDEF"/>
          </w:tcPr>
          <w:p>
            <w:pPr>
              <w:spacing w:before="60" w:after="60"/>
            </w:pPr>
            <w:r/>
            <w:r>
              <w:rPr>
                <w:rFonts w:ascii="Segoe UI" w:hAnsi="Segoe UI"/>
                <w:b/>
                <w:color w:val="101A1E"/>
                <w:sz w:val="17"/>
              </w:rPr>
              <w:t>Canonical name</w:t>
            </w:r>
          </w:p>
        </w:tc>
        <w:tc>
          <w:tcPr>
            <w:tcW w:type="dxa" w:w="2952"/>
            <w:shd w:val="clear" w:color="auto" w:fill="E7EDEF"/>
          </w:tcPr>
          <w:p>
            <w:pPr>
              <w:spacing w:before="60" w:after="60"/>
            </w:pPr>
            <w:r/>
            <w:r>
              <w:rPr>
                <w:rFonts w:ascii="Segoe UI" w:hAnsi="Segoe UI"/>
                <w:b/>
                <w:color w:val="101A1E"/>
                <w:sz w:val="17"/>
              </w:rPr>
              <w:t>Source column</w:t>
            </w:r>
          </w:p>
        </w:tc>
        <w:tc>
          <w:tcPr>
            <w:tcW w:type="dxa" w:w="4248"/>
            <w:shd w:val="clear" w:color="auto" w:fill="E7EDEF"/>
          </w:tcPr>
          <w:p>
            <w:pPr>
              <w:spacing w:before="60" w:after="60"/>
            </w:pPr>
            <w:r/>
            <w:r>
              <w:rPr>
                <w:rFonts w:ascii="Segoe UI" w:hAnsi="Segoe UI"/>
                <w:b/>
                <w:color w:val="101A1E"/>
                <w:sz w:val="17"/>
              </w:rPr>
              <w:t>Note</w:t>
            </w:r>
          </w:p>
        </w:tc>
      </w:tr>
      <w:tr>
        <w:tc>
          <w:tcPr>
            <w:tcW w:type="dxa" w:w="2304"/>
          </w:tcPr>
          <w:p>
            <w:pPr>
              <w:spacing w:before="60" w:after="60"/>
            </w:pPr>
            <w:r/>
            <w:r>
              <w:rPr>
                <w:rFonts w:ascii="Segoe UI" w:hAnsi="Segoe UI"/>
                <w:b/>
                <w:color w:val="101A1E"/>
                <w:sz w:val="17"/>
              </w:rPr>
              <w:t>wind_speed</w:t>
            </w:r>
          </w:p>
        </w:tc>
        <w:tc>
          <w:tcPr>
            <w:tcW w:type="dxa" w:w="2952"/>
          </w:tcPr>
          <w:p>
            <w:pPr>
              <w:spacing w:before="60" w:after="60"/>
            </w:pPr>
            <w:r/>
            <w:r>
              <w:rPr>
                <w:rFonts w:ascii="Segoe UI" w:hAnsi="Segoe UI"/>
                <w:b w:val="0"/>
                <w:color w:val="3E4E55"/>
                <w:sz w:val="17"/>
              </w:rPr>
              <w:t>Wind speed (m/s)</w:t>
            </w:r>
          </w:p>
        </w:tc>
        <w:tc>
          <w:tcPr>
            <w:tcW w:type="dxa" w:w="4248"/>
          </w:tcPr>
          <w:p>
            <w:pPr>
              <w:spacing w:before="60" w:after="60"/>
            </w:pPr>
            <w:r/>
            <w:r>
              <w:rPr>
                <w:rFonts w:ascii="Segoe UI" w:hAnsi="Segoe UI"/>
                <w:b w:val="0"/>
                <w:color w:val="3E4E55"/>
                <w:sz w:val="17"/>
              </w:rPr>
              <w:t>—</w:t>
            </w:r>
          </w:p>
        </w:tc>
      </w:tr>
      <w:tr>
        <w:tc>
          <w:tcPr>
            <w:tcW w:type="dxa" w:w="2304"/>
          </w:tcPr>
          <w:p>
            <w:pPr>
              <w:spacing w:before="60" w:after="60"/>
            </w:pPr>
            <w:r/>
            <w:r>
              <w:rPr>
                <w:rFonts w:ascii="Segoe UI" w:hAnsi="Segoe UI"/>
                <w:b/>
                <w:color w:val="101A1E"/>
                <w:sz w:val="17"/>
              </w:rPr>
              <w:t>active_power</w:t>
            </w:r>
          </w:p>
        </w:tc>
        <w:tc>
          <w:tcPr>
            <w:tcW w:type="dxa" w:w="2952"/>
          </w:tcPr>
          <w:p>
            <w:pPr>
              <w:spacing w:before="60" w:after="60"/>
            </w:pPr>
            <w:r/>
            <w:r>
              <w:rPr>
                <w:rFonts w:ascii="Segoe UI" w:hAnsi="Segoe UI"/>
                <w:b w:val="0"/>
                <w:color w:val="3E4E55"/>
                <w:sz w:val="17"/>
              </w:rPr>
              <w:t>Power (kW)</w:t>
            </w:r>
          </w:p>
        </w:tc>
        <w:tc>
          <w:tcPr>
            <w:tcW w:type="dxa" w:w="4248"/>
          </w:tcPr>
          <w:p>
            <w:pPr>
              <w:spacing w:before="60" w:after="60"/>
            </w:pPr>
            <w:r/>
            <w:r>
              <w:rPr>
                <w:rFonts w:ascii="Segoe UI" w:hAnsi="Segoe UI"/>
                <w:b w:val="0"/>
                <w:color w:val="3E4E55"/>
                <w:sz w:val="17"/>
              </w:rPr>
              <w:t>Also drives the 50 kW healthy-state floor</w:t>
            </w:r>
          </w:p>
        </w:tc>
      </w:tr>
      <w:tr>
        <w:tc>
          <w:tcPr>
            <w:tcW w:type="dxa" w:w="2304"/>
          </w:tcPr>
          <w:p>
            <w:pPr>
              <w:spacing w:before="60" w:after="60"/>
            </w:pPr>
            <w:r/>
            <w:r>
              <w:rPr>
                <w:rFonts w:ascii="Segoe UI" w:hAnsi="Segoe UI"/>
                <w:b/>
                <w:color w:val="101A1E"/>
                <w:sz w:val="17"/>
              </w:rPr>
              <w:t>rotor_speed</w:t>
            </w:r>
          </w:p>
        </w:tc>
        <w:tc>
          <w:tcPr>
            <w:tcW w:type="dxa" w:w="2952"/>
          </w:tcPr>
          <w:p>
            <w:pPr>
              <w:spacing w:before="60" w:after="60"/>
            </w:pPr>
            <w:r/>
            <w:r>
              <w:rPr>
                <w:rFonts w:ascii="Segoe UI" w:hAnsi="Segoe UI"/>
                <w:b w:val="0"/>
                <w:color w:val="3E4E55"/>
                <w:sz w:val="17"/>
              </w:rPr>
              <w:t>Rotor speed (RPM)</w:t>
            </w:r>
          </w:p>
        </w:tc>
        <w:tc>
          <w:tcPr>
            <w:tcW w:type="dxa" w:w="4248"/>
          </w:tcPr>
          <w:p>
            <w:pPr>
              <w:spacing w:before="60" w:after="60"/>
            </w:pPr>
            <w:r/>
            <w:r>
              <w:rPr>
                <w:rFonts w:ascii="Segoe UI" w:hAnsi="Segoe UI"/>
                <w:b w:val="0"/>
                <w:color w:val="3E4E55"/>
                <w:sz w:val="17"/>
              </w:rPr>
              <w:t>—</w:t>
            </w:r>
          </w:p>
        </w:tc>
      </w:tr>
      <w:tr>
        <w:tc>
          <w:tcPr>
            <w:tcW w:type="dxa" w:w="2304"/>
          </w:tcPr>
          <w:p>
            <w:pPr>
              <w:spacing w:before="60" w:after="60"/>
            </w:pPr>
            <w:r/>
            <w:r>
              <w:rPr>
                <w:rFonts w:ascii="Segoe UI" w:hAnsi="Segoe UI"/>
                <w:b/>
                <w:color w:val="101A1E"/>
                <w:sz w:val="17"/>
              </w:rPr>
              <w:t>generator_speed</w:t>
            </w:r>
          </w:p>
        </w:tc>
        <w:tc>
          <w:tcPr>
            <w:tcW w:type="dxa" w:w="2952"/>
          </w:tcPr>
          <w:p>
            <w:pPr>
              <w:spacing w:before="60" w:after="60"/>
            </w:pPr>
            <w:r/>
            <w:r>
              <w:rPr>
                <w:rFonts w:ascii="Segoe UI" w:hAnsi="Segoe UI"/>
                <w:b w:val="0"/>
                <w:color w:val="3E4E55"/>
                <w:sz w:val="17"/>
              </w:rPr>
              <w:t>Generator RPM (RPM)</w:t>
            </w:r>
          </w:p>
        </w:tc>
        <w:tc>
          <w:tcPr>
            <w:tcW w:type="dxa" w:w="4248"/>
          </w:tcPr>
          <w:p>
            <w:pPr>
              <w:spacing w:before="60" w:after="60"/>
            </w:pPr>
            <w:r/>
            <w:r>
              <w:rPr>
                <w:rFonts w:ascii="Segoe UI" w:hAnsi="Segoe UI"/>
                <w:b w:val="0"/>
                <w:color w:val="3E4E55"/>
                <w:sz w:val="17"/>
              </w:rPr>
              <w:t>Carried the stuck-signal artefact; bounds widened</w:t>
            </w:r>
          </w:p>
        </w:tc>
      </w:tr>
      <w:tr>
        <w:tc>
          <w:tcPr>
            <w:tcW w:type="dxa" w:w="2304"/>
          </w:tcPr>
          <w:p>
            <w:pPr>
              <w:spacing w:before="60" w:after="60"/>
            </w:pPr>
            <w:r/>
            <w:r>
              <w:rPr>
                <w:rFonts w:ascii="Segoe UI" w:hAnsi="Segoe UI"/>
                <w:b/>
                <w:color w:val="101A1E"/>
                <w:sz w:val="17"/>
              </w:rPr>
              <w:t>pitch_angle</w:t>
            </w:r>
          </w:p>
        </w:tc>
        <w:tc>
          <w:tcPr>
            <w:tcW w:type="dxa" w:w="2952"/>
          </w:tcPr>
          <w:p>
            <w:pPr>
              <w:spacing w:before="60" w:after="60"/>
            </w:pPr>
            <w:r/>
            <w:r>
              <w:rPr>
                <w:rFonts w:ascii="Segoe UI" w:hAnsi="Segoe UI"/>
                <w:b w:val="0"/>
                <w:color w:val="3E4E55"/>
                <w:sz w:val="17"/>
              </w:rPr>
              <w:t>Blade angle (pitch position) A (°)</w:t>
            </w:r>
          </w:p>
        </w:tc>
        <w:tc>
          <w:tcPr>
            <w:tcW w:type="dxa" w:w="4248"/>
          </w:tcPr>
          <w:p>
            <w:pPr>
              <w:spacing w:before="60" w:after="60"/>
            </w:pPr>
            <w:r/>
            <w:r>
              <w:rPr>
                <w:rFonts w:ascii="Segoe UI" w:hAnsi="Segoe UI"/>
                <w:b w:val="0"/>
                <w:color w:val="3E4E55"/>
                <w:sz w:val="17"/>
              </w:rPr>
              <w:t>Blade A only; A/B/C assumed to move together under collective pitch</w:t>
            </w:r>
          </w:p>
        </w:tc>
      </w:tr>
      <w:tr>
        <w:tc>
          <w:tcPr>
            <w:tcW w:type="dxa" w:w="2304"/>
          </w:tcPr>
          <w:p>
            <w:pPr>
              <w:spacing w:before="60" w:after="60"/>
            </w:pPr>
            <w:r/>
            <w:r>
              <w:rPr>
                <w:rFonts w:ascii="Segoe UI" w:hAnsi="Segoe UI"/>
                <w:b/>
                <w:color w:val="101A1E"/>
                <w:sz w:val="17"/>
              </w:rPr>
              <w:t>ambient_temperature</w:t>
            </w:r>
          </w:p>
        </w:tc>
        <w:tc>
          <w:tcPr>
            <w:tcW w:type="dxa" w:w="2952"/>
          </w:tcPr>
          <w:p>
            <w:pPr>
              <w:spacing w:before="60" w:after="60"/>
            </w:pPr>
            <w:r/>
            <w:r>
              <w:rPr>
                <w:rFonts w:ascii="Segoe UI" w:hAnsi="Segoe UI"/>
                <w:b w:val="0"/>
                <w:color w:val="3E4E55"/>
                <w:sz w:val="17"/>
              </w:rPr>
              <w:t>Ambient temperature (converter) (°C)</w:t>
            </w:r>
          </w:p>
        </w:tc>
        <w:tc>
          <w:tcPr>
            <w:tcW w:type="dxa" w:w="4248"/>
          </w:tcPr>
          <w:p>
            <w:pPr>
              <w:spacing w:before="60" w:after="60"/>
            </w:pPr>
            <w:r/>
            <w:r>
              <w:rPr>
                <w:rFonts w:ascii="Segoe UI" w:hAnsi="Segoe UI"/>
                <w:b w:val="0"/>
                <w:color w:val="3E4E55"/>
                <w:sz w:val="17"/>
              </w:rPr>
              <w:t>Reads near the converter cabinet, not free air — flagged at mapping approval</w:t>
            </w:r>
          </w:p>
        </w:tc>
      </w:tr>
      <w:tr>
        <w:tc>
          <w:tcPr>
            <w:tcW w:type="dxa" w:w="2304"/>
          </w:tcPr>
          <w:p>
            <w:pPr>
              <w:spacing w:before="60" w:after="60"/>
            </w:pPr>
            <w:r/>
            <w:r>
              <w:rPr>
                <w:rFonts w:ascii="Segoe UI" w:hAnsi="Segoe UI"/>
                <w:b/>
                <w:color w:val="101A1E"/>
                <w:sz w:val="17"/>
              </w:rPr>
              <w:t>nacelle_temperature</w:t>
            </w:r>
          </w:p>
        </w:tc>
        <w:tc>
          <w:tcPr>
            <w:tcW w:type="dxa" w:w="2952"/>
          </w:tcPr>
          <w:p>
            <w:pPr>
              <w:spacing w:before="60" w:after="60"/>
            </w:pPr>
            <w:r/>
            <w:r>
              <w:rPr>
                <w:rFonts w:ascii="Segoe UI" w:hAnsi="Segoe UI"/>
                <w:b w:val="0"/>
                <w:color w:val="3E4E55"/>
                <w:sz w:val="17"/>
              </w:rPr>
              <w:t>Nacelle temperature (°C)</w:t>
            </w:r>
          </w:p>
        </w:tc>
        <w:tc>
          <w:tcPr>
            <w:tcW w:type="dxa" w:w="4248"/>
          </w:tcPr>
          <w:p>
            <w:pPr>
              <w:spacing w:before="60" w:after="60"/>
            </w:pPr>
            <w:r/>
            <w:r>
              <w:rPr>
                <w:rFonts w:ascii="Segoe UI" w:hAnsi="Segoe UI"/>
                <w:b w:val="0"/>
                <w:color w:val="3E4E55"/>
                <w:sz w:val="17"/>
              </w:rPr>
              <w:t>Partially drivetrain-heated; least strictly exogenous — ablated deliberately</w:t>
            </w:r>
          </w:p>
        </w:tc>
      </w:tr>
    </w:tbl>
    <w:p>
      <w:pPr>
        <w:spacing w:after="40"/>
      </w:pPr>
    </w:p>
    <w:p>
      <w:pPr>
        <w:pStyle w:val="Label"/>
      </w:pPr>
      <w:r>
        <w:rPr>
          <w:b w:val="0"/>
          <w:i w:val="0"/>
        </w:rPr>
        <w:t>The guards, and why they exist</w:t>
      </w:r>
    </w:p>
    <w:p>
      <w:r>
        <w:t xml:space="preserve">The rationale is explicitly anti-autoregressive and is correct: an NBM that consumes lagged values of its own target tracks that target through slow fault-driven drift and suppresses exactly the residual signal the system is designed to detect. Thermal-lag awareness is therefore permitted only through lagged or rolled </w:t>
      </w:r>
      <w:r>
        <w:rPr>
          <w:i/>
        </w:rPr>
        <w:t>upstream</w:t>
      </w:r>
      <w:r>
        <w:t xml:space="preserve"> variables.</w:t>
      </w:r>
    </w:p>
    <w:p>
      <w:pPr>
        <w:pStyle w:val="ListBullet"/>
        <w:spacing w:after="80"/>
        <w:ind w:left="547"/>
      </w:pPr>
      <w:r>
        <w:rPr>
          <w:b/>
        </w:rPr>
        <w:t>Guard 1</w:t>
      </w:r>
      <w:r>
        <w:t xml:space="preserve"> — a target may never also be a predictor.</w:t>
      </w:r>
    </w:p>
    <w:p>
      <w:pPr>
        <w:pStyle w:val="ListBullet"/>
        <w:spacing w:after="80"/>
        <w:ind w:left="547"/>
      </w:pPr>
      <w:r>
        <w:rPr>
          <w:b/>
        </w:rPr>
        <w:t>Guard 2</w:t>
      </w:r>
      <w:r>
        <w:t xml:space="preserve"> — lag and difference steps must be strictly positive; rolling windows must be trailing with length ≥2. A non-positive step or a centred window would admit future information at inference time.</w:t>
      </w:r>
    </w:p>
    <w:p>
      <w:pPr>
        <w:pStyle w:val="ListBullet"/>
        <w:spacing w:after="80"/>
        <w:ind w:left="547"/>
      </w:pPr>
      <w:r>
        <w:rPr>
          <w:b/>
        </w:rPr>
        <w:t>Guard 8</w:t>
      </w:r>
      <w:r>
        <w:t xml:space="preserve"> — no target-derived feature of any kind: lag, rolling mean, rolling standard deviation, difference, or elementwise transform. Each transform family produces a distinct error message, and the test suite parametrises negative tests over the transform enum so a newly added family cannot ship without one.</w:t>
      </w:r>
    </w:p>
    <w:p>
      <w:pPr>
        <w:pStyle w:val="ListBullet"/>
        <w:spacing w:after="80"/>
        <w:ind w:left="547"/>
      </w:pPr>
      <w:r>
        <w:rPr>
          <w:b/>
        </w:rPr>
        <w:t>Fail-closed</w:t>
      </w:r>
      <w:r>
        <w:t xml:space="preserve"> — an engineered feature whose declared source cannot be resolved in the canonical schema is rejected. Exogeneity must be provable, never assumed.</w:t>
      </w:r>
    </w:p>
    <w:p>
      <w:r>
        <w:t xml:space="preserve">A notable methodological consequence: a well-known ANN normal-behaviour model from the literature was considered as a baseline and deliberately </w:t>
      </w:r>
      <w:r>
        <w:rPr>
          <w:i/>
        </w:rPr>
        <w:t>not</w:t>
      </w:r>
      <w:r>
        <w:t xml:space="preserve"> reimplemented, because its NARX formulation feeds lagged target temperatures back as inputs and would violate Guard 8. Reimplementing it faithfully would break the constraint; reimplementing it without the lagged terms would no longer be that model. It is cited as motivating precedent rather than reproduced.</w:t>
      </w:r>
    </w:p>
    <w:p>
      <w:pPr>
        <w:pStyle w:val="Label"/>
      </w:pPr>
      <w:r>
        <w:rPr>
          <w:b w:val="0"/>
          <w:i w:val="0"/>
        </w:rPr>
        <w:t>Engineered features: capability present, none used</w:t>
      </w:r>
    </w:p>
    <w:p>
      <w:r>
        <w:t xml:space="preserve">The feature-specification machinery supports lag, rolling mean, rolling standard deviation, difference and elementwise transforms of upstream variables, fully validated. The headline configuration uses </w:t>
      </w:r>
      <w:r>
        <w:rPr>
          <w:b/>
        </w:rPr>
        <w:t>none</w:t>
      </w:r>
      <w:r>
        <w:t xml:space="preserve"> — the feature config is seven raw predictors and two raw targets. No lag structure, no rolling statistics, no interaction terms, no thermal-inertia features are actually computed. Given that gearbox oil temperature has substantial thermal inertia relative to a 10-minute sampling interval, this is a live modelling question rather than an oversight, but nothing in the repository tests whether upstream lag features would improve the NBM.</w:t>
      </w:r>
    </w:p>
    <w:p>
      <w:pPr>
        <w:pStyle w:val="H1x"/>
      </w:pPr>
      <w:r>
        <w:rPr>
          <w:b w:val="0"/>
          <w:i w:val="0"/>
        </w:rPr>
        <w:t>B.2  Target designation</w:t>
      </w:r>
    </w:p>
    <w:p>
      <w:r>
        <w:t xml:space="preserve">Two thermal targets are required by the methodology, but no source column is named as a gearbox bearing temperature. The bearing target was therefore designated by proxy, and the deciding evidence is the </w:t>
      </w:r>
      <w:r>
        <w:rPr>
          <w:b/>
        </w:rPr>
        <w:t>power-bin correlation structure</w:t>
      </w:r>
      <w:r>
        <w:t xml:space="preserve"> rather than overall correlation. This audit re-derived the entire table from the committed evidence JSON (n = 1,733,184 pooled rows) and it reproduces exactly.</w:t>
      </w:r>
    </w:p>
    <w:tbl>
      <w:tblPr>
        <w:tblStyle w:val="TableGrid"/>
        <w:tblW w:type="auto" w:w="0"/>
        <w:jc w:val="left"/>
        <w:tblLook w:firstColumn="1" w:firstRow="1" w:lastColumn="0" w:lastRow="0" w:noHBand="0" w:noVBand="1" w:val="04A0"/>
      </w:tblPr>
      <w:tblGrid>
        <w:gridCol w:w="1843"/>
        <w:gridCol w:w="1843"/>
        <w:gridCol w:w="1843"/>
        <w:gridCol w:w="1843"/>
        <w:gridCol w:w="1843"/>
      </w:tblGrid>
      <w:tr>
        <w:tc>
          <w:tcPr>
            <w:tcW w:type="dxa" w:w="1944"/>
            <w:shd w:val="clear" w:color="auto" w:fill="E7EDEF"/>
          </w:tcPr>
          <w:p>
            <w:pPr>
              <w:spacing w:before="60" w:after="60"/>
            </w:pPr>
            <w:r/>
            <w:r>
              <w:rPr>
                <w:rFonts w:ascii="Segoe UI" w:hAnsi="Segoe UI"/>
                <w:b/>
                <w:color w:val="101A1E"/>
                <w:sz w:val="17"/>
              </w:rPr>
              <w:t>Power bin (kW)</w:t>
            </w:r>
          </w:p>
        </w:tc>
        <w:tc>
          <w:tcPr>
            <w:tcW w:type="dxa" w:w="1656"/>
            <w:shd w:val="clear" w:color="auto" w:fill="E7EDEF"/>
          </w:tcPr>
          <w:p>
            <w:pPr>
              <w:spacing w:before="60" w:after="60"/>
            </w:pPr>
            <w:r/>
            <w:r>
              <w:rPr>
                <w:rFonts w:ascii="Segoe UI" w:hAnsi="Segoe UI"/>
                <w:b/>
                <w:color w:val="101A1E"/>
                <w:sz w:val="17"/>
              </w:rPr>
              <w:t>n rows</w:t>
            </w:r>
          </w:p>
        </w:tc>
        <w:tc>
          <w:tcPr>
            <w:tcW w:type="dxa" w:w="1872"/>
            <w:shd w:val="clear" w:color="auto" w:fill="E7EDEF"/>
          </w:tcPr>
          <w:p>
            <w:pPr>
              <w:spacing w:before="60" w:after="60"/>
            </w:pPr>
            <w:r/>
            <w:r>
              <w:rPr>
                <w:rFonts w:ascii="Segoe UI" w:hAnsi="Segoe UI"/>
                <w:b/>
                <w:color w:val="101A1E"/>
                <w:sz w:val="17"/>
              </w:rPr>
              <w:t>Front bearing r</w:t>
            </w:r>
          </w:p>
        </w:tc>
        <w:tc>
          <w:tcPr>
            <w:tcW w:type="dxa" w:w="1872"/>
            <w:shd w:val="clear" w:color="auto" w:fill="E7EDEF"/>
          </w:tcPr>
          <w:p>
            <w:pPr>
              <w:spacing w:before="60" w:after="60"/>
            </w:pPr>
            <w:r/>
            <w:r>
              <w:rPr>
                <w:rFonts w:ascii="Segoe UI" w:hAnsi="Segoe UI"/>
                <w:b/>
                <w:color w:val="101A1E"/>
                <w:sz w:val="17"/>
              </w:rPr>
              <w:t>Rear bearing r</w:t>
            </w:r>
          </w:p>
        </w:tc>
        <w:tc>
          <w:tcPr>
            <w:tcW w:type="dxa" w:w="1872"/>
            <w:shd w:val="clear" w:color="auto" w:fill="E7EDEF"/>
          </w:tcPr>
          <w:p>
            <w:pPr>
              <w:spacing w:before="60" w:after="60"/>
            </w:pPr>
            <w:r/>
            <w:r>
              <w:rPr>
                <w:rFonts w:ascii="Segoe UI" w:hAnsi="Segoe UI"/>
                <w:b/>
                <w:color w:val="101A1E"/>
                <w:sz w:val="17"/>
              </w:rPr>
              <w:t>Oil inlet r</w:t>
            </w:r>
          </w:p>
        </w:tc>
      </w:tr>
      <w:tr>
        <w:tc>
          <w:tcPr>
            <w:tcW w:type="dxa" w:w="1944"/>
          </w:tcPr>
          <w:p>
            <w:pPr>
              <w:spacing w:before="60" w:after="60"/>
            </w:pPr>
            <w:r/>
            <w:r>
              <w:rPr>
                <w:rFonts w:ascii="Segoe UI" w:hAnsi="Segoe UI"/>
                <w:b/>
                <w:color w:val="101A1E"/>
                <w:sz w:val="17"/>
              </w:rPr>
              <w:t>≤ 0</w:t>
            </w:r>
          </w:p>
        </w:tc>
        <w:tc>
          <w:tcPr>
            <w:tcW w:type="dxa" w:w="1656"/>
          </w:tcPr>
          <w:p>
            <w:pPr>
              <w:spacing w:before="60" w:after="60"/>
            </w:pPr>
            <w:r/>
            <w:r>
              <w:rPr>
                <w:rFonts w:ascii="Segoe UI" w:hAnsi="Segoe UI"/>
                <w:b w:val="0"/>
                <w:color w:val="3E4E55"/>
                <w:sz w:val="17"/>
              </w:rPr>
              <w:t>187,407</w:t>
            </w:r>
          </w:p>
        </w:tc>
        <w:tc>
          <w:tcPr>
            <w:tcW w:type="dxa" w:w="1872"/>
          </w:tcPr>
          <w:p>
            <w:pPr>
              <w:spacing w:before="60" w:after="60"/>
            </w:pPr>
            <w:r/>
            <w:r>
              <w:rPr>
                <w:rFonts w:ascii="Segoe UI" w:hAnsi="Segoe UI"/>
                <w:b w:val="0"/>
                <w:color w:val="3E4E55"/>
                <w:sz w:val="17"/>
              </w:rPr>
              <w:t>0.9886</w:t>
            </w:r>
          </w:p>
        </w:tc>
        <w:tc>
          <w:tcPr>
            <w:tcW w:type="dxa" w:w="1872"/>
          </w:tcPr>
          <w:p>
            <w:pPr>
              <w:spacing w:before="60" w:after="60"/>
            </w:pPr>
            <w:r/>
            <w:r>
              <w:rPr>
                <w:rFonts w:ascii="Segoe UI" w:hAnsi="Segoe UI"/>
                <w:b w:val="0"/>
                <w:color w:val="3E4E55"/>
                <w:sz w:val="17"/>
              </w:rPr>
              <w:t>0.9782</w:t>
            </w:r>
          </w:p>
        </w:tc>
        <w:tc>
          <w:tcPr>
            <w:tcW w:type="dxa" w:w="1872"/>
          </w:tcPr>
          <w:p>
            <w:pPr>
              <w:spacing w:before="60" w:after="60"/>
            </w:pPr>
            <w:r/>
            <w:r>
              <w:rPr>
                <w:rFonts w:ascii="Segoe UI" w:hAnsi="Segoe UI"/>
                <w:b w:val="0"/>
                <w:color w:val="3E4E55"/>
                <w:sz w:val="17"/>
              </w:rPr>
              <w:t>0.9637</w:t>
            </w:r>
          </w:p>
        </w:tc>
      </w:tr>
      <w:tr>
        <w:tc>
          <w:tcPr>
            <w:tcW w:type="dxa" w:w="1944"/>
          </w:tcPr>
          <w:p>
            <w:pPr>
              <w:spacing w:before="60" w:after="60"/>
            </w:pPr>
            <w:r/>
            <w:r>
              <w:rPr>
                <w:rFonts w:ascii="Segoe UI" w:hAnsi="Segoe UI"/>
                <w:b/>
                <w:color w:val="101A1E"/>
                <w:sz w:val="17"/>
              </w:rPr>
              <w:t>0 – 50</w:t>
            </w:r>
          </w:p>
        </w:tc>
        <w:tc>
          <w:tcPr>
            <w:tcW w:type="dxa" w:w="1656"/>
          </w:tcPr>
          <w:p>
            <w:pPr>
              <w:spacing w:before="60" w:after="60"/>
            </w:pPr>
            <w:r/>
            <w:r>
              <w:rPr>
                <w:rFonts w:ascii="Segoe UI" w:hAnsi="Segoe UI"/>
                <w:b w:val="0"/>
                <w:color w:val="3E4E55"/>
                <w:sz w:val="17"/>
              </w:rPr>
              <w:t>107,820</w:t>
            </w:r>
          </w:p>
        </w:tc>
        <w:tc>
          <w:tcPr>
            <w:tcW w:type="dxa" w:w="1872"/>
          </w:tcPr>
          <w:p>
            <w:pPr>
              <w:spacing w:before="60" w:after="60"/>
            </w:pPr>
            <w:r/>
            <w:r>
              <w:rPr>
                <w:rFonts w:ascii="Segoe UI" w:hAnsi="Segoe UI"/>
                <w:b w:val="0"/>
                <w:color w:val="3E4E55"/>
                <w:sz w:val="17"/>
              </w:rPr>
              <w:t>0.9483</w:t>
            </w:r>
          </w:p>
        </w:tc>
        <w:tc>
          <w:tcPr>
            <w:tcW w:type="dxa" w:w="1872"/>
          </w:tcPr>
          <w:p>
            <w:pPr>
              <w:spacing w:before="60" w:after="60"/>
            </w:pPr>
            <w:r/>
            <w:r>
              <w:rPr>
                <w:rFonts w:ascii="Segoe UI" w:hAnsi="Segoe UI"/>
                <w:b w:val="0"/>
                <w:color w:val="3E4E55"/>
                <w:sz w:val="17"/>
              </w:rPr>
              <w:t>0.9426</w:t>
            </w:r>
          </w:p>
        </w:tc>
        <w:tc>
          <w:tcPr>
            <w:tcW w:type="dxa" w:w="1872"/>
          </w:tcPr>
          <w:p>
            <w:pPr>
              <w:spacing w:before="60" w:after="60"/>
            </w:pPr>
            <w:r/>
            <w:r>
              <w:rPr>
                <w:rFonts w:ascii="Segoe UI" w:hAnsi="Segoe UI"/>
                <w:b w:val="0"/>
                <w:color w:val="3E4E55"/>
                <w:sz w:val="17"/>
              </w:rPr>
              <w:t>0.9897</w:t>
            </w:r>
          </w:p>
        </w:tc>
      </w:tr>
      <w:tr>
        <w:tc>
          <w:tcPr>
            <w:tcW w:type="dxa" w:w="1944"/>
          </w:tcPr>
          <w:p>
            <w:pPr>
              <w:spacing w:before="60" w:after="60"/>
            </w:pPr>
            <w:r/>
            <w:r>
              <w:rPr>
                <w:rFonts w:ascii="Segoe UI" w:hAnsi="Segoe UI"/>
                <w:b/>
                <w:color w:val="101A1E"/>
                <w:sz w:val="17"/>
              </w:rPr>
              <w:t>50 – 250</w:t>
            </w:r>
          </w:p>
        </w:tc>
        <w:tc>
          <w:tcPr>
            <w:tcW w:type="dxa" w:w="1656"/>
          </w:tcPr>
          <w:p>
            <w:pPr>
              <w:spacing w:before="60" w:after="60"/>
            </w:pPr>
            <w:r/>
            <w:r>
              <w:rPr>
                <w:rFonts w:ascii="Segoe UI" w:hAnsi="Segoe UI"/>
                <w:b w:val="0"/>
                <w:color w:val="3E4E55"/>
                <w:sz w:val="17"/>
              </w:rPr>
              <w:t>372,887</w:t>
            </w:r>
          </w:p>
        </w:tc>
        <w:tc>
          <w:tcPr>
            <w:tcW w:type="dxa" w:w="1872"/>
          </w:tcPr>
          <w:p>
            <w:pPr>
              <w:spacing w:before="60" w:after="60"/>
            </w:pPr>
            <w:r/>
            <w:r>
              <w:rPr>
                <w:rFonts w:ascii="Segoe UI" w:hAnsi="Segoe UI"/>
                <w:b w:val="0"/>
                <w:color w:val="3E4E55"/>
                <w:sz w:val="17"/>
              </w:rPr>
              <w:t>0.8969</w:t>
            </w:r>
          </w:p>
        </w:tc>
        <w:tc>
          <w:tcPr>
            <w:tcW w:type="dxa" w:w="1872"/>
          </w:tcPr>
          <w:p>
            <w:pPr>
              <w:spacing w:before="60" w:after="60"/>
            </w:pPr>
            <w:r/>
            <w:r>
              <w:rPr>
                <w:rFonts w:ascii="Segoe UI" w:hAnsi="Segoe UI"/>
                <w:b w:val="0"/>
                <w:color w:val="3E4E55"/>
                <w:sz w:val="17"/>
              </w:rPr>
              <w:t>0.9505</w:t>
            </w:r>
          </w:p>
        </w:tc>
        <w:tc>
          <w:tcPr>
            <w:tcW w:type="dxa" w:w="1872"/>
          </w:tcPr>
          <w:p>
            <w:pPr>
              <w:spacing w:before="60" w:after="60"/>
            </w:pPr>
            <w:r/>
            <w:r>
              <w:rPr>
                <w:rFonts w:ascii="Segoe UI" w:hAnsi="Segoe UI"/>
                <w:b w:val="0"/>
                <w:color w:val="3E4E55"/>
                <w:sz w:val="17"/>
              </w:rPr>
              <w:t>0.9752</w:t>
            </w:r>
          </w:p>
        </w:tc>
      </w:tr>
      <w:tr>
        <w:tc>
          <w:tcPr>
            <w:tcW w:type="dxa" w:w="1944"/>
          </w:tcPr>
          <w:p>
            <w:pPr>
              <w:spacing w:before="60" w:after="60"/>
            </w:pPr>
            <w:r/>
            <w:r>
              <w:rPr>
                <w:rFonts w:ascii="Segoe UI" w:hAnsi="Segoe UI"/>
                <w:b/>
                <w:color w:val="101A1E"/>
                <w:sz w:val="17"/>
              </w:rPr>
              <w:t>250 – 500</w:t>
            </w:r>
          </w:p>
        </w:tc>
        <w:tc>
          <w:tcPr>
            <w:tcW w:type="dxa" w:w="1656"/>
          </w:tcPr>
          <w:p>
            <w:pPr>
              <w:spacing w:before="60" w:after="60"/>
            </w:pPr>
            <w:r/>
            <w:r>
              <w:rPr>
                <w:rFonts w:ascii="Segoe UI" w:hAnsi="Segoe UI"/>
                <w:b w:val="0"/>
                <w:color w:val="3E4E55"/>
                <w:sz w:val="17"/>
              </w:rPr>
              <w:t>306,564</w:t>
            </w:r>
          </w:p>
        </w:tc>
        <w:tc>
          <w:tcPr>
            <w:tcW w:type="dxa" w:w="1872"/>
          </w:tcPr>
          <w:p>
            <w:pPr>
              <w:spacing w:before="60" w:after="60"/>
            </w:pPr>
            <w:r/>
            <w:r>
              <w:rPr>
                <w:rFonts w:ascii="Segoe UI" w:hAnsi="Segoe UI"/>
                <w:b w:val="0"/>
                <w:color w:val="3E4E55"/>
                <w:sz w:val="17"/>
              </w:rPr>
              <w:t>0.7447</w:t>
            </w:r>
          </w:p>
        </w:tc>
        <w:tc>
          <w:tcPr>
            <w:tcW w:type="dxa" w:w="1872"/>
          </w:tcPr>
          <w:p>
            <w:pPr>
              <w:spacing w:before="60" w:after="60"/>
            </w:pPr>
            <w:r/>
            <w:r>
              <w:rPr>
                <w:rFonts w:ascii="Segoe UI" w:hAnsi="Segoe UI"/>
                <w:b w:val="0"/>
                <w:color w:val="3E4E55"/>
                <w:sz w:val="17"/>
              </w:rPr>
              <w:t>0.8846</w:t>
            </w:r>
          </w:p>
        </w:tc>
        <w:tc>
          <w:tcPr>
            <w:tcW w:type="dxa" w:w="1872"/>
          </w:tcPr>
          <w:p>
            <w:pPr>
              <w:spacing w:before="60" w:after="60"/>
            </w:pPr>
            <w:r/>
            <w:r>
              <w:rPr>
                <w:rFonts w:ascii="Segoe UI" w:hAnsi="Segoe UI"/>
                <w:b w:val="0"/>
                <w:color w:val="3E4E55"/>
                <w:sz w:val="17"/>
              </w:rPr>
              <w:t>0.7332</w:t>
            </w:r>
          </w:p>
        </w:tc>
      </w:tr>
      <w:tr>
        <w:tc>
          <w:tcPr>
            <w:tcW w:type="dxa" w:w="1944"/>
          </w:tcPr>
          <w:p>
            <w:pPr>
              <w:spacing w:before="60" w:after="60"/>
            </w:pPr>
            <w:r/>
            <w:r>
              <w:rPr>
                <w:rFonts w:ascii="Segoe UI" w:hAnsi="Segoe UI"/>
                <w:b/>
                <w:color w:val="101A1E"/>
                <w:sz w:val="17"/>
              </w:rPr>
              <w:t>500 – 1000</w:t>
            </w:r>
          </w:p>
        </w:tc>
        <w:tc>
          <w:tcPr>
            <w:tcW w:type="dxa" w:w="1656"/>
          </w:tcPr>
          <w:p>
            <w:pPr>
              <w:spacing w:before="60" w:after="60"/>
            </w:pPr>
            <w:r/>
            <w:r>
              <w:rPr>
                <w:rFonts w:ascii="Segoe UI" w:hAnsi="Segoe UI"/>
                <w:b w:val="0"/>
                <w:color w:val="3E4E55"/>
                <w:sz w:val="17"/>
              </w:rPr>
              <w:t>325,666</w:t>
            </w:r>
          </w:p>
        </w:tc>
        <w:tc>
          <w:tcPr>
            <w:tcW w:type="dxa" w:w="1872"/>
          </w:tcPr>
          <w:p>
            <w:pPr>
              <w:spacing w:before="60" w:after="60"/>
            </w:pPr>
            <w:r/>
            <w:r>
              <w:rPr>
                <w:rFonts w:ascii="Segoe UI" w:hAnsi="Segoe UI"/>
                <w:b w:val="0"/>
                <w:color w:val="3E4E55"/>
                <w:sz w:val="17"/>
              </w:rPr>
              <w:t>0.4513</w:t>
            </w:r>
          </w:p>
        </w:tc>
        <w:tc>
          <w:tcPr>
            <w:tcW w:type="dxa" w:w="1872"/>
          </w:tcPr>
          <w:p>
            <w:pPr>
              <w:spacing w:before="60" w:after="60"/>
            </w:pPr>
            <w:r/>
            <w:r>
              <w:rPr>
                <w:rFonts w:ascii="Segoe UI" w:hAnsi="Segoe UI"/>
                <w:b w:val="0"/>
                <w:color w:val="3E4E55"/>
                <w:sz w:val="17"/>
              </w:rPr>
              <w:t>0.8949</w:t>
            </w:r>
          </w:p>
        </w:tc>
        <w:tc>
          <w:tcPr>
            <w:tcW w:type="dxa" w:w="1872"/>
          </w:tcPr>
          <w:p>
            <w:pPr>
              <w:spacing w:before="60" w:after="60"/>
            </w:pPr>
            <w:r/>
            <w:r>
              <w:rPr>
                <w:rFonts w:ascii="Segoe UI" w:hAnsi="Segoe UI"/>
                <w:b w:val="0"/>
                <w:color w:val="3E4E55"/>
                <w:sz w:val="17"/>
              </w:rPr>
              <w:t>0.7198</w:t>
            </w:r>
          </w:p>
        </w:tc>
      </w:tr>
      <w:tr>
        <w:tc>
          <w:tcPr>
            <w:tcW w:type="dxa" w:w="1944"/>
          </w:tcPr>
          <w:p>
            <w:pPr>
              <w:spacing w:before="60" w:after="60"/>
            </w:pPr>
            <w:r/>
            <w:r>
              <w:rPr>
                <w:rFonts w:ascii="Segoe UI" w:hAnsi="Segoe UI"/>
                <w:b/>
                <w:color w:val="101A1E"/>
                <w:sz w:val="17"/>
              </w:rPr>
              <w:t>1000 – 1500</w:t>
            </w:r>
          </w:p>
        </w:tc>
        <w:tc>
          <w:tcPr>
            <w:tcW w:type="dxa" w:w="1656"/>
          </w:tcPr>
          <w:p>
            <w:pPr>
              <w:spacing w:before="60" w:after="60"/>
            </w:pPr>
            <w:r/>
            <w:r>
              <w:rPr>
                <w:rFonts w:ascii="Segoe UI" w:hAnsi="Segoe UI"/>
                <w:b w:val="0"/>
                <w:color w:val="3E4E55"/>
                <w:sz w:val="17"/>
              </w:rPr>
              <w:t>167,005</w:t>
            </w:r>
          </w:p>
        </w:tc>
        <w:tc>
          <w:tcPr>
            <w:tcW w:type="dxa" w:w="1872"/>
          </w:tcPr>
          <w:p>
            <w:pPr>
              <w:spacing w:before="60" w:after="60"/>
            </w:pPr>
            <w:r/>
            <w:r>
              <w:rPr>
                <w:rFonts w:ascii="Segoe UI" w:hAnsi="Segoe UI"/>
                <w:b w:val="0"/>
                <w:color w:val="3E4E55"/>
                <w:sz w:val="17"/>
              </w:rPr>
              <w:t>0.1462</w:t>
            </w:r>
          </w:p>
        </w:tc>
        <w:tc>
          <w:tcPr>
            <w:tcW w:type="dxa" w:w="1872"/>
          </w:tcPr>
          <w:p>
            <w:pPr>
              <w:spacing w:before="60" w:after="60"/>
            </w:pPr>
            <w:r/>
            <w:r>
              <w:rPr>
                <w:rFonts w:ascii="Segoe UI" w:hAnsi="Segoe UI"/>
                <w:b w:val="0"/>
                <w:color w:val="3E4E55"/>
                <w:sz w:val="17"/>
              </w:rPr>
              <w:t>0.9223</w:t>
            </w:r>
          </w:p>
        </w:tc>
        <w:tc>
          <w:tcPr>
            <w:tcW w:type="dxa" w:w="1872"/>
          </w:tcPr>
          <w:p>
            <w:pPr>
              <w:spacing w:before="60" w:after="60"/>
            </w:pPr>
            <w:r/>
            <w:r>
              <w:rPr>
                <w:rFonts w:ascii="Segoe UI" w:hAnsi="Segoe UI"/>
                <w:b w:val="0"/>
                <w:color w:val="3E4E55"/>
                <w:sz w:val="17"/>
              </w:rPr>
              <w:t>0.6262</w:t>
            </w:r>
          </w:p>
        </w:tc>
      </w:tr>
      <w:tr>
        <w:tc>
          <w:tcPr>
            <w:tcW w:type="dxa" w:w="1944"/>
          </w:tcPr>
          <w:p>
            <w:pPr>
              <w:spacing w:before="60" w:after="60"/>
            </w:pPr>
            <w:r/>
            <w:r>
              <w:rPr>
                <w:rFonts w:ascii="Segoe UI" w:hAnsi="Segoe UI"/>
                <w:b/>
                <w:color w:val="101A1E"/>
                <w:sz w:val="17"/>
              </w:rPr>
              <w:t>&gt; 1500</w:t>
            </w:r>
          </w:p>
        </w:tc>
        <w:tc>
          <w:tcPr>
            <w:tcW w:type="dxa" w:w="1656"/>
          </w:tcPr>
          <w:p>
            <w:pPr>
              <w:spacing w:before="60" w:after="60"/>
            </w:pPr>
            <w:r/>
            <w:r>
              <w:rPr>
                <w:rFonts w:ascii="Segoe UI" w:hAnsi="Segoe UI"/>
                <w:b w:val="0"/>
                <w:color w:val="3E4E55"/>
                <w:sz w:val="17"/>
              </w:rPr>
              <w:t>218,882</w:t>
            </w:r>
          </w:p>
        </w:tc>
        <w:tc>
          <w:tcPr>
            <w:tcW w:type="dxa" w:w="1872"/>
          </w:tcPr>
          <w:p>
            <w:pPr>
              <w:spacing w:before="60" w:after="60"/>
            </w:pPr>
            <w:r/>
            <w:r>
              <w:rPr>
                <w:rFonts w:ascii="Segoe UI" w:hAnsi="Segoe UI"/>
                <w:b w:val="0"/>
                <w:color w:val="3E4E55"/>
                <w:sz w:val="17"/>
              </w:rPr>
              <w:t>0.0566</w:t>
            </w:r>
          </w:p>
        </w:tc>
        <w:tc>
          <w:tcPr>
            <w:tcW w:type="dxa" w:w="1872"/>
          </w:tcPr>
          <w:p>
            <w:pPr>
              <w:spacing w:before="60" w:after="60"/>
            </w:pPr>
            <w:r/>
            <w:r>
              <w:rPr>
                <w:rFonts w:ascii="Segoe UI" w:hAnsi="Segoe UI"/>
                <w:b w:val="0"/>
                <w:color w:val="3E4E55"/>
                <w:sz w:val="17"/>
              </w:rPr>
              <w:t>0.9179</w:t>
            </w:r>
          </w:p>
        </w:tc>
        <w:tc>
          <w:tcPr>
            <w:tcW w:type="dxa" w:w="1872"/>
          </w:tcPr>
          <w:p>
            <w:pPr>
              <w:spacing w:before="60" w:after="60"/>
            </w:pPr>
            <w:r/>
            <w:r>
              <w:rPr>
                <w:rFonts w:ascii="Segoe UI" w:hAnsi="Segoe UI"/>
                <w:b w:val="0"/>
                <w:color w:val="3E4E55"/>
                <w:sz w:val="17"/>
              </w:rPr>
              <w:t>0.4476</w:t>
            </w:r>
          </w:p>
        </w:tc>
      </w:tr>
    </w:tbl>
    <w:p>
      <w:pPr>
        <w:spacing w:after="40"/>
      </w:pPr>
    </w:p>
    <w:p>
      <w:r>
        <w:t>Rear bearing holds 0.88–0.98 correlation with gear oil in every power bin. Front bearing collapses from 0.99 at idle to 0.06 above 1500 kW — at rated power, where gearbox thermal faults matter most, it carries essentially no relationship to oil temperature and is evidently measuring a different thermal node. The reasoning is sound and the arithmetic checks out.</w:t>
      </w:r>
    </w:p>
    <w:p>
      <w:r>
        <w:t xml:space="preserve">Gear-oil </w:t>
      </w:r>
      <w:r>
        <w:rPr>
          <w:i/>
        </w:rPr>
        <w:t>inlet</w:t>
      </w:r>
      <w:r>
        <w:t xml:space="preserve"> temperature was excluded as a target on physical grounds: it correlates −0.4164 with active power and its per-bin mean falls monotonically from 53.4 °C to 39.3 °C as load rises, while sump oil stays flat in the 50–57 °C band. It is a cooling-circuit response moving inversely to the quantity of interest.</w:t>
      </w:r>
    </w:p>
    <w:p>
      <w:pPr>
        <w:pStyle w:val="Label"/>
      </w:pPr>
      <w:r>
        <w:rPr>
          <w:b w:val="0"/>
          <w:i w:val="0"/>
        </w:rPr>
        <w:t>The concern this raises</w:t>
      </w:r>
    </w:p>
    <w:p>
      <w:r>
        <w:t xml:space="preserve">The bearing target was selected </w:t>
      </w:r>
      <w:r>
        <w:rPr>
          <w:i/>
        </w:rPr>
        <w:t>because</w:t>
      </w:r>
      <w:r>
        <w:t xml:space="preserve"> it tracks the other target closely. The system's central claim is that coordinated multi-target residual evidence is richer than single-signal evidence, which requires the two signals to carry different information. Nothing in the repository computes the residual-to-residual correlation — the quantity that actually decides this. See finding F-08.</w:t>
      </w:r>
    </w:p>
    <w:p>
      <w:pPr>
        <w:pStyle w:val="H1x"/>
      </w:pPr>
      <w:r>
        <w:rPr>
          <w:b w:val="0"/>
          <w:i w:val="0"/>
        </w:rPr>
        <w:t>B.3  Residual construction</w:t>
      </w:r>
    </w:p>
    <w:p>
      <w:r>
        <w:t xml:space="preserve">Residuals are computed as </w:t>
      </w:r>
      <w:r>
        <w:rPr>
          <w:rFonts w:ascii="Consolas" w:hAnsi="Consolas"/>
          <w:color w:val="3E4E55"/>
          <w:sz w:val="18"/>
        </w:rPr>
        <w:t>actual − predicted</w:t>
      </w:r>
      <w:r>
        <w:t xml:space="preserve"> per thermal target and stored in long format keyed by (timestamp, turbine, target), carrying actual, prediction, raw residual and normalized residual columns.</w:t>
      </w:r>
    </w:p>
    <w:p>
      <w:r>
        <w:t xml:space="preserve">Raw residuals are </w:t>
      </w:r>
      <w:r>
        <w:rPr>
          <w:b/>
        </w:rPr>
        <w:t>write-once</w:t>
      </w:r>
      <w:r>
        <w:t>. The residual frame hands out defensive copies, and normalization produces a new frame whose raw column is re-verified against a stored hash before the new instance is returned. An attempt to rewrite history is a hard stop. This is unusually careful and worth noting as good practice.</w:t>
      </w:r>
    </w:p>
    <w:p>
      <w:r>
        <w:t xml:space="preserve">One design consequence for ML work: residuals are computed for the </w:t>
      </w:r>
      <w:r>
        <w:rPr>
          <w:b/>
        </w:rPr>
        <w:t>thesis model only</w:t>
      </w:r>
      <w:r>
        <w:t>. The baseline model's residuals are never thresholded — it exists purely as an accuracy reference for RQ1, not as a detection pipeline.</w:t>
      </w:r>
    </w:p>
    <w:p>
      <w:pPr>
        <w:pStyle w:val="H1x"/>
      </w:pPr>
      <w:r>
        <w:rPr>
          <w:b w:val="0"/>
          <w:i w:val="0"/>
        </w:rPr>
        <w:t>B.4  Residual normalization</w:t>
      </w:r>
    </w:p>
    <w:p>
      <w:r>
        <w:t>Four normalizer families are implemented, all per-target, with a provenance guard (Guard 4) that refuses statistics fitted on a test or fault partition and records which healthy block produced them.</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1656"/>
            <w:shd w:val="clear" w:color="auto" w:fill="E7EDEF"/>
          </w:tcPr>
          <w:p>
            <w:pPr>
              <w:spacing w:before="60" w:after="60"/>
            </w:pPr>
            <w:r/>
            <w:r>
              <w:rPr>
                <w:rFonts w:ascii="Segoe UI" w:hAnsi="Segoe UI"/>
                <w:b/>
                <w:color w:val="101A1E"/>
                <w:sz w:val="17"/>
              </w:rPr>
              <w:t>Family</w:t>
            </w:r>
          </w:p>
        </w:tc>
        <w:tc>
          <w:tcPr>
            <w:tcW w:type="dxa" w:w="1368"/>
            <w:shd w:val="clear" w:color="auto" w:fill="E7EDEF"/>
          </w:tcPr>
          <w:p>
            <w:pPr>
              <w:spacing w:before="60" w:after="60"/>
            </w:pPr>
            <w:r/>
            <w:r>
              <w:rPr>
                <w:rFonts w:ascii="Segoe UI" w:hAnsi="Segoe UI"/>
                <w:b/>
                <w:color w:val="101A1E"/>
                <w:sz w:val="17"/>
              </w:rPr>
              <w:t>Centre</w:t>
            </w:r>
          </w:p>
        </w:tc>
        <w:tc>
          <w:tcPr>
            <w:tcW w:type="dxa" w:w="2736"/>
            <w:shd w:val="clear" w:color="auto" w:fill="E7EDEF"/>
          </w:tcPr>
          <w:p>
            <w:pPr>
              <w:spacing w:before="60" w:after="60"/>
            </w:pPr>
            <w:r/>
            <w:r>
              <w:rPr>
                <w:rFonts w:ascii="Segoe UI" w:hAnsi="Segoe UI"/>
                <w:b/>
                <w:color w:val="101A1E"/>
                <w:sz w:val="17"/>
              </w:rPr>
              <w:t>Scale</w:t>
            </w:r>
          </w:p>
        </w:tc>
        <w:tc>
          <w:tcPr>
            <w:tcW w:type="dxa" w:w="3456"/>
            <w:shd w:val="clear" w:color="auto" w:fill="E7EDEF"/>
          </w:tcPr>
          <w:p>
            <w:pPr>
              <w:spacing w:before="60" w:after="60"/>
            </w:pPr>
            <w:r/>
            <w:r>
              <w:rPr>
                <w:rFonts w:ascii="Segoe UI" w:hAnsi="Segoe UI"/>
                <w:b/>
                <w:color w:val="101A1E"/>
                <w:sz w:val="17"/>
              </w:rPr>
              <w:t>Status</w:t>
            </w:r>
          </w:p>
        </w:tc>
      </w:tr>
      <w:tr>
        <w:tc>
          <w:tcPr>
            <w:tcW w:type="dxa" w:w="1656"/>
          </w:tcPr>
          <w:p>
            <w:pPr>
              <w:spacing w:before="60" w:after="60"/>
            </w:pPr>
            <w:r/>
            <w:r>
              <w:rPr>
                <w:rFonts w:ascii="Segoe UI" w:hAnsi="Segoe UI"/>
                <w:b/>
                <w:color w:val="101A1E"/>
                <w:sz w:val="17"/>
              </w:rPr>
              <w:t>sigma</w:t>
            </w:r>
          </w:p>
        </w:tc>
        <w:tc>
          <w:tcPr>
            <w:tcW w:type="dxa" w:w="1368"/>
          </w:tcPr>
          <w:p>
            <w:pPr>
              <w:spacing w:before="60" w:after="60"/>
            </w:pPr>
            <w:r/>
            <w:r>
              <w:rPr>
                <w:rFonts w:ascii="Segoe UI" w:hAnsi="Segoe UI"/>
                <w:b w:val="0"/>
                <w:color w:val="3E4E55"/>
                <w:sz w:val="17"/>
              </w:rPr>
              <w:t>mean</w:t>
            </w:r>
          </w:p>
        </w:tc>
        <w:tc>
          <w:tcPr>
            <w:tcW w:type="dxa" w:w="2736"/>
          </w:tcPr>
          <w:p>
            <w:pPr>
              <w:spacing w:before="60" w:after="60"/>
            </w:pPr>
            <w:r/>
            <w:r>
              <w:rPr>
                <w:rFonts w:ascii="Segoe UI" w:hAnsi="Segoe UI"/>
                <w:b w:val="0"/>
                <w:color w:val="3E4E55"/>
                <w:sz w:val="17"/>
              </w:rPr>
              <w:t>standard deviation (ddof=1)</w:t>
            </w:r>
          </w:p>
        </w:tc>
        <w:tc>
          <w:tcPr>
            <w:tcW w:type="dxa" w:w="3456"/>
          </w:tcPr>
          <w:p>
            <w:pPr>
              <w:spacing w:before="60" w:after="60"/>
            </w:pPr>
            <w:r/>
            <w:r>
              <w:rPr>
                <w:rFonts w:ascii="Segoe UI" w:hAnsi="Segoe UI"/>
                <w:b w:val="0"/>
                <w:color w:val="3E4E55"/>
                <w:sz w:val="17"/>
              </w:rPr>
              <w:t>Available</w:t>
            </w:r>
          </w:p>
        </w:tc>
      </w:tr>
      <w:tr>
        <w:tc>
          <w:tcPr>
            <w:tcW w:type="dxa" w:w="1656"/>
          </w:tcPr>
          <w:p>
            <w:pPr>
              <w:spacing w:before="60" w:after="60"/>
            </w:pPr>
            <w:r/>
            <w:r>
              <w:rPr>
                <w:rFonts w:ascii="Segoe UI" w:hAnsi="Segoe UI"/>
                <w:b/>
                <w:color w:val="101A1E"/>
                <w:sz w:val="17"/>
              </w:rPr>
              <w:t>mad</w:t>
            </w:r>
          </w:p>
        </w:tc>
        <w:tc>
          <w:tcPr>
            <w:tcW w:type="dxa" w:w="1368"/>
          </w:tcPr>
          <w:p>
            <w:pPr>
              <w:spacing w:before="60" w:after="60"/>
            </w:pPr>
            <w:r/>
            <w:r>
              <w:rPr>
                <w:rFonts w:ascii="Segoe UI" w:hAnsi="Segoe UI"/>
                <w:b w:val="0"/>
                <w:color w:val="3E4E55"/>
                <w:sz w:val="17"/>
              </w:rPr>
              <w:t>median</w:t>
            </w:r>
          </w:p>
        </w:tc>
        <w:tc>
          <w:tcPr>
            <w:tcW w:type="dxa" w:w="2736"/>
          </w:tcPr>
          <w:p>
            <w:pPr>
              <w:spacing w:before="60" w:after="60"/>
            </w:pPr>
            <w:r/>
            <w:r>
              <w:rPr>
                <w:rFonts w:ascii="Segoe UI" w:hAnsi="Segoe UI"/>
                <w:b w:val="0"/>
                <w:color w:val="3E4E55"/>
                <w:sz w:val="17"/>
              </w:rPr>
              <w:t>1.4826 × median absolute deviation</w:t>
            </w:r>
          </w:p>
        </w:tc>
        <w:tc>
          <w:tcPr>
            <w:tcW w:type="dxa" w:w="3456"/>
          </w:tcPr>
          <w:p>
            <w:pPr>
              <w:spacing w:before="60" w:after="60"/>
            </w:pPr>
            <w:r/>
            <w:r>
              <w:rPr>
                <w:rFonts w:ascii="Segoe UI" w:hAnsi="Segoe UI"/>
                <w:b w:val="0"/>
                <w:color w:val="3E4E55"/>
                <w:sz w:val="17"/>
              </w:rPr>
              <w:t>DEFAULT</w:t>
            </w:r>
          </w:p>
        </w:tc>
      </w:tr>
      <w:tr>
        <w:tc>
          <w:tcPr>
            <w:tcW w:type="dxa" w:w="1656"/>
          </w:tcPr>
          <w:p>
            <w:pPr>
              <w:spacing w:before="60" w:after="60"/>
            </w:pPr>
            <w:r/>
            <w:r>
              <w:rPr>
                <w:rFonts w:ascii="Segoe UI" w:hAnsi="Segoe UI"/>
                <w:b/>
                <w:color w:val="101A1E"/>
                <w:sz w:val="17"/>
              </w:rPr>
              <w:t>percentile</w:t>
            </w:r>
          </w:p>
        </w:tc>
        <w:tc>
          <w:tcPr>
            <w:tcW w:type="dxa" w:w="1368"/>
          </w:tcPr>
          <w:p>
            <w:pPr>
              <w:spacing w:before="60" w:after="60"/>
            </w:pPr>
            <w:r/>
            <w:r>
              <w:rPr>
                <w:rFonts w:ascii="Segoe UI" w:hAnsi="Segoe UI"/>
                <w:b w:val="0"/>
                <w:color w:val="3E4E55"/>
                <w:sz w:val="17"/>
              </w:rPr>
              <w:t>median</w:t>
            </w:r>
          </w:p>
        </w:tc>
        <w:tc>
          <w:tcPr>
            <w:tcW w:type="dxa" w:w="2736"/>
          </w:tcPr>
          <w:p>
            <w:pPr>
              <w:spacing w:before="60" w:after="60"/>
            </w:pPr>
            <w:r/>
            <w:r>
              <w:rPr>
                <w:rFonts w:ascii="Segoe UI" w:hAnsi="Segoe UI"/>
                <w:b w:val="0"/>
                <w:color w:val="3E4E55"/>
                <w:sz w:val="17"/>
              </w:rPr>
              <w:t>(p75 − p25) / 1.349</w:t>
            </w:r>
          </w:p>
        </w:tc>
        <w:tc>
          <w:tcPr>
            <w:tcW w:type="dxa" w:w="3456"/>
          </w:tcPr>
          <w:p>
            <w:pPr>
              <w:spacing w:before="60" w:after="60"/>
            </w:pPr>
            <w:r/>
            <w:r>
              <w:rPr>
                <w:rFonts w:ascii="Segoe UI" w:hAnsi="Segoe UI"/>
                <w:b w:val="0"/>
                <w:color w:val="3E4E55"/>
                <w:sz w:val="17"/>
              </w:rPr>
              <w:t>Available</w:t>
            </w:r>
          </w:p>
        </w:tc>
      </w:tr>
      <w:tr>
        <w:tc>
          <w:tcPr>
            <w:tcW w:type="dxa" w:w="1656"/>
          </w:tcPr>
          <w:p>
            <w:pPr>
              <w:spacing w:before="60" w:after="60"/>
            </w:pPr>
            <w:r/>
            <w:r>
              <w:rPr>
                <w:rFonts w:ascii="Segoe UI" w:hAnsi="Segoe UI"/>
                <w:b/>
                <w:color w:val="101A1E"/>
                <w:sz w:val="17"/>
              </w:rPr>
              <w:t>condition_binned</w:t>
            </w:r>
          </w:p>
        </w:tc>
        <w:tc>
          <w:tcPr>
            <w:tcW w:type="dxa" w:w="1368"/>
          </w:tcPr>
          <w:p>
            <w:pPr>
              <w:spacing w:before="60" w:after="60"/>
            </w:pPr>
            <w:r/>
            <w:r>
              <w:rPr>
                <w:rFonts w:ascii="Segoe UI" w:hAnsi="Segoe UI"/>
                <w:b w:val="0"/>
                <w:color w:val="3E4E55"/>
                <w:sz w:val="17"/>
              </w:rPr>
              <w:t>per-bin median</w:t>
            </w:r>
          </w:p>
        </w:tc>
        <w:tc>
          <w:tcPr>
            <w:tcW w:type="dxa" w:w="2736"/>
          </w:tcPr>
          <w:p>
            <w:pPr>
              <w:spacing w:before="60" w:after="60"/>
            </w:pPr>
            <w:r/>
            <w:r>
              <w:rPr>
                <w:rFonts w:ascii="Segoe UI" w:hAnsi="Segoe UI"/>
                <w:b w:val="0"/>
                <w:color w:val="3E4E55"/>
                <w:sz w:val="17"/>
              </w:rPr>
              <w:t>1.4826 × per-bin MAD, quantile edges, global fallback</w:t>
            </w:r>
          </w:p>
        </w:tc>
        <w:tc>
          <w:tcPr>
            <w:tcW w:type="dxa" w:w="3456"/>
          </w:tcPr>
          <w:p>
            <w:pPr>
              <w:spacing w:before="60" w:after="60"/>
            </w:pPr>
            <w:r/>
            <w:r>
              <w:rPr>
                <w:rFonts w:ascii="Segoe UI" w:hAnsi="Segoe UI"/>
                <w:b w:val="0"/>
                <w:color w:val="3E4E55"/>
                <w:sz w:val="17"/>
              </w:rPr>
              <w:t>Implemented but refused by the runner pending a heteroscedasticity decision</w:t>
            </w:r>
          </w:p>
        </w:tc>
      </w:tr>
    </w:tbl>
    <w:p>
      <w:pPr>
        <w:spacing w:after="40"/>
      </w:pPr>
    </w:p>
    <w:p>
      <w:r>
        <w:t>The 1.4826 and 1.349 factors are the standard normal-consistency constants, correctly applied. Degenerate zero-spread cases raise rather than dividing by zero. The condition-binned variant exists specifically for the case where error spread varies by operating condition — but the diagnostic that would justify selecting it is implemented and wired to nothing (see Part E).</w:t>
      </w:r>
    </w:p>
    <w:p>
      <w:pPr>
        <w:pStyle w:val="Label"/>
      </w:pPr>
      <w:r>
        <w:rPr>
          <w:b w:val="0"/>
          <w:i w:val="0"/>
        </w:rPr>
        <w:t>Critical structural choice</w:t>
      </w:r>
    </w:p>
    <w:p>
      <w:r>
        <w:t xml:space="preserve">Normalization statistics are grouped by </w:t>
      </w:r>
      <w:r>
        <w:rPr>
          <w:b/>
        </w:rPr>
        <w:t>target only</w:t>
      </w:r>
      <w:r>
        <w:t>, never by turbine. One centre and one scale serve all six machines. See finding F-05.</w:t>
      </w:r>
    </w:p>
    <w:p>
      <w:r>
        <w:br w:type="page"/>
      </w:r>
    </w:p>
    <w:p>
      <w:pPr>
        <w:pStyle w:val="PartHead"/>
      </w:pPr>
      <w:r>
        <w:rPr>
          <w:b w:val="0"/>
          <w:i w:val="0"/>
        </w:rPr>
        <w:t>Part C</w:t>
      </w:r>
    </w:p>
    <w:p>
      <w:pPr>
        <w:pStyle w:val="PartSub"/>
      </w:pPr>
      <w:r>
        <w:rPr>
          <w:b w:val="0"/>
          <w:i w:val="0"/>
        </w:rPr>
        <w:t>Machine learning models</w:t>
      </w:r>
    </w:p>
    <w:p>
      <w:pPr>
        <w:pStyle w:val="H1x"/>
      </w:pPr>
      <w:r>
        <w:rPr>
          <w:b w:val="0"/>
          <w:i w:val="0"/>
        </w:rPr>
        <w:t>C.1  Model set and registry</w:t>
      </w:r>
    </w:p>
    <w:p>
      <w:r>
        <w:t>Exactly two models exist, by explicit decision, and the constraint is enforced: a meta-test asserts the registry holds precisely two registrations, one THESIS and one BASELINE, so a third comparator cannot appear without a recorded decision. The registry refuses duplicate names and kind-less registrations by construction.</w:t>
      </w:r>
    </w:p>
    <w:tbl>
      <w:tblPr>
        <w:tblStyle w:val="TableGrid"/>
        <w:tblW w:type="auto" w:w="0"/>
        <w:jc w:val="left"/>
        <w:tblLook w:firstColumn="1" w:firstRow="1" w:lastColumn="0" w:lastRow="0" w:noHBand="0" w:noVBand="1" w:val="04A0"/>
      </w:tblPr>
      <w:tblGrid>
        <w:gridCol w:w="3072"/>
        <w:gridCol w:w="3072"/>
        <w:gridCol w:w="3072"/>
      </w:tblGrid>
      <w:tr>
        <w:tc>
          <w:tcPr>
            <w:tcW w:type="dxa" w:w="2664"/>
            <w:shd w:val="clear" w:color="auto" w:fill="E7EDEF"/>
          </w:tcPr>
          <w:p>
            <w:pPr>
              <w:spacing w:before="60" w:after="60"/>
            </w:pPr>
            <w:r/>
            <w:r>
              <w:rPr>
                <w:rFonts w:ascii="Segoe UI" w:hAnsi="Segoe UI"/>
                <w:b/>
                <w:color w:val="101A1E"/>
                <w:sz w:val="17"/>
              </w:rPr>
              <w:t>Model</w:t>
            </w:r>
          </w:p>
        </w:tc>
        <w:tc>
          <w:tcPr>
            <w:tcW w:type="dxa" w:w="1296"/>
            <w:shd w:val="clear" w:color="auto" w:fill="E7EDEF"/>
          </w:tcPr>
          <w:p>
            <w:pPr>
              <w:spacing w:before="60" w:after="60"/>
            </w:pPr>
            <w:r/>
            <w:r>
              <w:rPr>
                <w:rFonts w:ascii="Segoe UI" w:hAnsi="Segoe UI"/>
                <w:b/>
                <w:color w:val="101A1E"/>
                <w:sz w:val="17"/>
              </w:rPr>
              <w:t>Kind</w:t>
            </w:r>
          </w:p>
        </w:tc>
        <w:tc>
          <w:tcPr>
            <w:tcW w:type="dxa" w:w="5256"/>
            <w:shd w:val="clear" w:color="auto" w:fill="E7EDEF"/>
          </w:tcPr>
          <w:p>
            <w:pPr>
              <w:spacing w:before="60" w:after="60"/>
            </w:pPr>
            <w:r/>
            <w:r>
              <w:rPr>
                <w:rFonts w:ascii="Segoe UI" w:hAnsi="Segoe UI"/>
                <w:b/>
                <w:color w:val="101A1E"/>
                <w:sz w:val="17"/>
              </w:rPr>
              <w:t>Role</w:t>
            </w:r>
          </w:p>
        </w:tc>
      </w:tr>
      <w:tr>
        <w:tc>
          <w:tcPr>
            <w:tcW w:type="dxa" w:w="2664"/>
          </w:tcPr>
          <w:p>
            <w:pPr>
              <w:spacing w:before="60" w:after="60"/>
            </w:pPr>
            <w:r/>
            <w:r>
              <w:rPr>
                <w:rFonts w:ascii="Segoe UI" w:hAnsi="Segoe UI"/>
                <w:b/>
                <w:color w:val="101A1E"/>
                <w:sz w:val="17"/>
              </w:rPr>
              <w:t>XGBoost multi-target</w:t>
            </w:r>
          </w:p>
        </w:tc>
        <w:tc>
          <w:tcPr>
            <w:tcW w:type="dxa" w:w="1296"/>
          </w:tcPr>
          <w:p>
            <w:pPr>
              <w:spacing w:before="60" w:after="60"/>
            </w:pPr>
            <w:r/>
            <w:r>
              <w:rPr>
                <w:rFonts w:ascii="Segoe UI" w:hAnsi="Segoe UI"/>
                <w:b w:val="0"/>
                <w:color w:val="3E4E55"/>
                <w:sz w:val="17"/>
              </w:rPr>
              <w:t>THESIS</w:t>
            </w:r>
          </w:p>
        </w:tc>
        <w:tc>
          <w:tcPr>
            <w:tcW w:type="dxa" w:w="5256"/>
          </w:tcPr>
          <w:p>
            <w:pPr>
              <w:spacing w:before="60" w:after="60"/>
            </w:pPr>
            <w:r/>
            <w:r>
              <w:rPr>
                <w:rFonts w:ascii="Segoe UI" w:hAnsi="Segoe UI"/>
                <w:b w:val="0"/>
                <w:color w:val="3E4E55"/>
                <w:sz w:val="17"/>
              </w:rPr>
              <w:t>The normal behaviour model; the only model whose residuals are thresholded</w:t>
            </w:r>
          </w:p>
        </w:tc>
      </w:tr>
      <w:tr>
        <w:tc>
          <w:tcPr>
            <w:tcW w:type="dxa" w:w="2664"/>
          </w:tcPr>
          <w:p>
            <w:pPr>
              <w:spacing w:before="60" w:after="60"/>
            </w:pPr>
            <w:r/>
            <w:r>
              <w:rPr>
                <w:rFonts w:ascii="Segoe UI" w:hAnsi="Segoe UI"/>
                <w:b/>
                <w:color w:val="101A1E"/>
                <w:sz w:val="17"/>
              </w:rPr>
              <w:t>Multiple linear regression</w:t>
            </w:r>
          </w:p>
        </w:tc>
        <w:tc>
          <w:tcPr>
            <w:tcW w:type="dxa" w:w="1296"/>
          </w:tcPr>
          <w:p>
            <w:pPr>
              <w:spacing w:before="60" w:after="60"/>
            </w:pPr>
            <w:r/>
            <w:r>
              <w:rPr>
                <w:rFonts w:ascii="Segoe UI" w:hAnsi="Segoe UI"/>
                <w:b w:val="0"/>
                <w:color w:val="3E4E55"/>
                <w:sz w:val="17"/>
              </w:rPr>
              <w:t>BASELINE</w:t>
            </w:r>
          </w:p>
        </w:tc>
        <w:tc>
          <w:tcPr>
            <w:tcW w:type="dxa" w:w="5256"/>
          </w:tcPr>
          <w:p>
            <w:pPr>
              <w:spacing w:before="60" w:after="60"/>
            </w:pPr>
            <w:r/>
            <w:r>
              <w:rPr>
                <w:rFonts w:ascii="Segoe UI" w:hAnsi="Segoe UI"/>
                <w:b w:val="0"/>
                <w:color w:val="3E4E55"/>
                <w:sz w:val="17"/>
              </w:rPr>
              <w:t>Accuracy reference only — establishes how much thermal variance is linear in operating conditions versus captured non-linearly</w:t>
            </w:r>
          </w:p>
        </w:tc>
      </w:tr>
    </w:tbl>
    <w:p>
      <w:pPr>
        <w:spacing w:after="40"/>
      </w:pPr>
    </w:p>
    <w:p>
      <w:r>
        <w:t xml:space="preserve">The stated rationale for the baseline is worth recording because it is a better framing than most model comparisons receive: it is a </w:t>
      </w:r>
      <w:r>
        <w:rPr>
          <w:b/>
        </w:rPr>
        <w:t>measuring stick, not a competitor</w:t>
      </w:r>
      <w:r>
        <w:t>. It indicates how much residual spread is irreducible physics rather than modelling error. Linear regression is the minimal reference that does this — no hyperparameters, no architecture decisions, so nothing about the comparison is tunable after the fact, and it contributes zero configurations to the multiple-comparison count.</w:t>
      </w:r>
    </w:p>
    <w:p>
      <w:r>
        <w:t>A LightGBM comparator was considered and omitted on the reasoning that a third model would widen the multiple-comparison surface for no evidential gain. Random Forest and an MLP baseline were both dropped from an earlier plan for the same reason.</w:t>
      </w:r>
    </w:p>
    <w:p>
      <w:pPr>
        <w:pStyle w:val="H1x"/>
      </w:pPr>
      <w:r>
        <w:rPr>
          <w:b w:val="0"/>
          <w:i w:val="0"/>
        </w:rPr>
        <w:t>C.2  XGBoost normal behaviour model</w:t>
      </w:r>
    </w:p>
    <w:tbl>
      <w:tblPr>
        <w:tblStyle w:val="TableGrid"/>
        <w:tblW w:type="auto" w:w="0"/>
        <w:jc w:val="left"/>
        <w:tblLook w:firstColumn="1" w:firstRow="1" w:lastColumn="0" w:lastRow="0" w:noHBand="0" w:noVBand="1" w:val="04A0"/>
      </w:tblPr>
      <w:tblGrid>
        <w:gridCol w:w="3072"/>
        <w:gridCol w:w="3072"/>
        <w:gridCol w:w="3072"/>
      </w:tblGrid>
      <w:tr>
        <w:tc>
          <w:tcPr>
            <w:tcW w:type="dxa" w:w="2160"/>
            <w:shd w:val="clear" w:color="auto" w:fill="E7EDEF"/>
          </w:tcPr>
          <w:p>
            <w:pPr>
              <w:spacing w:before="60" w:after="60"/>
            </w:pPr>
            <w:r/>
            <w:r>
              <w:rPr>
                <w:rFonts w:ascii="Segoe UI" w:hAnsi="Segoe UI"/>
                <w:b/>
                <w:color w:val="101A1E"/>
                <w:sz w:val="17"/>
              </w:rPr>
              <w:t>Setting</w:t>
            </w:r>
          </w:p>
        </w:tc>
        <w:tc>
          <w:tcPr>
            <w:tcW w:type="dxa" w:w="2160"/>
            <w:shd w:val="clear" w:color="auto" w:fill="E7EDEF"/>
          </w:tcPr>
          <w:p>
            <w:pPr>
              <w:spacing w:before="60" w:after="60"/>
            </w:pPr>
            <w:r/>
            <w:r>
              <w:rPr>
                <w:rFonts w:ascii="Segoe UI" w:hAnsi="Segoe UI"/>
                <w:b/>
                <w:color w:val="101A1E"/>
                <w:sz w:val="17"/>
              </w:rPr>
              <w:t>Value</w:t>
            </w:r>
          </w:p>
        </w:tc>
        <w:tc>
          <w:tcPr>
            <w:tcW w:type="dxa" w:w="4896"/>
            <w:shd w:val="clear" w:color="auto" w:fill="E7EDEF"/>
          </w:tcPr>
          <w:p>
            <w:pPr>
              <w:spacing w:before="60" w:after="60"/>
            </w:pPr>
            <w:r/>
            <w:r>
              <w:rPr>
                <w:rFonts w:ascii="Segoe UI" w:hAnsi="Segoe UI"/>
                <w:b/>
                <w:color w:val="101A1E"/>
                <w:sz w:val="17"/>
              </w:rPr>
              <w:t>Rationale / audit note</w:t>
            </w:r>
          </w:p>
        </w:tc>
      </w:tr>
      <w:tr>
        <w:tc>
          <w:tcPr>
            <w:tcW w:type="dxa" w:w="2160"/>
          </w:tcPr>
          <w:p>
            <w:pPr>
              <w:spacing w:before="60" w:after="60"/>
            </w:pPr>
            <w:r/>
            <w:r>
              <w:rPr>
                <w:rFonts w:ascii="Segoe UI" w:hAnsi="Segoe UI"/>
                <w:b/>
                <w:color w:val="101A1E"/>
                <w:sz w:val="17"/>
              </w:rPr>
              <w:t>multi_strategy</w:t>
            </w:r>
          </w:p>
        </w:tc>
        <w:tc>
          <w:tcPr>
            <w:tcW w:type="dxa" w:w="2160"/>
          </w:tcPr>
          <w:p>
            <w:pPr>
              <w:spacing w:before="60" w:after="60"/>
            </w:pPr>
            <w:r/>
            <w:r>
              <w:rPr>
                <w:rFonts w:ascii="Segoe UI" w:hAnsi="Segoe UI"/>
                <w:b w:val="0"/>
                <w:color w:val="3E4E55"/>
                <w:sz w:val="17"/>
              </w:rPr>
              <w:t>multi_output_tree</w:t>
            </w:r>
          </w:p>
        </w:tc>
        <w:tc>
          <w:tcPr>
            <w:tcW w:type="dxa" w:w="4896"/>
          </w:tcPr>
          <w:p>
            <w:pPr>
              <w:spacing w:before="60" w:after="60"/>
            </w:pPr>
            <w:r/>
            <w:r>
              <w:rPr>
                <w:rFonts w:ascii="Segoe UI" w:hAnsi="Segoe UI"/>
                <w:b w:val="0"/>
                <w:color w:val="3E4E55"/>
                <w:sz w:val="17"/>
              </w:rPr>
              <w:t>Genuine native multi-output — one tree set for both thermal targets. One-model-per-target is supported as an ablation mode</w:t>
            </w:r>
          </w:p>
        </w:tc>
      </w:tr>
      <w:tr>
        <w:tc>
          <w:tcPr>
            <w:tcW w:type="dxa" w:w="2160"/>
          </w:tcPr>
          <w:p>
            <w:pPr>
              <w:spacing w:before="60" w:after="60"/>
            </w:pPr>
            <w:r/>
            <w:r>
              <w:rPr>
                <w:rFonts w:ascii="Segoe UI" w:hAnsi="Segoe UI"/>
                <w:b/>
                <w:color w:val="101A1E"/>
                <w:sz w:val="17"/>
              </w:rPr>
              <w:t>tree_method</w:t>
            </w:r>
          </w:p>
        </w:tc>
        <w:tc>
          <w:tcPr>
            <w:tcW w:type="dxa" w:w="2160"/>
          </w:tcPr>
          <w:p>
            <w:pPr>
              <w:spacing w:before="60" w:after="60"/>
            </w:pPr>
            <w:r/>
            <w:r>
              <w:rPr>
                <w:rFonts w:ascii="Segoe UI" w:hAnsi="Segoe UI"/>
                <w:b w:val="0"/>
                <w:color w:val="3E4E55"/>
                <w:sz w:val="17"/>
              </w:rPr>
              <w:t>hist</w:t>
            </w:r>
          </w:p>
        </w:tc>
        <w:tc>
          <w:tcPr>
            <w:tcW w:type="dxa" w:w="4896"/>
          </w:tcPr>
          <w:p>
            <w:pPr>
              <w:spacing w:before="60" w:after="60"/>
            </w:pPr>
            <w:r/>
            <w:r>
              <w:rPr>
                <w:rFonts w:ascii="Segoe UI" w:hAnsi="Segoe UI"/>
                <w:b w:val="0"/>
                <w:color w:val="3E4E55"/>
                <w:sz w:val="17"/>
              </w:rPr>
              <w:t>Required by the multi-output strategy</w:t>
            </w:r>
          </w:p>
        </w:tc>
      </w:tr>
      <w:tr>
        <w:tc>
          <w:tcPr>
            <w:tcW w:type="dxa" w:w="2160"/>
          </w:tcPr>
          <w:p>
            <w:pPr>
              <w:spacing w:before="60" w:after="60"/>
            </w:pPr>
            <w:r/>
            <w:r>
              <w:rPr>
                <w:rFonts w:ascii="Segoe UI" w:hAnsi="Segoe UI"/>
                <w:b/>
                <w:color w:val="101A1E"/>
                <w:sz w:val="17"/>
              </w:rPr>
              <w:t>n_jobs</w:t>
            </w:r>
          </w:p>
        </w:tc>
        <w:tc>
          <w:tcPr>
            <w:tcW w:type="dxa" w:w="2160"/>
          </w:tcPr>
          <w:p>
            <w:pPr>
              <w:spacing w:before="60" w:after="60"/>
            </w:pPr>
            <w:r/>
            <w:r>
              <w:rPr>
                <w:rFonts w:ascii="Segoe UI" w:hAnsi="Segoe UI"/>
                <w:b w:val="0"/>
                <w:color w:val="3E4E55"/>
                <w:sz w:val="17"/>
              </w:rPr>
              <w:t>1</w:t>
            </w:r>
          </w:p>
        </w:tc>
        <w:tc>
          <w:tcPr>
            <w:tcW w:type="dxa" w:w="4896"/>
          </w:tcPr>
          <w:p>
            <w:pPr>
              <w:spacing w:before="60" w:after="60"/>
            </w:pPr>
            <w:r/>
            <w:r>
              <w:rPr>
                <w:rFonts w:ascii="Segoe UI" w:hAnsi="Segoe UI"/>
                <w:b w:val="0"/>
                <w:color w:val="3E4E55"/>
                <w:sz w:val="17"/>
              </w:rPr>
              <w:t>Single-threaded by choice — determinism over speed</w:t>
            </w:r>
          </w:p>
        </w:tc>
      </w:tr>
      <w:tr>
        <w:tc>
          <w:tcPr>
            <w:tcW w:type="dxa" w:w="2160"/>
          </w:tcPr>
          <w:p>
            <w:pPr>
              <w:spacing w:before="60" w:after="60"/>
            </w:pPr>
            <w:r/>
            <w:r>
              <w:rPr>
                <w:rFonts w:ascii="Segoe UI" w:hAnsi="Segoe UI"/>
                <w:b/>
                <w:color w:val="101A1E"/>
                <w:sz w:val="17"/>
              </w:rPr>
              <w:t>random_state</w:t>
            </w:r>
          </w:p>
        </w:tc>
        <w:tc>
          <w:tcPr>
            <w:tcW w:type="dxa" w:w="2160"/>
          </w:tcPr>
          <w:p>
            <w:pPr>
              <w:spacing w:before="60" w:after="60"/>
            </w:pPr>
            <w:r/>
            <w:r>
              <w:rPr>
                <w:rFonts w:ascii="Segoe UI" w:hAnsi="Segoe UI"/>
                <w:b w:val="0"/>
                <w:color w:val="3E4E55"/>
                <w:sz w:val="17"/>
              </w:rPr>
              <w:t>42</w:t>
            </w:r>
          </w:p>
        </w:tc>
        <w:tc>
          <w:tcPr>
            <w:tcW w:type="dxa" w:w="4896"/>
          </w:tcPr>
          <w:p>
            <w:pPr>
              <w:spacing w:before="60" w:after="60"/>
            </w:pPr>
            <w:r/>
            <w:r>
              <w:rPr>
                <w:rFonts w:ascii="Segoe UI" w:hAnsi="Segoe UI"/>
                <w:b w:val="0"/>
                <w:color w:val="3E4E55"/>
                <w:sz w:val="17"/>
              </w:rPr>
              <w:t>One fixed seed for all fits, recorded per candidate</w:t>
            </w:r>
          </w:p>
        </w:tc>
      </w:tr>
      <w:tr>
        <w:tc>
          <w:tcPr>
            <w:tcW w:type="dxa" w:w="2160"/>
          </w:tcPr>
          <w:p>
            <w:pPr>
              <w:spacing w:before="60" w:after="60"/>
            </w:pPr>
            <w:r/>
            <w:r>
              <w:rPr>
                <w:rFonts w:ascii="Segoe UI" w:hAnsi="Segoe UI"/>
                <w:b/>
                <w:color w:val="101A1E"/>
                <w:sz w:val="17"/>
              </w:rPr>
              <w:t>n_estimators</w:t>
            </w:r>
          </w:p>
        </w:tc>
        <w:tc>
          <w:tcPr>
            <w:tcW w:type="dxa" w:w="2160"/>
          </w:tcPr>
          <w:p>
            <w:pPr>
              <w:spacing w:before="60" w:after="60"/>
            </w:pPr>
            <w:r/>
            <w:r>
              <w:rPr>
                <w:rFonts w:ascii="Segoe UI" w:hAnsi="Segoe UI"/>
                <w:b w:val="0"/>
                <w:color w:val="3E4E55"/>
                <w:sz w:val="17"/>
              </w:rPr>
              <w:t>600 (tuning ceiling)</w:t>
            </w:r>
          </w:p>
        </w:tc>
        <w:tc>
          <w:tcPr>
            <w:tcW w:type="dxa" w:w="4896"/>
          </w:tcPr>
          <w:p>
            <w:pPr>
              <w:spacing w:before="60" w:after="60"/>
            </w:pPr>
            <w:r/>
            <w:r>
              <w:rPr>
                <w:rFonts w:ascii="Segoe UI" w:hAnsi="Segoe UI"/>
                <w:b w:val="0"/>
                <w:color w:val="3E4E55"/>
                <w:sz w:val="17"/>
              </w:rPr>
              <w:t>Effective count chosen by early stopping</w:t>
            </w:r>
          </w:p>
        </w:tc>
      </w:tr>
      <w:tr>
        <w:tc>
          <w:tcPr>
            <w:tcW w:type="dxa" w:w="2160"/>
          </w:tcPr>
          <w:p>
            <w:pPr>
              <w:spacing w:before="60" w:after="60"/>
            </w:pPr>
            <w:r/>
            <w:r>
              <w:rPr>
                <w:rFonts w:ascii="Segoe UI" w:hAnsi="Segoe UI"/>
                <w:b/>
                <w:color w:val="101A1E"/>
                <w:sz w:val="17"/>
              </w:rPr>
              <w:t>learning_rate</w:t>
            </w:r>
          </w:p>
        </w:tc>
        <w:tc>
          <w:tcPr>
            <w:tcW w:type="dxa" w:w="2160"/>
          </w:tcPr>
          <w:p>
            <w:pPr>
              <w:spacing w:before="60" w:after="60"/>
            </w:pPr>
            <w:r/>
            <w:r>
              <w:rPr>
                <w:rFonts w:ascii="Segoe UI" w:hAnsi="Segoe UI"/>
                <w:b w:val="0"/>
                <w:color w:val="3E4E55"/>
                <w:sz w:val="17"/>
              </w:rPr>
              <w:t>0.03 or 0.05</w:t>
            </w:r>
          </w:p>
        </w:tc>
        <w:tc>
          <w:tcPr>
            <w:tcW w:type="dxa" w:w="4896"/>
          </w:tcPr>
          <w:p>
            <w:pPr>
              <w:spacing w:before="60" w:after="60"/>
            </w:pPr>
            <w:r/>
            <w:r>
              <w:rPr>
                <w:rFonts w:ascii="Segoe UI" w:hAnsi="Segoe UI"/>
                <w:b w:val="0"/>
                <w:color w:val="3E4E55"/>
                <w:sz w:val="17"/>
              </w:rPr>
              <w:t>Swept</w:t>
            </w:r>
          </w:p>
        </w:tc>
      </w:tr>
      <w:tr>
        <w:tc>
          <w:tcPr>
            <w:tcW w:type="dxa" w:w="2160"/>
          </w:tcPr>
          <w:p>
            <w:pPr>
              <w:spacing w:before="60" w:after="60"/>
            </w:pPr>
            <w:r/>
            <w:r>
              <w:rPr>
                <w:rFonts w:ascii="Segoe UI" w:hAnsi="Segoe UI"/>
                <w:b/>
                <w:color w:val="101A1E"/>
                <w:sz w:val="17"/>
              </w:rPr>
              <w:t>max_depth</w:t>
            </w:r>
          </w:p>
        </w:tc>
        <w:tc>
          <w:tcPr>
            <w:tcW w:type="dxa" w:w="2160"/>
          </w:tcPr>
          <w:p>
            <w:pPr>
              <w:spacing w:before="60" w:after="60"/>
            </w:pPr>
            <w:r/>
            <w:r>
              <w:rPr>
                <w:rFonts w:ascii="Segoe UI" w:hAnsi="Segoe UI"/>
                <w:b w:val="0"/>
                <w:color w:val="3E4E55"/>
                <w:sz w:val="17"/>
              </w:rPr>
              <w:t>4, 6 or 8</w:t>
            </w:r>
          </w:p>
        </w:tc>
        <w:tc>
          <w:tcPr>
            <w:tcW w:type="dxa" w:w="4896"/>
          </w:tcPr>
          <w:p>
            <w:pPr>
              <w:spacing w:before="60" w:after="60"/>
            </w:pPr>
            <w:r/>
            <w:r>
              <w:rPr>
                <w:rFonts w:ascii="Segoe UI" w:hAnsi="Segoe UI"/>
                <w:b w:val="0"/>
                <w:color w:val="3E4E55"/>
                <w:sz w:val="17"/>
              </w:rPr>
              <w:t>Swept</w:t>
            </w:r>
          </w:p>
        </w:tc>
      </w:tr>
      <w:tr>
        <w:tc>
          <w:tcPr>
            <w:tcW w:type="dxa" w:w="2160"/>
          </w:tcPr>
          <w:p>
            <w:pPr>
              <w:spacing w:before="60" w:after="60"/>
            </w:pPr>
            <w:r/>
            <w:r>
              <w:rPr>
                <w:rFonts w:ascii="Segoe UI" w:hAnsi="Segoe UI"/>
                <w:b/>
                <w:color w:val="101A1E"/>
                <w:sz w:val="17"/>
              </w:rPr>
              <w:t>subsample</w:t>
            </w:r>
          </w:p>
        </w:tc>
        <w:tc>
          <w:tcPr>
            <w:tcW w:type="dxa" w:w="2160"/>
          </w:tcPr>
          <w:p>
            <w:pPr>
              <w:spacing w:before="60" w:after="60"/>
            </w:pPr>
            <w:r/>
            <w:r>
              <w:rPr>
                <w:rFonts w:ascii="Segoe UI" w:hAnsi="Segoe UI"/>
                <w:b w:val="0"/>
                <w:color w:val="3E4E55"/>
                <w:sz w:val="17"/>
              </w:rPr>
              <w:t>0.8 or 1.0</w:t>
            </w:r>
          </w:p>
        </w:tc>
        <w:tc>
          <w:tcPr>
            <w:tcW w:type="dxa" w:w="4896"/>
          </w:tcPr>
          <w:p>
            <w:pPr>
              <w:spacing w:before="60" w:after="60"/>
            </w:pPr>
            <w:r/>
            <w:r>
              <w:rPr>
                <w:rFonts w:ascii="Segoe UI" w:hAnsi="Segoe UI"/>
                <w:b w:val="0"/>
                <w:color w:val="3E4E55"/>
                <w:sz w:val="17"/>
              </w:rPr>
              <w:t>Swept</w:t>
            </w:r>
          </w:p>
        </w:tc>
      </w:tr>
      <w:tr>
        <w:tc>
          <w:tcPr>
            <w:tcW w:type="dxa" w:w="2160"/>
          </w:tcPr>
          <w:p>
            <w:pPr>
              <w:spacing w:before="60" w:after="60"/>
            </w:pPr>
            <w:r/>
            <w:r>
              <w:rPr>
                <w:rFonts w:ascii="Segoe UI" w:hAnsi="Segoe UI"/>
                <w:b/>
                <w:color w:val="101A1E"/>
                <w:sz w:val="17"/>
              </w:rPr>
              <w:t>colsample_bytree</w:t>
            </w:r>
          </w:p>
        </w:tc>
        <w:tc>
          <w:tcPr>
            <w:tcW w:type="dxa" w:w="2160"/>
          </w:tcPr>
          <w:p>
            <w:pPr>
              <w:spacing w:before="60" w:after="60"/>
            </w:pPr>
            <w:r/>
            <w:r>
              <w:rPr>
                <w:rFonts w:ascii="Segoe UI" w:hAnsi="Segoe UI"/>
                <w:b w:val="0"/>
                <w:color w:val="3E4E55"/>
                <w:sz w:val="17"/>
              </w:rPr>
              <w:t>0.8</w:t>
            </w:r>
          </w:p>
        </w:tc>
        <w:tc>
          <w:tcPr>
            <w:tcW w:type="dxa" w:w="4896"/>
          </w:tcPr>
          <w:p>
            <w:pPr>
              <w:spacing w:before="60" w:after="60"/>
            </w:pPr>
            <w:r/>
            <w:r>
              <w:rPr>
                <w:rFonts w:ascii="Segoe UI" w:hAnsi="Segoe UI"/>
                <w:b w:val="0"/>
                <w:color w:val="3E4E55"/>
                <w:sz w:val="17"/>
              </w:rPr>
              <w:t>Fixed during tuning</w:t>
            </w:r>
          </w:p>
        </w:tc>
      </w:tr>
      <w:tr>
        <w:tc>
          <w:tcPr>
            <w:tcW w:type="dxa" w:w="2160"/>
          </w:tcPr>
          <w:p>
            <w:pPr>
              <w:spacing w:before="60" w:after="60"/>
            </w:pPr>
            <w:r/>
            <w:r>
              <w:rPr>
                <w:rFonts w:ascii="Segoe UI" w:hAnsi="Segoe UI"/>
                <w:b/>
                <w:color w:val="101A1E"/>
                <w:sz w:val="17"/>
              </w:rPr>
              <w:t>early_stopping_rounds</w:t>
            </w:r>
          </w:p>
        </w:tc>
        <w:tc>
          <w:tcPr>
            <w:tcW w:type="dxa" w:w="2160"/>
          </w:tcPr>
          <w:p>
            <w:pPr>
              <w:spacing w:before="60" w:after="60"/>
            </w:pPr>
            <w:r/>
            <w:r>
              <w:rPr>
                <w:rFonts w:ascii="Segoe UI" w:hAnsi="Segoe UI"/>
                <w:b w:val="0"/>
                <w:color w:val="3E4E55"/>
                <w:sz w:val="17"/>
              </w:rPr>
              <w:t>50</w:t>
            </w:r>
          </w:p>
        </w:tc>
        <w:tc>
          <w:tcPr>
            <w:tcW w:type="dxa" w:w="4896"/>
          </w:tcPr>
          <w:p>
            <w:pPr>
              <w:spacing w:before="60" w:after="60"/>
            </w:pPr>
            <w:r/>
            <w:r>
              <w:rPr>
                <w:rFonts w:ascii="Segoe UI" w:hAnsi="Segoe UI"/>
                <w:b w:val="0"/>
                <w:color w:val="3E4E55"/>
                <w:sz w:val="17"/>
              </w:rPr>
              <w:t>On the healthy validation block</w:t>
            </w:r>
          </w:p>
        </w:tc>
      </w:tr>
    </w:tbl>
    <w:p>
      <w:pPr>
        <w:spacing w:after="40"/>
      </w:pPr>
    </w:p>
    <w:p>
      <w:r>
        <w:t xml:space="preserve">Defaults outside tuning are n_estimators 300, learning_rate 0.05, max_depth 6, subsample 1.0, colsample_bytree 1.0. Persistence uses XGBoost's native </w:t>
      </w:r>
      <w:r>
        <w:rPr>
          <w:rFonts w:ascii="Consolas" w:hAnsi="Consolas"/>
          <w:color w:val="3E4E55"/>
          <w:sz w:val="18"/>
        </w:rPr>
        <w:t>.ubj</w:t>
      </w:r>
      <w:r>
        <w:t xml:space="preserve"> format plus a JSON metadata sidecar carrying targets, hyperparameters, seed, the evaluated-configuration count and the full per-candidate trial records.</w:t>
      </w:r>
    </w:p>
    <w:p>
      <w:pPr>
        <w:pStyle w:val="H1x"/>
      </w:pPr>
      <w:r>
        <w:rPr>
          <w:b w:val="0"/>
          <w:i w:val="0"/>
        </w:rPr>
        <w:t>C.3  Linear baseline</w:t>
      </w:r>
    </w:p>
    <w:p>
      <w:r>
        <w:t>Ordinary least squares via scikit-learn on the same seven exogenous predictors, native multi-output. Deterministic by construction — no stochastic component, so repeated fits are bit-identical regardless of seed. It reports tuning_configurations_evaluated = 0, which is structurally what makes the multiple-comparison accounting honest.</w:t>
      </w:r>
    </w:p>
    <w:p>
      <w:pPr>
        <w:pStyle w:val="H1x"/>
      </w:pPr>
      <w:r>
        <w:rPr>
          <w:b w:val="0"/>
          <w:i w:val="0"/>
        </w:rPr>
        <w:t>C.4  Hyperparameter tuning</w:t>
      </w:r>
    </w:p>
    <w:p>
      <w:r>
        <w:t xml:space="preserve">The first real run was executed </w:t>
      </w:r>
      <w:r>
        <w:rPr>
          <w:b/>
        </w:rPr>
        <w:t>untuned</w:t>
      </w:r>
      <w:r>
        <w:t xml:space="preserve"> on repository defaults. Tuning was subsequently pre-registered with a fixed grid, selection rule and seed policy before it was run.</w:t>
      </w:r>
    </w:p>
    <w:p>
      <w:pPr>
        <w:pStyle w:val="ListBullet"/>
        <w:spacing w:after="80"/>
        <w:ind w:left="547"/>
      </w:pPr>
      <w:r>
        <w:rPr>
          <w:b/>
        </w:rPr>
        <w:t>Grid</w:t>
      </w:r>
      <w:r>
        <w:t xml:space="preserve"> — 12 candidates: max_depth {4, 6, 8} × learning_rate {0.03, 0.05} × subsample {0.8, 1.0}. The swept parameters are those governing generalisation: depth, shrinkage, row subsampling. The grid is deliberately small because the risk being managed is silent multiple comparison on a single validation block, and a 12-candidate budget is defensible where a 200-candidate search would not be.</w:t>
      </w:r>
    </w:p>
    <w:p>
      <w:pPr>
        <w:pStyle w:val="ListBullet"/>
        <w:spacing w:after="80"/>
        <w:ind w:left="547"/>
      </w:pPr>
      <w:r>
        <w:rPr>
          <w:b/>
        </w:rPr>
        <w:t>Selection rule</w:t>
      </w:r>
      <w:r>
        <w:t xml:space="preserve"> — changed from the implemented pooled-RMSE default, which weights targets by error scale and would let oil dominate bearing. The score is the mean of per-target RMSE, each normalised by that target's baseline validation RMSE. Equal target weight, interpretable as mean improvement over baseline. This is a genuine correction of a real flaw and is config-selectable rather than hard-coded.</w:t>
      </w:r>
    </w:p>
    <w:p>
      <w:pPr>
        <w:pStyle w:val="ListBullet"/>
        <w:spacing w:after="80"/>
        <w:ind w:left="547"/>
      </w:pPr>
      <w:r>
        <w:rPr>
          <w:b/>
        </w:rPr>
        <w:t>Seed policy</w:t>
      </w:r>
      <w:r>
        <w:t xml:space="preserve"> — one fixed seed (42) for all tuning fits, recorded per candidate. No seed averaging, on the reasoning that it would multiply the effective comparison count without a corresponding record.</w:t>
      </w:r>
    </w:p>
    <w:p>
      <w:pPr>
        <w:pStyle w:val="ListBullet"/>
        <w:spacing w:after="80"/>
        <w:ind w:left="547"/>
      </w:pPr>
      <w:r>
        <w:rPr>
          <w:b/>
        </w:rPr>
        <w:t>Provenance</w:t>
      </w:r>
      <w:r>
        <w:t xml:space="preserve"> — the grid lives in configuration, so every experiment's resolved config carries the exact search it ran; per-candidate trial records (hyperparameters, seed, score, best iteration) persist in metadata and in the saved model.</w:t>
      </w:r>
    </w:p>
    <w:p>
      <w:pPr>
        <w:pStyle w:val="Label"/>
      </w:pPr>
      <w:r>
        <w:rPr>
          <w:b w:val="0"/>
          <w:i w:val="0"/>
        </w:rPr>
        <w:t>Structural guarantee, and one concern</w:t>
      </w:r>
    </w:p>
    <w:p>
      <w:r>
        <w:t xml:space="preserve">The tuning entry point takes train and validation frames as separate arguments and assembles matrices from them only — there is structurally no parameter through which test data could reach a search. The scored winner's fitted trees are adopted directly, so the model selected </w:t>
      </w:r>
      <w:r>
        <w:rPr>
          <w:i/>
        </w:rPr>
        <w:t>is</w:t>
      </w:r>
      <w:r>
        <w:t xml:space="preserve"> the model used, avoiding a refit-after-selection discrepancy.</w:t>
      </w:r>
    </w:p>
    <w:p>
      <w:r>
        <w:t>The concern: early stopping runs on the same validation block that scores each candidate. The block therefore serves three functions simultaneously — selecting the effective tree count, scoring the candidates, and (under one open configuration branch) providing threshold statistics. The project acknowledges the resulting optimism by designating a different partition as the accuracy headline, but the double use within tuning itself is not separately noted.</w:t>
      </w:r>
    </w:p>
    <w:p>
      <w:pPr>
        <w:pStyle w:val="H1x"/>
      </w:pPr>
      <w:r>
        <w:rPr>
          <w:b w:val="0"/>
          <w:i w:val="0"/>
        </w:rPr>
        <w:t>C.5  Accuracy metrics</w:t>
      </w:r>
    </w:p>
    <w:p>
      <w:r>
        <w:t xml:space="preserve">Exactly four metrics per target: RMSE, MAE, R² and bias. MAPE is </w:t>
      </w:r>
      <w:r>
        <w:rPr>
          <w:b/>
        </w:rPr>
        <w:t>structurally absent</w:t>
      </w:r>
      <w:r>
        <w:t xml:space="preserve"> — the metric set exposes no field for it and a meta-test AST-parses the metrics module to assert no identifier computes or names it. The reasoning is correct and worth repeating: Celsius is an interval scale, so percentage error relative to °C has no meaningful zero and is unstable near 0 °C.</w:t>
      </w:r>
    </w:p>
    <w:tbl>
      <w:tblPr>
        <w:tblStyle w:val="TableGrid"/>
        <w:tblW w:type="auto" w:w="0"/>
        <w:jc w:val="left"/>
        <w:tblLook w:firstColumn="1" w:firstRow="1" w:lastColumn="0" w:lastRow="0" w:noHBand="0" w:noVBand="1" w:val="04A0"/>
      </w:tblPr>
      <w:tblGrid>
        <w:gridCol w:w="4608"/>
        <w:gridCol w:w="4608"/>
      </w:tblGrid>
      <w:tr>
        <w:tc>
          <w:tcPr>
            <w:tcW w:type="dxa" w:w="1440"/>
            <w:shd w:val="clear" w:color="auto" w:fill="E7EDEF"/>
          </w:tcPr>
          <w:p>
            <w:pPr>
              <w:spacing w:before="60" w:after="60"/>
            </w:pPr>
            <w:r/>
            <w:r>
              <w:rPr>
                <w:rFonts w:ascii="Segoe UI" w:hAnsi="Segoe UI"/>
                <w:b/>
                <w:color w:val="101A1E"/>
                <w:sz w:val="17"/>
              </w:rPr>
              <w:t>Metric</w:t>
            </w:r>
          </w:p>
        </w:tc>
        <w:tc>
          <w:tcPr>
            <w:tcW w:type="dxa" w:w="7776"/>
            <w:shd w:val="clear" w:color="auto" w:fill="E7EDEF"/>
          </w:tcPr>
          <w:p>
            <w:pPr>
              <w:spacing w:before="60" w:after="60"/>
            </w:pPr>
            <w:r/>
            <w:r>
              <w:rPr>
                <w:rFonts w:ascii="Segoe UI" w:hAnsi="Segoe UI"/>
                <w:b/>
                <w:color w:val="101A1E"/>
                <w:sz w:val="17"/>
              </w:rPr>
              <w:t>Definition as implemented</w:t>
            </w:r>
          </w:p>
        </w:tc>
      </w:tr>
      <w:tr>
        <w:tc>
          <w:tcPr>
            <w:tcW w:type="dxa" w:w="1440"/>
          </w:tcPr>
          <w:p>
            <w:pPr>
              <w:spacing w:before="60" w:after="60"/>
            </w:pPr>
            <w:r/>
            <w:r>
              <w:rPr>
                <w:rFonts w:ascii="Segoe UI" w:hAnsi="Segoe UI"/>
                <w:b/>
                <w:color w:val="101A1E"/>
                <w:sz w:val="17"/>
              </w:rPr>
              <w:t>RMSE</w:t>
            </w:r>
          </w:p>
        </w:tc>
        <w:tc>
          <w:tcPr>
            <w:tcW w:type="dxa" w:w="7776"/>
          </w:tcPr>
          <w:p>
            <w:pPr>
              <w:spacing w:before="60" w:after="60"/>
            </w:pPr>
            <w:r/>
            <w:r>
              <w:rPr>
                <w:rFonts w:ascii="Segoe UI" w:hAnsi="Segoe UI"/>
                <w:b w:val="0"/>
                <w:color w:val="3E4E55"/>
                <w:sz w:val="17"/>
              </w:rPr>
              <w:t>sqrt(mean((predicted − actual)²))</w:t>
            </w:r>
          </w:p>
        </w:tc>
      </w:tr>
      <w:tr>
        <w:tc>
          <w:tcPr>
            <w:tcW w:type="dxa" w:w="1440"/>
          </w:tcPr>
          <w:p>
            <w:pPr>
              <w:spacing w:before="60" w:after="60"/>
            </w:pPr>
            <w:r/>
            <w:r>
              <w:rPr>
                <w:rFonts w:ascii="Segoe UI" w:hAnsi="Segoe UI"/>
                <w:b/>
                <w:color w:val="101A1E"/>
                <w:sz w:val="17"/>
              </w:rPr>
              <w:t>MAE</w:t>
            </w:r>
          </w:p>
        </w:tc>
        <w:tc>
          <w:tcPr>
            <w:tcW w:type="dxa" w:w="7776"/>
          </w:tcPr>
          <w:p>
            <w:pPr>
              <w:spacing w:before="60" w:after="60"/>
            </w:pPr>
            <w:r/>
            <w:r>
              <w:rPr>
                <w:rFonts w:ascii="Segoe UI" w:hAnsi="Segoe UI"/>
                <w:b w:val="0"/>
                <w:color w:val="3E4E55"/>
                <w:sz w:val="17"/>
              </w:rPr>
              <w:t>mean(|predicted − actual|)</w:t>
            </w:r>
          </w:p>
        </w:tc>
      </w:tr>
      <w:tr>
        <w:tc>
          <w:tcPr>
            <w:tcW w:type="dxa" w:w="1440"/>
          </w:tcPr>
          <w:p>
            <w:pPr>
              <w:spacing w:before="60" w:after="60"/>
            </w:pPr>
            <w:r/>
            <w:r>
              <w:rPr>
                <w:rFonts w:ascii="Segoe UI" w:hAnsi="Segoe UI"/>
                <w:b/>
                <w:color w:val="101A1E"/>
                <w:sz w:val="17"/>
              </w:rPr>
              <w:t>R²</w:t>
            </w:r>
          </w:p>
        </w:tc>
        <w:tc>
          <w:tcPr>
            <w:tcW w:type="dxa" w:w="7776"/>
          </w:tcPr>
          <w:p>
            <w:pPr>
              <w:spacing w:before="60" w:after="60"/>
            </w:pPr>
            <w:r/>
            <w:r>
              <w:rPr>
                <w:rFonts w:ascii="Segoe UI" w:hAnsi="Segoe UI"/>
                <w:b w:val="0"/>
                <w:color w:val="3E4E55"/>
                <w:sz w:val="17"/>
              </w:rPr>
              <w:t>1 − Σ(actual − predicted)² / Σ(actual − mean(actual))²; NaN when total sum of squares is zero</w:t>
            </w:r>
          </w:p>
        </w:tc>
      </w:tr>
      <w:tr>
        <w:tc>
          <w:tcPr>
            <w:tcW w:type="dxa" w:w="1440"/>
          </w:tcPr>
          <w:p>
            <w:pPr>
              <w:spacing w:before="60" w:after="60"/>
            </w:pPr>
            <w:r/>
            <w:r>
              <w:rPr>
                <w:rFonts w:ascii="Segoe UI" w:hAnsi="Segoe UI"/>
                <w:b/>
                <w:color w:val="101A1E"/>
                <w:sz w:val="17"/>
              </w:rPr>
              <w:t>bias</w:t>
            </w:r>
          </w:p>
        </w:tc>
        <w:tc>
          <w:tcPr>
            <w:tcW w:type="dxa" w:w="7776"/>
          </w:tcPr>
          <w:p>
            <w:pPr>
              <w:spacing w:before="60" w:after="60"/>
            </w:pPr>
            <w:r/>
            <w:r>
              <w:rPr>
                <w:rFonts w:ascii="Segoe UI" w:hAnsi="Segoe UI"/>
                <w:b w:val="0"/>
                <w:color w:val="3E4E55"/>
                <w:sz w:val="17"/>
              </w:rPr>
              <w:t>mean(predicted − actual) — but see finding F-14</w:t>
            </w:r>
          </w:p>
        </w:tc>
      </w:tr>
    </w:tbl>
    <w:p>
      <w:pPr>
        <w:spacing w:after="40"/>
      </w:pPr>
    </w:p>
    <w:p>
      <w:r>
        <w:t xml:space="preserve">Condition-sliced diagnostics are also implemented — per-bin error metrics along active power, wind speed and ambient temperature, with the ambient slice doubling as the seasonal-shift diagnostic. This is the heteroscedasticity check that would justify or reject condition-binned normalization. </w:t>
      </w:r>
      <w:r>
        <w:rPr>
          <w:b/>
        </w:rPr>
        <w:t>No script calls it</w:t>
      </w:r>
      <w:r>
        <w:t>, so the evidence is never generated.</w:t>
      </w:r>
    </w:p>
    <w:p>
      <w:r>
        <w:br w:type="page"/>
      </w:r>
    </w:p>
    <w:p>
      <w:pPr>
        <w:pStyle w:val="PartHead"/>
      </w:pPr>
      <w:r>
        <w:rPr>
          <w:b w:val="0"/>
          <w:i w:val="0"/>
        </w:rPr>
        <w:t>Part D</w:t>
      </w:r>
    </w:p>
    <w:p>
      <w:pPr>
        <w:pStyle w:val="PartSub"/>
      </w:pPr>
      <w:r>
        <w:rPr>
          <w:b w:val="0"/>
          <w:i w:val="0"/>
        </w:rPr>
        <w:t>Training pipeline</w:t>
      </w:r>
    </w:p>
    <w:p>
      <w:pPr>
        <w:pStyle w:val="H1x"/>
      </w:pPr>
      <w:r>
        <w:rPr>
          <w:b w:val="0"/>
          <w:i w:val="0"/>
        </w:rPr>
        <w:t>D.1  Stage order</w:t>
      </w:r>
    </w:p>
    <w:p>
      <w:r>
        <w:t>The orchestrator executes a fixed sequence from one resolved configuration. Guards fire before any file is opened, and nothing is persisted unless the whole pipeline succeeds — a guard failure aborts with no partial artefacts, which a test verifies by asserting an empty experiment list after a deliberate violation.</w:t>
      </w:r>
    </w:p>
    <w:p>
      <w:pPr>
        <w:pStyle w:val="ListNumber"/>
        <w:spacing w:after="80"/>
        <w:ind w:left="547"/>
      </w:pPr>
      <w:r>
        <w:t>Causal-separation validation (Guards 1, 2, 8) and split-policy validation (Guard 3) — before any I/O.</w:t>
      </w:r>
    </w:p>
    <w:p>
      <w:pPr>
        <w:pStyle w:val="ListNumber"/>
        <w:spacing w:after="80"/>
        <w:ind w:left="547"/>
      </w:pPr>
      <w:r>
        <w:t>Ingest, with provenance capture and deduplication.</w:t>
      </w:r>
    </w:p>
    <w:p>
      <w:pPr>
        <w:pStyle w:val="ListNumber"/>
        <w:spacing w:after="80"/>
        <w:ind w:left="547"/>
      </w:pPr>
      <w:r>
        <w:t>Validate — produces the dataset report; never mutates.</w:t>
      </w:r>
    </w:p>
    <w:p>
      <w:pPr>
        <w:pStyle w:val="ListNumber"/>
        <w:spacing w:after="80"/>
        <w:ind w:left="547"/>
      </w:pPr>
      <w:r>
        <w:t>Clean — the four registered operations, each audited.</w:t>
      </w:r>
    </w:p>
    <w:p>
      <w:pPr>
        <w:pStyle w:val="ListNumber"/>
        <w:spacing w:after="80"/>
        <w:ind w:left="547"/>
      </w:pPr>
      <w:r>
        <w:t>Chronological split with seasonal coverage reporting.</w:t>
      </w:r>
    </w:p>
    <w:p>
      <w:pPr>
        <w:pStyle w:val="ListNumber"/>
        <w:spacing w:after="80"/>
        <w:ind w:left="547"/>
      </w:pPr>
      <w:r>
        <w:t>Healthy-state construction, applied to the train and validation periods only.</w:t>
      </w:r>
    </w:p>
    <w:p>
      <w:pPr>
        <w:pStyle w:val="ListNumber"/>
        <w:spacing w:after="80"/>
        <w:ind w:left="547"/>
      </w:pPr>
      <w:r>
        <w:t>Fit baseline first (the tuning selection rule divides by its per-target validation RMSE), then tune and fit the thesis model.</w:t>
      </w:r>
    </w:p>
    <w:p>
      <w:pPr>
        <w:pStyle w:val="ListNumber"/>
        <w:spacing w:after="80"/>
        <w:ind w:left="547"/>
      </w:pPr>
      <w:r>
        <w:t>Predict all partitions, including training — because one open configuration branch fits threshold statistics there.</w:t>
      </w:r>
    </w:p>
    <w:p>
      <w:pPr>
        <w:pStyle w:val="ListNumber"/>
        <w:spacing w:after="80"/>
        <w:ind w:left="547"/>
      </w:pPr>
      <w:r>
        <w:t>Compute residuals, normalize (Guard 4 fires here), fit EWMA control limits, characterise in-control behaviour, detect on the full unfiltered monitoring stream.</w:t>
      </w:r>
    </w:p>
    <w:p>
      <w:pPr>
        <w:pStyle w:val="ListNumber"/>
        <w:spacing w:after="80"/>
        <w:ind w:left="547"/>
      </w:pPr>
      <w:r>
        <w:t>Compute the healthy-filtered monitoring slice for accuracy reporting — after detection, subsetting already-computed predictions, feeding nothing back.</w:t>
      </w:r>
    </w:p>
    <w:p>
      <w:pPr>
        <w:pStyle w:val="ListNumber"/>
        <w:spacing w:after="80"/>
        <w:ind w:left="547"/>
      </w:pPr>
      <w:r>
        <w:t>Persist: metadata, resolved config, metrics, models, predictions, residuals, reports, run log.</w:t>
      </w:r>
    </w:p>
    <w:p>
      <w:pPr>
        <w:pStyle w:val="H1x"/>
      </w:pPr>
      <w:r>
        <w:rPr>
          <w:b w:val="0"/>
          <w:i w:val="0"/>
        </w:rPr>
        <w:t>D.2  Guard inventory</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864"/>
            <w:shd w:val="clear" w:color="auto" w:fill="E7EDEF"/>
          </w:tcPr>
          <w:p>
            <w:pPr>
              <w:spacing w:before="60" w:after="60"/>
            </w:pPr>
            <w:r/>
            <w:r>
              <w:rPr>
                <w:rFonts w:ascii="Segoe UI" w:hAnsi="Segoe UI"/>
                <w:b/>
                <w:color w:val="101A1E"/>
                <w:sz w:val="17"/>
              </w:rPr>
              <w:t>Guard</w:t>
            </w:r>
          </w:p>
        </w:tc>
        <w:tc>
          <w:tcPr>
            <w:tcW w:type="dxa" w:w="2736"/>
            <w:shd w:val="clear" w:color="auto" w:fill="E7EDEF"/>
          </w:tcPr>
          <w:p>
            <w:pPr>
              <w:spacing w:before="60" w:after="60"/>
            </w:pPr>
            <w:r/>
            <w:r>
              <w:rPr>
                <w:rFonts w:ascii="Segoe UI" w:hAnsi="Segoe UI"/>
                <w:b/>
                <w:color w:val="101A1E"/>
                <w:sz w:val="17"/>
              </w:rPr>
              <w:t>Enforces</w:t>
            </w:r>
          </w:p>
        </w:tc>
        <w:tc>
          <w:tcPr>
            <w:tcW w:type="dxa" w:w="3312"/>
            <w:shd w:val="clear" w:color="auto" w:fill="E7EDEF"/>
          </w:tcPr>
          <w:p>
            <w:pPr>
              <w:spacing w:before="60" w:after="60"/>
            </w:pPr>
            <w:r/>
            <w:r>
              <w:rPr>
                <w:rFonts w:ascii="Segoe UI" w:hAnsi="Segoe UI"/>
                <w:b/>
                <w:color w:val="101A1E"/>
                <w:sz w:val="17"/>
              </w:rPr>
              <w:t>Mechanism</w:t>
            </w:r>
          </w:p>
        </w:tc>
        <w:tc>
          <w:tcPr>
            <w:tcW w:type="dxa" w:w="2304"/>
            <w:shd w:val="clear" w:color="auto" w:fill="E7EDEF"/>
          </w:tcPr>
          <w:p>
            <w:pPr>
              <w:spacing w:before="60" w:after="60"/>
            </w:pPr>
            <w:r/>
            <w:r>
              <w:rPr>
                <w:rFonts w:ascii="Segoe UI" w:hAnsi="Segoe UI"/>
                <w:b/>
                <w:color w:val="101A1E"/>
                <w:sz w:val="17"/>
              </w:rPr>
              <w:t>Failure mode</w:t>
            </w:r>
          </w:p>
        </w:tc>
      </w:tr>
      <w:tr>
        <w:tc>
          <w:tcPr>
            <w:tcW w:type="dxa" w:w="864"/>
          </w:tcPr>
          <w:p>
            <w:pPr>
              <w:spacing w:before="60" w:after="60"/>
            </w:pPr>
            <w:r/>
            <w:r>
              <w:rPr>
                <w:rFonts w:ascii="Segoe UI" w:hAnsi="Segoe UI"/>
                <w:b/>
                <w:color w:val="101A1E"/>
                <w:sz w:val="17"/>
              </w:rPr>
              <w:t>1</w:t>
            </w:r>
          </w:p>
        </w:tc>
        <w:tc>
          <w:tcPr>
            <w:tcW w:type="dxa" w:w="2736"/>
          </w:tcPr>
          <w:p>
            <w:pPr>
              <w:spacing w:before="60" w:after="60"/>
            </w:pPr>
            <w:r/>
            <w:r>
              <w:rPr>
                <w:rFonts w:ascii="Segoe UI" w:hAnsi="Segoe UI"/>
                <w:b w:val="0"/>
                <w:color w:val="3E4E55"/>
                <w:sz w:val="17"/>
              </w:rPr>
              <w:t>Target may not be a predictor</w:t>
            </w:r>
          </w:p>
        </w:tc>
        <w:tc>
          <w:tcPr>
            <w:tcW w:type="dxa" w:w="3312"/>
          </w:tcPr>
          <w:p>
            <w:pPr>
              <w:spacing w:before="60" w:after="60"/>
            </w:pPr>
            <w:r/>
            <w:r>
              <w:rPr>
                <w:rFonts w:ascii="Segoe UI" w:hAnsi="Segoe UI"/>
                <w:b w:val="0"/>
                <w:color w:val="3E4E55"/>
                <w:sz w:val="17"/>
              </w:rPr>
              <w:t>Feature config validator</w:t>
            </w:r>
          </w:p>
        </w:tc>
        <w:tc>
          <w:tcPr>
            <w:tcW w:type="dxa" w:w="2304"/>
          </w:tcPr>
          <w:p>
            <w:pPr>
              <w:spacing w:before="60" w:after="60"/>
            </w:pPr>
            <w:r/>
            <w:r>
              <w:rPr>
                <w:rFonts w:ascii="Segoe UI" w:hAnsi="Segoe UI"/>
                <w:b w:val="0"/>
                <w:color w:val="3E4E55"/>
                <w:sz w:val="17"/>
              </w:rPr>
              <w:t>Raises</w:t>
            </w:r>
          </w:p>
        </w:tc>
      </w:tr>
      <w:tr>
        <w:tc>
          <w:tcPr>
            <w:tcW w:type="dxa" w:w="864"/>
          </w:tcPr>
          <w:p>
            <w:pPr>
              <w:spacing w:before="60" w:after="60"/>
            </w:pPr>
            <w:r/>
            <w:r>
              <w:rPr>
                <w:rFonts w:ascii="Segoe UI" w:hAnsi="Segoe UI"/>
                <w:b/>
                <w:color w:val="101A1E"/>
                <w:sz w:val="17"/>
              </w:rPr>
              <w:t>2</w:t>
            </w:r>
          </w:p>
        </w:tc>
        <w:tc>
          <w:tcPr>
            <w:tcW w:type="dxa" w:w="2736"/>
          </w:tcPr>
          <w:p>
            <w:pPr>
              <w:spacing w:before="60" w:after="60"/>
            </w:pPr>
            <w:r/>
            <w:r>
              <w:rPr>
                <w:rFonts w:ascii="Segoe UI" w:hAnsi="Segoe UI"/>
                <w:b w:val="0"/>
                <w:color w:val="3E4E55"/>
                <w:sz w:val="17"/>
              </w:rPr>
              <w:t>No future information in features</w:t>
            </w:r>
          </w:p>
        </w:tc>
        <w:tc>
          <w:tcPr>
            <w:tcW w:type="dxa" w:w="3312"/>
          </w:tcPr>
          <w:p>
            <w:pPr>
              <w:spacing w:before="60" w:after="60"/>
            </w:pPr>
            <w:r/>
            <w:r>
              <w:rPr>
                <w:rFonts w:ascii="Segoe UI" w:hAnsi="Segoe UI"/>
                <w:b w:val="0"/>
                <w:color w:val="3E4E55"/>
                <w:sz w:val="17"/>
              </w:rPr>
              <w:t>Lag/window parameter checks</w:t>
            </w:r>
          </w:p>
        </w:tc>
        <w:tc>
          <w:tcPr>
            <w:tcW w:type="dxa" w:w="2304"/>
          </w:tcPr>
          <w:p>
            <w:pPr>
              <w:spacing w:before="60" w:after="60"/>
            </w:pPr>
            <w:r/>
            <w:r>
              <w:rPr>
                <w:rFonts w:ascii="Segoe UI" w:hAnsi="Segoe UI"/>
                <w:b w:val="0"/>
                <w:color w:val="3E4E55"/>
                <w:sz w:val="17"/>
              </w:rPr>
              <w:t>Raises</w:t>
            </w:r>
          </w:p>
        </w:tc>
      </w:tr>
      <w:tr>
        <w:tc>
          <w:tcPr>
            <w:tcW w:type="dxa" w:w="864"/>
          </w:tcPr>
          <w:p>
            <w:pPr>
              <w:spacing w:before="60" w:after="60"/>
            </w:pPr>
            <w:r/>
            <w:r>
              <w:rPr>
                <w:rFonts w:ascii="Segoe UI" w:hAnsi="Segoe UI"/>
                <w:b/>
                <w:color w:val="101A1E"/>
                <w:sz w:val="17"/>
              </w:rPr>
              <w:t>3</w:t>
            </w:r>
          </w:p>
        </w:tc>
        <w:tc>
          <w:tcPr>
            <w:tcW w:type="dxa" w:w="2736"/>
          </w:tcPr>
          <w:p>
            <w:pPr>
              <w:spacing w:before="60" w:after="60"/>
            </w:pPr>
            <w:r/>
            <w:r>
              <w:rPr>
                <w:rFonts w:ascii="Segoe UI" w:hAnsi="Segoe UI"/>
                <w:b w:val="0"/>
                <w:color w:val="3E4E55"/>
                <w:sz w:val="17"/>
              </w:rPr>
              <w:t>No random splits on thesis runs</w:t>
            </w:r>
          </w:p>
        </w:tc>
        <w:tc>
          <w:tcPr>
            <w:tcW w:type="dxa" w:w="3312"/>
          </w:tcPr>
          <w:p>
            <w:pPr>
              <w:spacing w:before="60" w:after="60"/>
            </w:pPr>
            <w:r/>
            <w:r>
              <w:rPr>
                <w:rFonts w:ascii="Segoe UI" w:hAnsi="Segoe UI"/>
                <w:b w:val="0"/>
                <w:color w:val="3E4E55"/>
                <w:sz w:val="17"/>
              </w:rPr>
              <w:t>Split policy guard</w:t>
            </w:r>
          </w:p>
        </w:tc>
        <w:tc>
          <w:tcPr>
            <w:tcW w:type="dxa" w:w="2304"/>
          </w:tcPr>
          <w:p>
            <w:pPr>
              <w:spacing w:before="60" w:after="60"/>
            </w:pPr>
            <w:r/>
            <w:r>
              <w:rPr>
                <w:rFonts w:ascii="Segoe UI" w:hAnsi="Segoe UI"/>
                <w:b w:val="0"/>
                <w:color w:val="3E4E55"/>
                <w:sz w:val="17"/>
              </w:rPr>
              <w:t>Raises</w:t>
            </w:r>
          </w:p>
        </w:tc>
      </w:tr>
      <w:tr>
        <w:tc>
          <w:tcPr>
            <w:tcW w:type="dxa" w:w="864"/>
          </w:tcPr>
          <w:p>
            <w:pPr>
              <w:spacing w:before="60" w:after="60"/>
            </w:pPr>
            <w:r/>
            <w:r>
              <w:rPr>
                <w:rFonts w:ascii="Segoe UI" w:hAnsi="Segoe UI"/>
                <w:b/>
                <w:color w:val="101A1E"/>
                <w:sz w:val="17"/>
              </w:rPr>
              <w:t>4</w:t>
            </w:r>
          </w:p>
        </w:tc>
        <w:tc>
          <w:tcPr>
            <w:tcW w:type="dxa" w:w="2736"/>
          </w:tcPr>
          <w:p>
            <w:pPr>
              <w:spacing w:before="60" w:after="60"/>
            </w:pPr>
            <w:r/>
            <w:r>
              <w:rPr>
                <w:rFonts w:ascii="Segoe UI" w:hAnsi="Segoe UI"/>
                <w:b w:val="0"/>
                <w:color w:val="3E4E55"/>
                <w:sz w:val="17"/>
              </w:rPr>
              <w:t>Threshold statistics from healthy partitions only</w:t>
            </w:r>
          </w:p>
        </w:tc>
        <w:tc>
          <w:tcPr>
            <w:tcW w:type="dxa" w:w="3312"/>
          </w:tcPr>
          <w:p>
            <w:pPr>
              <w:spacing w:before="60" w:after="60"/>
            </w:pPr>
            <w:r/>
            <w:r>
              <w:rPr>
                <w:rFonts w:ascii="Segoe UI" w:hAnsi="Segoe UI"/>
                <w:b w:val="0"/>
                <w:color w:val="3E4E55"/>
                <w:sz w:val="17"/>
              </w:rPr>
              <w:t>Provenance guard at every normalizer and control-limit fit</w:t>
            </w:r>
          </w:p>
        </w:tc>
        <w:tc>
          <w:tcPr>
            <w:tcW w:type="dxa" w:w="2304"/>
          </w:tcPr>
          <w:p>
            <w:pPr>
              <w:spacing w:before="60" w:after="60"/>
            </w:pPr>
            <w:r/>
            <w:r>
              <w:rPr>
                <w:rFonts w:ascii="Segoe UI" w:hAnsi="Segoe UI"/>
                <w:b w:val="0"/>
                <w:color w:val="3E4E55"/>
                <w:sz w:val="17"/>
              </w:rPr>
              <w:t>Raises</w:t>
            </w:r>
          </w:p>
        </w:tc>
      </w:tr>
      <w:tr>
        <w:tc>
          <w:tcPr>
            <w:tcW w:type="dxa" w:w="864"/>
          </w:tcPr>
          <w:p>
            <w:pPr>
              <w:spacing w:before="60" w:after="60"/>
            </w:pPr>
            <w:r/>
            <w:r>
              <w:rPr>
                <w:rFonts w:ascii="Segoe UI" w:hAnsi="Segoe UI"/>
                <w:b/>
                <w:color w:val="101A1E"/>
                <w:sz w:val="17"/>
              </w:rPr>
              <w:t>5</w:t>
            </w:r>
          </w:p>
        </w:tc>
        <w:tc>
          <w:tcPr>
            <w:tcW w:type="dxa" w:w="2736"/>
          </w:tcPr>
          <w:p>
            <w:pPr>
              <w:spacing w:before="60" w:after="60"/>
            </w:pPr>
            <w:r/>
            <w:r>
              <w:rPr>
                <w:rFonts w:ascii="Segoe UI" w:hAnsi="Segoe UI"/>
                <w:b w:val="0"/>
                <w:color w:val="3E4E55"/>
                <w:sz w:val="17"/>
              </w:rPr>
              <w:t>No known failure interval in the healthy set</w:t>
            </w:r>
          </w:p>
        </w:tc>
        <w:tc>
          <w:tcPr>
            <w:tcW w:type="dxa" w:w="3312"/>
          </w:tcPr>
          <w:p>
            <w:pPr>
              <w:spacing w:before="60" w:after="60"/>
            </w:pPr>
            <w:r/>
            <w:r>
              <w:rPr>
                <w:rFonts w:ascii="Segoe UI" w:hAnsi="Segoe UI"/>
                <w:b w:val="0"/>
                <w:color w:val="3E4E55"/>
                <w:sz w:val="17"/>
              </w:rPr>
              <w:t>Window-match check</w:t>
            </w:r>
          </w:p>
        </w:tc>
        <w:tc>
          <w:tcPr>
            <w:tcW w:type="dxa" w:w="2304"/>
          </w:tcPr>
          <w:p>
            <w:pPr>
              <w:spacing w:before="60" w:after="60"/>
            </w:pPr>
            <w:r/>
            <w:r>
              <w:rPr>
                <w:rFonts w:ascii="Segoe UI" w:hAnsi="Segoe UI"/>
                <w:b w:val="0"/>
                <w:color w:val="3E4E55"/>
                <w:sz w:val="17"/>
              </w:rPr>
              <w:t>WARNING finding</w:t>
            </w:r>
          </w:p>
        </w:tc>
      </w:tr>
      <w:tr>
        <w:tc>
          <w:tcPr>
            <w:tcW w:type="dxa" w:w="864"/>
          </w:tcPr>
          <w:p>
            <w:pPr>
              <w:spacing w:before="60" w:after="60"/>
            </w:pPr>
            <w:r/>
            <w:r>
              <w:rPr>
                <w:rFonts w:ascii="Segoe UI" w:hAnsi="Segoe UI"/>
                <w:b/>
                <w:color w:val="101A1E"/>
                <w:sz w:val="17"/>
              </w:rPr>
              <w:t>8</w:t>
            </w:r>
          </w:p>
        </w:tc>
        <w:tc>
          <w:tcPr>
            <w:tcW w:type="dxa" w:w="2736"/>
          </w:tcPr>
          <w:p>
            <w:pPr>
              <w:spacing w:before="60" w:after="60"/>
            </w:pPr>
            <w:r/>
            <w:r>
              <w:rPr>
                <w:rFonts w:ascii="Segoe UI" w:hAnsi="Segoe UI"/>
                <w:b w:val="0"/>
                <w:color w:val="3E4E55"/>
                <w:sz w:val="17"/>
              </w:rPr>
              <w:t>No target-derived features</w:t>
            </w:r>
          </w:p>
        </w:tc>
        <w:tc>
          <w:tcPr>
            <w:tcW w:type="dxa" w:w="3312"/>
          </w:tcPr>
          <w:p>
            <w:pPr>
              <w:spacing w:before="60" w:after="60"/>
            </w:pPr>
            <w:r/>
            <w:r>
              <w:rPr>
                <w:rFonts w:ascii="Segoe UI" w:hAnsi="Segoe UI"/>
                <w:b w:val="0"/>
                <w:color w:val="3E4E55"/>
                <w:sz w:val="17"/>
              </w:rPr>
              <w:t>Transform-family validation, fail-closed on unresolvable sources</w:t>
            </w:r>
          </w:p>
        </w:tc>
        <w:tc>
          <w:tcPr>
            <w:tcW w:type="dxa" w:w="2304"/>
          </w:tcPr>
          <w:p>
            <w:pPr>
              <w:spacing w:before="60" w:after="60"/>
            </w:pPr>
            <w:r/>
            <w:r>
              <w:rPr>
                <w:rFonts w:ascii="Segoe UI" w:hAnsi="Segoe UI"/>
                <w:b w:val="0"/>
                <w:color w:val="3E4E55"/>
                <w:sz w:val="17"/>
              </w:rPr>
              <w:t>Raises</w:t>
            </w:r>
          </w:p>
        </w:tc>
      </w:tr>
    </w:tbl>
    <w:p>
      <w:pPr>
        <w:spacing w:after="40"/>
      </w:pPr>
    </w:p>
    <w:p>
      <w:r>
        <w:t>Guards 1, 2, 3, 4 and 8 are recorded as attestations in every experiment's metadata, alongside the threshold-statistics source actually used.</w:t>
      </w:r>
    </w:p>
    <w:p>
      <w:pPr>
        <w:pStyle w:val="H1x"/>
      </w:pPr>
      <w:r>
        <w:rPr>
          <w:b w:val="0"/>
          <w:i w:val="0"/>
        </w:rPr>
        <w:t>D.3  Partition semantics</w:t>
      </w:r>
    </w:p>
    <w:p>
      <w:r>
        <w:t xml:space="preserve">The distinction the pipeline maintains most carefully is between the </w:t>
      </w:r>
      <w:r>
        <w:rPr>
          <w:b/>
        </w:rPr>
        <w:t>detection stream</w:t>
      </w:r>
      <w:r>
        <w:t xml:space="preserve"> and the </w:t>
      </w:r>
      <w:r>
        <w:rPr>
          <w:b/>
        </w:rPr>
        <w:t>accuracy slice</w:t>
      </w:r>
      <w:r>
        <w:t>.</w:t>
      </w:r>
    </w:p>
    <w:p>
      <w:pPr>
        <w:pStyle w:val="ListBullet"/>
        <w:spacing w:after="80"/>
        <w:ind w:left="547"/>
      </w:pPr>
      <w:r>
        <w:t>Detection, residual generation, EWMA and all downstream evaluation run on the FULL unfiltered monitoring partition. Anomalous rows there are the signal being monitored and are never excluded.</w:t>
      </w:r>
    </w:p>
    <w:p>
      <w:pPr>
        <w:pStyle w:val="ListBullet"/>
        <w:spacing w:after="80"/>
        <w:ind w:left="547"/>
      </w:pPr>
      <w:r>
        <w:t>Accuracy reporting uses a healthy-filtered subset of the same period — the same healthy criteria applied to train and validation, applied to the monitoring period. This is the only construction that is both healthy by consistent criteria and wholly untouched by fitting or selection.</w:t>
      </w:r>
    </w:p>
    <w:p>
      <w:r>
        <w:t>Partition integrity is enforced structurally rather than by convention: the slice is computed after the detection stages, subsets the already-computed test predictions (models are never re-run), feeds nothing back, and a test asserts that the detection path consumed every unfiltered monitoring row while the slice excluded the event-window rows. This is exactly the right way to build such a separation.</w:t>
      </w:r>
    </w:p>
    <w:p>
      <w:pPr>
        <w:pStyle w:val="H1x"/>
      </w:pPr>
      <w:r>
        <w:rPr>
          <w:b w:val="0"/>
          <w:i w:val="0"/>
        </w:rPr>
        <w:t>D.4  Determinism and seeding</w:t>
      </w:r>
    </w:p>
    <w:p>
      <w:pPr>
        <w:pStyle w:val="ListBullet"/>
        <w:spacing w:after="80"/>
        <w:ind w:left="547"/>
      </w:pPr>
      <w:r>
        <w:t>A single model seed (42) is recorded in every experiment's metadata and passed to every fit.</w:t>
      </w:r>
    </w:p>
    <w:p>
      <w:pPr>
        <w:pStyle w:val="ListBullet"/>
        <w:spacing w:after="80"/>
        <w:ind w:left="547"/>
      </w:pPr>
      <w:r>
        <w:t>XGBoost runs single-threaded specifically so repeated fits with identical configuration and seed are bit-identical.</w:t>
      </w:r>
    </w:p>
    <w:p>
      <w:pPr>
        <w:pStyle w:val="ListBullet"/>
        <w:spacing w:after="80"/>
        <w:ind w:left="547"/>
      </w:pPr>
      <w:r>
        <w:t>The bootstrap carries its own seed and replicate count in every confidence interval it produces.</w:t>
      </w:r>
    </w:p>
    <w:p>
      <w:pPr>
        <w:pStyle w:val="ListBullet"/>
        <w:spacing w:after="80"/>
        <w:ind w:left="547"/>
      </w:pPr>
      <w:r>
        <w:t>A test asserts that two pipeline runs on identical inputs produce identical metrics.</w:t>
      </w:r>
    </w:p>
    <w:p>
      <w:pPr>
        <w:pStyle w:val="ListBullet"/>
        <w:spacing w:after="80"/>
        <w:ind w:left="547"/>
      </w:pPr>
      <w:r>
        <w:t>The resolved configuration is hashed with SHA-256 over canonical sorted JSON, so configuration identity is stable across YAML key order and formatting.</w:t>
      </w:r>
    </w:p>
    <w:p>
      <w:pPr>
        <w:pStyle w:val="H1x"/>
      </w:pPr>
      <w:r>
        <w:rPr>
          <w:b w:val="0"/>
          <w:i w:val="0"/>
        </w:rPr>
        <w:t>D.5  What the training pipeline does not do</w:t>
      </w:r>
    </w:p>
    <w:p>
      <w:pPr>
        <w:pStyle w:val="ListBullet"/>
        <w:spacing w:after="80"/>
        <w:ind w:left="547"/>
      </w:pPr>
      <w:r>
        <w:t xml:space="preserve">No cross-validation or rolling-origin evaluation. Rolling-origin was deliberately declined on the reasoning that it refits across folds and therefore answers how well the </w:t>
      </w:r>
      <w:r>
        <w:rPr>
          <w:i/>
        </w:rPr>
        <w:t>method</w:t>
      </w:r>
      <w:r>
        <w:t xml:space="preserve"> generalises, not how well </w:t>
      </w:r>
      <w:r>
        <w:rPr>
          <w:i/>
        </w:rPr>
        <w:t>this model</w:t>
      </w:r>
      <w:r>
        <w:t xml:space="preserve"> represents healthy behaviour.</w:t>
      </w:r>
    </w:p>
    <w:p>
      <w:pPr>
        <w:pStyle w:val="ListBullet"/>
        <w:spacing w:after="80"/>
        <w:ind w:left="547"/>
      </w:pPr>
      <w:r>
        <w:t>No feature scaling or standardisation of predictors — unnecessary for trees, and the linear baseline is unaffected in fit quality though its coefficients are not comparable across variables.</w:t>
      </w:r>
    </w:p>
    <w:p>
      <w:pPr>
        <w:pStyle w:val="ListBullet"/>
        <w:spacing w:after="80"/>
        <w:ind w:left="547"/>
      </w:pPr>
      <w:r>
        <w:t>No class balancing, resampling or augmentation — the task is regression on healthy data, so none applies.</w:t>
      </w:r>
    </w:p>
    <w:p>
      <w:pPr>
        <w:pStyle w:val="ListBullet"/>
        <w:spacing w:after="80"/>
        <w:ind w:left="547"/>
      </w:pPr>
      <w:r>
        <w:t>No engineered features are computed, despite full support for them.</w:t>
      </w:r>
    </w:p>
    <w:p>
      <w:pPr>
        <w:pStyle w:val="ListBullet"/>
        <w:spacing w:after="80"/>
        <w:ind w:left="547"/>
      </w:pPr>
      <w:r>
        <w:t>No per-turbine models, and no turbine identity as a feature. All six machines share one model and one set of residual statistics.</w:t>
      </w:r>
    </w:p>
    <w:p>
      <w:pPr>
        <w:pStyle w:val="ListBullet"/>
        <w:spacing w:after="80"/>
        <w:ind w:left="547"/>
      </w:pPr>
      <w:r>
        <w:t>No coordinated-state construction, event evaluation, matched false-alarm comparison or interpretation inside the reproducible pipeline — all of it lives in scripts. See finding F-16.</w:t>
      </w:r>
    </w:p>
    <w:p>
      <w:r>
        <w:br w:type="page"/>
      </w:r>
    </w:p>
    <w:p>
      <w:pPr>
        <w:pStyle w:val="PartHead"/>
      </w:pPr>
      <w:r>
        <w:rPr>
          <w:b w:val="0"/>
          <w:i w:val="0"/>
        </w:rPr>
        <w:t>Part E</w:t>
      </w:r>
    </w:p>
    <w:p>
      <w:pPr>
        <w:pStyle w:val="PartSub"/>
      </w:pPr>
      <w:r>
        <w:rPr>
          <w:b w:val="0"/>
          <w:i w:val="0"/>
        </w:rPr>
        <w:t>Evaluation methodology and statistics</w:t>
      </w:r>
    </w:p>
    <w:p>
      <w:pPr>
        <w:pStyle w:val="H1x"/>
      </w:pPr>
      <w:r>
        <w:rPr>
          <w:b w:val="0"/>
          <w:i w:val="0"/>
        </w:rPr>
        <w:t>E.1  Three-period accuracy reporting</w:t>
      </w:r>
    </w:p>
    <w:p>
      <w:r>
        <w:t>Accuracy is reported on three explicitly labelled periods rather than one, on the reasoning that reporting all three with labels is more honest than reporting one, and that the gap between them is itself a result.</w:t>
      </w:r>
    </w:p>
    <w:tbl>
      <w:tblPr>
        <w:tblStyle w:val="TableGrid"/>
        <w:tblW w:type="auto" w:w="0"/>
        <w:jc w:val="left"/>
        <w:tblLook w:firstColumn="1" w:firstRow="1" w:lastColumn="0" w:lastRow="0" w:noHBand="0" w:noVBand="1" w:val="04A0"/>
      </w:tblPr>
      <w:tblGrid>
        <w:gridCol w:w="3072"/>
        <w:gridCol w:w="3072"/>
        <w:gridCol w:w="3072"/>
      </w:tblGrid>
      <w:tr>
        <w:tc>
          <w:tcPr>
            <w:tcW w:type="dxa" w:w="2520"/>
            <w:shd w:val="clear" w:color="auto" w:fill="E7EDEF"/>
          </w:tcPr>
          <w:p>
            <w:pPr>
              <w:spacing w:before="60" w:after="60"/>
            </w:pPr>
            <w:r/>
            <w:r>
              <w:rPr>
                <w:rFonts w:ascii="Segoe UI" w:hAnsi="Segoe UI"/>
                <w:b/>
                <w:color w:val="101A1E"/>
                <w:sz w:val="17"/>
              </w:rPr>
              <w:t>Period</w:t>
            </w:r>
          </w:p>
        </w:tc>
        <w:tc>
          <w:tcPr>
            <w:tcW w:type="dxa" w:w="4392"/>
            <w:shd w:val="clear" w:color="auto" w:fill="E7EDEF"/>
          </w:tcPr>
          <w:p>
            <w:pPr>
              <w:spacing w:before="60" w:after="60"/>
            </w:pPr>
            <w:r/>
            <w:r>
              <w:rPr>
                <w:rFonts w:ascii="Segoe UI" w:hAnsi="Segoe UI"/>
                <w:b/>
                <w:color w:val="101A1E"/>
                <w:sz w:val="17"/>
              </w:rPr>
              <w:t>Label carried in metrics</w:t>
            </w:r>
          </w:p>
        </w:tc>
        <w:tc>
          <w:tcPr>
            <w:tcW w:type="dxa" w:w="2304"/>
            <w:shd w:val="clear" w:color="auto" w:fill="E7EDEF"/>
          </w:tcPr>
          <w:p>
            <w:pPr>
              <w:spacing w:before="60" w:after="60"/>
            </w:pPr>
            <w:r/>
            <w:r>
              <w:rPr>
                <w:rFonts w:ascii="Segoe UI" w:hAnsi="Segoe UI"/>
                <w:b/>
                <w:color w:val="101A1E"/>
                <w:sz w:val="17"/>
              </w:rPr>
              <w:t>Status</w:t>
            </w:r>
          </w:p>
        </w:tc>
      </w:tr>
      <w:tr>
        <w:tc>
          <w:tcPr>
            <w:tcW w:type="dxa" w:w="2520"/>
          </w:tcPr>
          <w:p>
            <w:pPr>
              <w:spacing w:before="60" w:after="60"/>
            </w:pPr>
            <w:r/>
            <w:r>
              <w:rPr>
                <w:rFonts w:ascii="Segoe UI" w:hAnsi="Segoe UI"/>
                <w:b/>
                <w:color w:val="101A1E"/>
                <w:sz w:val="17"/>
              </w:rPr>
              <w:t>Healthy validation</w:t>
            </w:r>
          </w:p>
        </w:tc>
        <w:tc>
          <w:tcPr>
            <w:tcW w:type="dxa" w:w="4392"/>
          </w:tcPr>
          <w:p>
            <w:pPr>
              <w:spacing w:before="60" w:after="60"/>
            </w:pPr>
            <w:r/>
            <w:r>
              <w:rPr>
                <w:rFonts w:ascii="Segoe UI" w:hAnsi="Segoe UI"/>
                <w:b w:val="0"/>
                <w:color w:val="3E4E55"/>
                <w:sz w:val="17"/>
              </w:rPr>
              <w:t>"selection-biased after tuning"</w:t>
            </w:r>
          </w:p>
        </w:tc>
        <w:tc>
          <w:tcPr>
            <w:tcW w:type="dxa" w:w="2304"/>
          </w:tcPr>
          <w:p>
            <w:pPr>
              <w:spacing w:before="60" w:after="60"/>
            </w:pPr>
            <w:r/>
            <w:r>
              <w:rPr>
                <w:rFonts w:ascii="Segoe UI" w:hAnsi="Segoe UI"/>
                <w:b w:val="0"/>
                <w:color w:val="3E4E55"/>
                <w:sz w:val="17"/>
              </w:rPr>
              <w:t>Reported for context</w:t>
            </w:r>
          </w:p>
        </w:tc>
      </w:tr>
      <w:tr>
        <w:tc>
          <w:tcPr>
            <w:tcW w:type="dxa" w:w="2520"/>
          </w:tcPr>
          <w:p>
            <w:pPr>
              <w:spacing w:before="60" w:after="60"/>
            </w:pPr>
            <w:r/>
            <w:r>
              <w:rPr>
                <w:rFonts w:ascii="Segoe UI" w:hAnsi="Segoe UI"/>
                <w:b/>
                <w:color w:val="101A1E"/>
                <w:sz w:val="17"/>
              </w:rPr>
              <w:t>Healthy-filtered monitoring slice</w:t>
            </w:r>
          </w:p>
        </w:tc>
        <w:tc>
          <w:tcPr>
            <w:tcW w:type="dxa" w:w="4392"/>
          </w:tcPr>
          <w:p>
            <w:pPr>
              <w:spacing w:before="60" w:after="60"/>
            </w:pPr>
            <w:r/>
            <w:r>
              <w:rPr>
                <w:rFonts w:ascii="Segoe UI" w:hAnsi="Segoe UI"/>
                <w:b w:val="0"/>
                <w:color w:val="3E4E55"/>
                <w:sz w:val="17"/>
              </w:rPr>
              <w:t>"HEADLINE"</w:t>
            </w:r>
          </w:p>
        </w:tc>
        <w:tc>
          <w:tcPr>
            <w:tcW w:type="dxa" w:w="2304"/>
          </w:tcPr>
          <w:p>
            <w:pPr>
              <w:spacing w:before="60" w:after="60"/>
            </w:pPr>
            <w:r/>
            <w:r>
              <w:rPr>
                <w:rFonts w:ascii="Segoe UI" w:hAnsi="Segoe UI"/>
                <w:b w:val="0"/>
                <w:color w:val="3E4E55"/>
                <w:sz w:val="17"/>
              </w:rPr>
              <w:t>The accuracy measure</w:t>
            </w:r>
          </w:p>
        </w:tc>
      </w:tr>
      <w:tr>
        <w:tc>
          <w:tcPr>
            <w:tcW w:type="dxa" w:w="2520"/>
          </w:tcPr>
          <w:p>
            <w:pPr>
              <w:spacing w:before="60" w:after="60"/>
            </w:pPr>
            <w:r/>
            <w:r>
              <w:rPr>
                <w:rFonts w:ascii="Segoe UI" w:hAnsi="Segoe UI"/>
                <w:b/>
                <w:color w:val="101A1E"/>
                <w:sz w:val="17"/>
              </w:rPr>
              <w:t>Unfiltered monitoring</w:t>
            </w:r>
          </w:p>
        </w:tc>
        <w:tc>
          <w:tcPr>
            <w:tcW w:type="dxa" w:w="4392"/>
          </w:tcPr>
          <w:p>
            <w:pPr>
              <w:spacing w:before="60" w:after="60"/>
            </w:pPr>
            <w:r/>
            <w:r>
              <w:rPr>
                <w:rFonts w:ascii="Segoe UI" w:hAnsi="Segoe UI"/>
                <w:b w:val="0"/>
                <w:color w:val="3E4E55"/>
                <w:sz w:val="17"/>
              </w:rPr>
              <w:t>"conflates model error with anomalous operation; not an accuracy measure"</w:t>
            </w:r>
          </w:p>
        </w:tc>
        <w:tc>
          <w:tcPr>
            <w:tcW w:type="dxa" w:w="2304"/>
          </w:tcPr>
          <w:p>
            <w:pPr>
              <w:spacing w:before="60" w:after="60"/>
            </w:pPr>
            <w:r/>
            <w:r>
              <w:rPr>
                <w:rFonts w:ascii="Segoe UI" w:hAnsi="Segoe UI"/>
                <w:b w:val="0"/>
                <w:color w:val="3E4E55"/>
                <w:sz w:val="17"/>
              </w:rPr>
              <w:t>Reported for context</w:t>
            </w:r>
          </w:p>
        </w:tc>
      </w:tr>
    </w:tbl>
    <w:p>
      <w:pPr>
        <w:spacing w:after="40"/>
      </w:pPr>
    </w:p>
    <w:p>
      <w:r>
        <w:t>This is a well-reasoned design. The validation block became a selection block once tuning was introduced, so its metrics are optimistically biased; the unfiltered monitoring period measures a different quantity entirely. Neither is the thing the research question names.</w:t>
      </w:r>
    </w:p>
    <w:p>
      <w:pPr>
        <w:pStyle w:val="H1x"/>
      </w:pPr>
      <w:r>
        <w:rPr>
          <w:b w:val="0"/>
          <w:i w:val="0"/>
        </w:rPr>
        <w:t>E.2  Confidence intervals and model comparison</w:t>
      </w:r>
    </w:p>
    <w:p>
      <w:pPr>
        <w:pStyle w:val="ListBullet"/>
        <w:spacing w:after="80"/>
        <w:ind w:left="547"/>
      </w:pPr>
      <w:r>
        <w:rPr>
          <w:b/>
        </w:rPr>
        <w:t>Moving-block bootstrap</w:t>
      </w:r>
      <w:r>
        <w:t xml:space="preserve"> for every headline metric. A block length below 2 is rejected at construction because it is the i.i.d. bootstrap, which is prohibited for time-series residuals. 1,000 replicates, seeded. Block length comes from a documented heuristic — twice the first lag at which the sample autocorrelation falls inside the 95% white-noise band — and is recorded in every interval alongside the seed and replicate count.</w:t>
      </w:r>
    </w:p>
    <w:p>
      <w:pPr>
        <w:pStyle w:val="ListBullet"/>
        <w:spacing w:after="80"/>
        <w:ind w:left="547"/>
      </w:pPr>
      <w:r>
        <w:rPr>
          <w:b/>
        </w:rPr>
        <w:t>Diebold–Mariano test</w:t>
      </w:r>
      <w:r>
        <w:t xml:space="preserve"> on the squared-error loss differential with Bartlett-kernel HAC variance, lags defaulting to floor(n^(1/3)). Short series are flagged unreliable with a caveat rather than being forced through the test.</w:t>
      </w:r>
    </w:p>
    <w:p>
      <w:pPr>
        <w:pStyle w:val="ListBullet"/>
        <w:spacing w:after="80"/>
        <w:ind w:left="547"/>
      </w:pPr>
      <w:r>
        <w:rPr>
          <w:b/>
        </w:rPr>
        <w:t>R² intervals</w:t>
      </w:r>
      <w:r>
        <w:t xml:space="preserve"> use a fixed-denominator approximation, holding the variance of actuals at its sample value across resamples. This is documented and labelled in the output — correctly, since it is an approximation rather than a full bootstrap of the statistic.</w:t>
      </w:r>
    </w:p>
    <w:p>
      <w:r>
        <w:t>Both procedures are the right tools. Both are applied to a series that interleaves six turbines, which is the subject of finding F-06 and is the most consequential statistical issue in this document.</w:t>
      </w:r>
    </w:p>
    <w:p>
      <w:pPr>
        <w:pStyle w:val="H1x"/>
      </w:pPr>
      <w:r>
        <w:rPr>
          <w:b w:val="0"/>
          <w:i w:val="0"/>
        </w:rPr>
        <w:t>E.3  Detection evaluation</w:t>
      </w:r>
    </w:p>
    <w:p>
      <w:r>
        <w:t>Detection performance is compared at matched false-alarm operating points rather than at arbitrary thresholds, which is the correct construction. Two pipelines are compared: single-signal union (either target exceeds — the operational meaning of monitoring each signal independently) and coordinated (both targets exceed in the same direction at the same timestamp).</w:t>
      </w:r>
    </w:p>
    <w:p>
      <w:pPr>
        <w:pStyle w:val="ListBullet"/>
        <w:spacing w:after="80"/>
        <w:ind w:left="547"/>
      </w:pPr>
      <w:r>
        <w:t>Full operating curves are mandatory — the framework refuses to emit matched points without them.</w:t>
      </w:r>
    </w:p>
    <w:p>
      <w:pPr>
        <w:pStyle w:val="ListBullet"/>
        <w:spacing w:after="80"/>
        <w:ind w:left="547"/>
      </w:pPr>
      <w:r>
        <w:t>A fairness symmetry check runs on real data at every smoothing constant: two identical pipelines must produce identical curves and identical matched multipliers.</w:t>
      </w:r>
    </w:p>
    <w:p>
      <w:pPr>
        <w:pStyle w:val="ListBullet"/>
        <w:spacing w:after="80"/>
        <w:ind w:left="547"/>
      </w:pPr>
      <w:r>
        <w:t>The event-rate curve is explicitly not assumed monotone. At loose limits adjacent alarms merge into long runs, so counting entries can fall as limits loosen. The matching routine scans from the strictest end and returns the strictest multiplier achieving the target, and reports unreachable targets as unreachable rather than clamping. This is a subtle trap, correctly handled.</w:t>
      </w:r>
    </w:p>
    <w:p>
      <w:pPr>
        <w:pStyle w:val="ListBullet"/>
        <w:spacing w:after="80"/>
        <w:ind w:left="547"/>
      </w:pPr>
      <w:r>
        <w:t>A small-n gate makes inferential claims unreachable: the evaluation result stores no detection-rate field at all, and the accessor raises below a pre-committed two-event threshold. This is the strongest single piece of defensive design in the codebase.</w:t>
      </w:r>
    </w:p>
    <w:p>
      <w:r>
        <w:t>The measurement basis on which these curves rest is the subject of findings F-01 and F-02.</w:t>
      </w:r>
    </w:p>
    <w:p>
      <w:pPr>
        <w:pStyle w:val="H1x"/>
      </w:pPr>
      <w:r>
        <w:rPr>
          <w:b w:val="0"/>
          <w:i w:val="0"/>
        </w:rPr>
        <w:t>E.4  In-control characterisation</w:t>
      </w:r>
    </w:p>
    <w:p>
      <w:r>
        <w:t>Because 10-minute thermal residuals are serially correlated, the effective false-alarm behaviour of the EWMA is measured empirically on healthy data rather than assumed from control-chart theory. A materially inflated rate produces a ready-to-append limitations entry, and the pipeline appends it automatically during persistence — never during reproduction, so re-runs cannot grow the register.</w:t>
      </w:r>
    </w:p>
    <w:p>
      <w:r>
        <w:t>The measured result is decisive and the project reports it honestly: an empirical in-control exceedance rate of roughly 0.148 against an i.i.d. theoretical 0.0027 — an inflation of about 55× — and operating multipliers in the 10–21σ range required to reach usable alarm rates. The conclusion drawn is correct: these are two measurements of the same phenomenon, and the σ multiplier is functioning as an empirically calibrated quantile knob rather than a statistically meaningful control limit.</w:t>
      </w:r>
    </w:p>
    <w:p>
      <w:pPr>
        <w:pStyle w:val="H1x"/>
      </w:pPr>
      <w:r>
        <w:rPr>
          <w:b w:val="0"/>
          <w:i w:val="0"/>
        </w:rPr>
        <w:t>E.5  Sensitivity analysis</w:t>
      </w:r>
    </w:p>
    <w:p>
      <w:r>
        <w:t xml:space="preserve">Eleven provisional parameters carry a discoverable marker in the configuration schema, each with a sweep grid. A consistency check raises if a provisional parameter lacks a grid </w:t>
      </w:r>
      <w:r>
        <w:rPr>
          <w:i/>
        </w:rPr>
        <w:t>or</w:t>
      </w:r>
      <w:r>
        <w:t xml:space="preserve"> if a grid names a non-provisional parameter. Sweeps re-run the full pipeline per value with a config-hash cache to deduplicate identical configurations, and conclusion-flipping parameters automatically append to the limitations register.</w:t>
      </w:r>
    </w:p>
    <w:tbl>
      <w:tblPr>
        <w:tblStyle w:val="TableGrid"/>
        <w:tblW w:type="auto" w:w="0"/>
        <w:jc w:val="left"/>
        <w:tblLook w:firstColumn="1" w:firstRow="1" w:lastColumn="0" w:lastRow="0" w:noHBand="0" w:noVBand="1" w:val="04A0"/>
      </w:tblPr>
      <w:tblGrid>
        <w:gridCol w:w="3072"/>
        <w:gridCol w:w="3072"/>
        <w:gridCol w:w="3072"/>
      </w:tblGrid>
      <w:tr>
        <w:tc>
          <w:tcPr>
            <w:tcW w:type="dxa" w:w="4320"/>
            <w:shd w:val="clear" w:color="auto" w:fill="E7EDEF"/>
          </w:tcPr>
          <w:p>
            <w:pPr>
              <w:spacing w:before="60" w:after="60"/>
            </w:pPr>
            <w:r/>
            <w:r>
              <w:rPr>
                <w:rFonts w:ascii="Segoe UI" w:hAnsi="Segoe UI"/>
                <w:b/>
                <w:color w:val="101A1E"/>
                <w:sz w:val="17"/>
              </w:rPr>
              <w:t>Parameter</w:t>
            </w:r>
          </w:p>
        </w:tc>
        <w:tc>
          <w:tcPr>
            <w:tcW w:type="dxa" w:w="2448"/>
            <w:shd w:val="clear" w:color="auto" w:fill="E7EDEF"/>
          </w:tcPr>
          <w:p>
            <w:pPr>
              <w:spacing w:before="60" w:after="60"/>
            </w:pPr>
            <w:r/>
            <w:r>
              <w:rPr>
                <w:rFonts w:ascii="Segoe UI" w:hAnsi="Segoe UI"/>
                <w:b/>
                <w:color w:val="101A1E"/>
                <w:sz w:val="17"/>
              </w:rPr>
              <w:t>Grid</w:t>
            </w:r>
          </w:p>
        </w:tc>
        <w:tc>
          <w:tcPr>
            <w:tcW w:type="dxa" w:w="2448"/>
            <w:shd w:val="clear" w:color="auto" w:fill="E7EDEF"/>
          </w:tcPr>
          <w:p>
            <w:pPr>
              <w:spacing w:before="60" w:after="60"/>
            </w:pPr>
            <w:r/>
            <w:r>
              <w:rPr>
                <w:rFonts w:ascii="Segoe UI" w:hAnsi="Segoe UI"/>
                <w:b/>
                <w:color w:val="101A1E"/>
                <w:sz w:val="17"/>
              </w:rPr>
              <w:t>Domain</w:t>
            </w:r>
          </w:p>
        </w:tc>
      </w:tr>
      <w:tr>
        <w:tc>
          <w:tcPr>
            <w:tcW w:type="dxa" w:w="4320"/>
          </w:tcPr>
          <w:p>
            <w:pPr>
              <w:spacing w:before="60" w:after="60"/>
            </w:pPr>
            <w:r/>
            <w:r>
              <w:rPr>
                <w:rFonts w:ascii="Segoe UI" w:hAnsi="Segoe UI"/>
                <w:b/>
                <w:color w:val="101A1E"/>
                <w:sz w:val="17"/>
              </w:rPr>
              <w:t>healthy_state.exclude_step_changes</w:t>
            </w:r>
          </w:p>
        </w:tc>
        <w:tc>
          <w:tcPr>
            <w:tcW w:type="dxa" w:w="2448"/>
          </w:tcPr>
          <w:p>
            <w:pPr>
              <w:spacing w:before="60" w:after="60"/>
            </w:pPr>
            <w:r/>
            <w:r>
              <w:rPr>
                <w:rFonts w:ascii="Segoe UI" w:hAnsi="Segoe UI"/>
                <w:b w:val="0"/>
                <w:color w:val="3E4E55"/>
                <w:sz w:val="17"/>
              </w:rPr>
              <w:t>False, True</w:t>
            </w:r>
          </w:p>
        </w:tc>
        <w:tc>
          <w:tcPr>
            <w:tcW w:type="dxa" w:w="2448"/>
          </w:tcPr>
          <w:p>
            <w:pPr>
              <w:spacing w:before="60" w:after="60"/>
            </w:pPr>
            <w:r/>
            <w:r>
              <w:rPr>
                <w:rFonts w:ascii="Segoe UI" w:hAnsi="Segoe UI"/>
                <w:b w:val="0"/>
                <w:color w:val="3E4E55"/>
                <w:sz w:val="17"/>
              </w:rPr>
              <w:t>Data cleaning</w:t>
            </w:r>
          </w:p>
        </w:tc>
      </w:tr>
      <w:tr>
        <w:tc>
          <w:tcPr>
            <w:tcW w:type="dxa" w:w="4320"/>
          </w:tcPr>
          <w:p>
            <w:pPr>
              <w:spacing w:before="60" w:after="60"/>
            </w:pPr>
            <w:r/>
            <w:r>
              <w:rPr>
                <w:rFonts w:ascii="Segoe UI" w:hAnsi="Segoe UI"/>
                <w:b/>
                <w:color w:val="101A1E"/>
                <w:sz w:val="17"/>
              </w:rPr>
              <w:t>healthy_state.fault_pre_exclusion_days</w:t>
            </w:r>
          </w:p>
        </w:tc>
        <w:tc>
          <w:tcPr>
            <w:tcW w:type="dxa" w:w="2448"/>
          </w:tcPr>
          <w:p>
            <w:pPr>
              <w:spacing w:before="60" w:after="60"/>
            </w:pPr>
            <w:r/>
            <w:r>
              <w:rPr>
                <w:rFonts w:ascii="Segoe UI" w:hAnsi="Segoe UI"/>
                <w:b w:val="0"/>
                <w:color w:val="3E4E55"/>
                <w:sz w:val="17"/>
              </w:rPr>
              <w:t>15, 30, 60</w:t>
            </w:r>
          </w:p>
        </w:tc>
        <w:tc>
          <w:tcPr>
            <w:tcW w:type="dxa" w:w="2448"/>
          </w:tcPr>
          <w:p>
            <w:pPr>
              <w:spacing w:before="60" w:after="60"/>
            </w:pPr>
            <w:r/>
            <w:r>
              <w:rPr>
                <w:rFonts w:ascii="Segoe UI" w:hAnsi="Segoe UI"/>
                <w:b w:val="0"/>
                <w:color w:val="3E4E55"/>
                <w:sz w:val="17"/>
              </w:rPr>
              <w:t>Data cleaning</w:t>
            </w:r>
          </w:p>
        </w:tc>
      </w:tr>
      <w:tr>
        <w:tc>
          <w:tcPr>
            <w:tcW w:type="dxa" w:w="4320"/>
          </w:tcPr>
          <w:p>
            <w:pPr>
              <w:spacing w:before="60" w:after="60"/>
            </w:pPr>
            <w:r/>
            <w:r>
              <w:rPr>
                <w:rFonts w:ascii="Segoe UI" w:hAnsi="Segoe UI"/>
                <w:b/>
                <w:color w:val="101A1E"/>
                <w:sz w:val="17"/>
              </w:rPr>
              <w:t>healthy_state.maintenance_post_exclusion_days</w:t>
            </w:r>
          </w:p>
        </w:tc>
        <w:tc>
          <w:tcPr>
            <w:tcW w:type="dxa" w:w="2448"/>
          </w:tcPr>
          <w:p>
            <w:pPr>
              <w:spacing w:before="60" w:after="60"/>
            </w:pPr>
            <w:r/>
            <w:r>
              <w:rPr>
                <w:rFonts w:ascii="Segoe UI" w:hAnsi="Segoe UI"/>
                <w:b w:val="0"/>
                <w:color w:val="3E4E55"/>
                <w:sz w:val="17"/>
              </w:rPr>
              <w:t>1, 2, 4</w:t>
            </w:r>
          </w:p>
        </w:tc>
        <w:tc>
          <w:tcPr>
            <w:tcW w:type="dxa" w:w="2448"/>
          </w:tcPr>
          <w:p>
            <w:pPr>
              <w:spacing w:before="60" w:after="60"/>
            </w:pPr>
            <w:r/>
            <w:r>
              <w:rPr>
                <w:rFonts w:ascii="Segoe UI" w:hAnsi="Segoe UI"/>
                <w:b w:val="0"/>
                <w:color w:val="3E4E55"/>
                <w:sz w:val="17"/>
              </w:rPr>
              <w:t>Data cleaning</w:t>
            </w:r>
          </w:p>
        </w:tc>
      </w:tr>
      <w:tr>
        <w:tc>
          <w:tcPr>
            <w:tcW w:type="dxa" w:w="4320"/>
          </w:tcPr>
          <w:p>
            <w:pPr>
              <w:spacing w:before="60" w:after="60"/>
            </w:pPr>
            <w:r/>
            <w:r>
              <w:rPr>
                <w:rFonts w:ascii="Segoe UI" w:hAnsi="Segoe UI"/>
                <w:b/>
                <w:color w:val="101A1E"/>
                <w:sz w:val="17"/>
              </w:rPr>
              <w:t>healthy_state.minimum_active_power_kw</w:t>
            </w:r>
          </w:p>
        </w:tc>
        <w:tc>
          <w:tcPr>
            <w:tcW w:type="dxa" w:w="2448"/>
          </w:tcPr>
          <w:p>
            <w:pPr>
              <w:spacing w:before="60" w:after="60"/>
            </w:pPr>
            <w:r/>
            <w:r>
              <w:rPr>
                <w:rFonts w:ascii="Segoe UI" w:hAnsi="Segoe UI"/>
                <w:b w:val="0"/>
                <w:color w:val="3E4E55"/>
                <w:sz w:val="17"/>
              </w:rPr>
              <w:t>25, 50, 100</w:t>
            </w:r>
          </w:p>
        </w:tc>
        <w:tc>
          <w:tcPr>
            <w:tcW w:type="dxa" w:w="2448"/>
          </w:tcPr>
          <w:p>
            <w:pPr>
              <w:spacing w:before="60" w:after="60"/>
            </w:pPr>
            <w:r/>
            <w:r>
              <w:rPr>
                <w:rFonts w:ascii="Segoe UI" w:hAnsi="Segoe UI"/>
                <w:b w:val="0"/>
                <w:color w:val="3E4E55"/>
                <w:sz w:val="17"/>
              </w:rPr>
              <w:t>Data cleaning</w:t>
            </w:r>
          </w:p>
        </w:tc>
      </w:tr>
      <w:tr>
        <w:tc>
          <w:tcPr>
            <w:tcW w:type="dxa" w:w="4320"/>
          </w:tcPr>
          <w:p>
            <w:pPr>
              <w:spacing w:before="60" w:after="60"/>
            </w:pPr>
            <w:r/>
            <w:r>
              <w:rPr>
                <w:rFonts w:ascii="Segoe UI" w:hAnsi="Segoe UI"/>
                <w:b/>
                <w:color w:val="101A1E"/>
                <w:sz w:val="17"/>
              </w:rPr>
              <w:t>healthy_state.step_change_exclusion_days</w:t>
            </w:r>
          </w:p>
        </w:tc>
        <w:tc>
          <w:tcPr>
            <w:tcW w:type="dxa" w:w="2448"/>
          </w:tcPr>
          <w:p>
            <w:pPr>
              <w:spacing w:before="60" w:after="60"/>
            </w:pPr>
            <w:r/>
            <w:r>
              <w:rPr>
                <w:rFonts w:ascii="Segoe UI" w:hAnsi="Segoe UI"/>
                <w:b w:val="0"/>
                <w:color w:val="3E4E55"/>
                <w:sz w:val="17"/>
              </w:rPr>
              <w:t>0.5, 1.0, 2.0</w:t>
            </w:r>
          </w:p>
        </w:tc>
        <w:tc>
          <w:tcPr>
            <w:tcW w:type="dxa" w:w="2448"/>
          </w:tcPr>
          <w:p>
            <w:pPr>
              <w:spacing w:before="60" w:after="60"/>
            </w:pPr>
            <w:r/>
            <w:r>
              <w:rPr>
                <w:rFonts w:ascii="Segoe UI" w:hAnsi="Segoe UI"/>
                <w:b w:val="0"/>
                <w:color w:val="3E4E55"/>
                <w:sz w:val="17"/>
              </w:rPr>
              <w:t>Data cleaning</w:t>
            </w:r>
          </w:p>
        </w:tc>
      </w:tr>
      <w:tr>
        <w:tc>
          <w:tcPr>
            <w:tcW w:type="dxa" w:w="4320"/>
          </w:tcPr>
          <w:p>
            <w:pPr>
              <w:spacing w:before="60" w:after="60"/>
            </w:pPr>
            <w:r/>
            <w:r>
              <w:rPr>
                <w:rFonts w:ascii="Segoe UI" w:hAnsi="Segoe UI"/>
                <w:b/>
                <w:color w:val="101A1E"/>
                <w:sz w:val="17"/>
              </w:rPr>
              <w:t>validation.step_change_window_samples</w:t>
            </w:r>
          </w:p>
        </w:tc>
        <w:tc>
          <w:tcPr>
            <w:tcW w:type="dxa" w:w="2448"/>
          </w:tcPr>
          <w:p>
            <w:pPr>
              <w:spacing w:before="60" w:after="60"/>
            </w:pPr>
            <w:r/>
            <w:r>
              <w:rPr>
                <w:rFonts w:ascii="Segoe UI" w:hAnsi="Segoe UI"/>
                <w:b w:val="0"/>
                <w:color w:val="3E4E55"/>
                <w:sz w:val="17"/>
              </w:rPr>
              <w:t>72, 144, 288</w:t>
            </w:r>
          </w:p>
        </w:tc>
        <w:tc>
          <w:tcPr>
            <w:tcW w:type="dxa" w:w="2448"/>
          </w:tcPr>
          <w:p>
            <w:pPr>
              <w:spacing w:before="60" w:after="60"/>
            </w:pPr>
            <w:r/>
            <w:r>
              <w:rPr>
                <w:rFonts w:ascii="Segoe UI" w:hAnsi="Segoe UI"/>
                <w:b w:val="0"/>
                <w:color w:val="3E4E55"/>
                <w:sz w:val="17"/>
              </w:rPr>
              <w:t>Data cleaning</w:t>
            </w:r>
          </w:p>
        </w:tc>
      </w:tr>
      <w:tr>
        <w:tc>
          <w:tcPr>
            <w:tcW w:type="dxa" w:w="4320"/>
          </w:tcPr>
          <w:p>
            <w:pPr>
              <w:spacing w:before="60" w:after="60"/>
            </w:pPr>
            <w:r/>
            <w:r>
              <w:rPr>
                <w:rFonts w:ascii="Segoe UI" w:hAnsi="Segoe UI"/>
                <w:b/>
                <w:color w:val="101A1E"/>
                <w:sz w:val="17"/>
              </w:rPr>
              <w:t>validation.step_change_min_magnitude_c</w:t>
            </w:r>
          </w:p>
        </w:tc>
        <w:tc>
          <w:tcPr>
            <w:tcW w:type="dxa" w:w="2448"/>
          </w:tcPr>
          <w:p>
            <w:pPr>
              <w:spacing w:before="60" w:after="60"/>
            </w:pPr>
            <w:r/>
            <w:r>
              <w:rPr>
                <w:rFonts w:ascii="Segoe UI" w:hAnsi="Segoe UI"/>
                <w:b w:val="0"/>
                <w:color w:val="3E4E55"/>
                <w:sz w:val="17"/>
              </w:rPr>
              <w:t>2.5, 5.0, 10.0</w:t>
            </w:r>
          </w:p>
        </w:tc>
        <w:tc>
          <w:tcPr>
            <w:tcW w:type="dxa" w:w="2448"/>
          </w:tcPr>
          <w:p>
            <w:pPr>
              <w:spacing w:before="60" w:after="60"/>
            </w:pPr>
            <w:r/>
            <w:r>
              <w:rPr>
                <w:rFonts w:ascii="Segoe UI" w:hAnsi="Segoe UI"/>
                <w:b w:val="0"/>
                <w:color w:val="3E4E55"/>
                <w:sz w:val="17"/>
              </w:rPr>
              <w:t>Data cleaning</w:t>
            </w:r>
          </w:p>
        </w:tc>
      </w:tr>
      <w:tr>
        <w:tc>
          <w:tcPr>
            <w:tcW w:type="dxa" w:w="4320"/>
          </w:tcPr>
          <w:p>
            <w:pPr>
              <w:spacing w:before="60" w:after="60"/>
            </w:pPr>
            <w:r/>
            <w:r>
              <w:rPr>
                <w:rFonts w:ascii="Segoe UI" w:hAnsi="Segoe UI"/>
                <w:b/>
                <w:color w:val="101A1E"/>
                <w:sz w:val="17"/>
              </w:rPr>
              <w:t>detection.ewma_lambda</w:t>
            </w:r>
          </w:p>
        </w:tc>
        <w:tc>
          <w:tcPr>
            <w:tcW w:type="dxa" w:w="2448"/>
          </w:tcPr>
          <w:p>
            <w:pPr>
              <w:spacing w:before="60" w:after="60"/>
            </w:pPr>
            <w:r/>
            <w:r>
              <w:rPr>
                <w:rFonts w:ascii="Segoe UI" w:hAnsi="Segoe UI"/>
                <w:b w:val="0"/>
                <w:color w:val="3E4E55"/>
                <w:sz w:val="17"/>
              </w:rPr>
              <w:t>0.1, 0.2, 0.3</w:t>
            </w:r>
          </w:p>
        </w:tc>
        <w:tc>
          <w:tcPr>
            <w:tcW w:type="dxa" w:w="2448"/>
          </w:tcPr>
          <w:p>
            <w:pPr>
              <w:spacing w:before="60" w:after="60"/>
            </w:pPr>
            <w:r/>
            <w:r>
              <w:rPr>
                <w:rFonts w:ascii="Segoe UI" w:hAnsi="Segoe UI"/>
                <w:b w:val="0"/>
                <w:color w:val="3E4E55"/>
                <w:sz w:val="17"/>
              </w:rPr>
              <w:t>Detection</w:t>
            </w:r>
          </w:p>
        </w:tc>
      </w:tr>
      <w:tr>
        <w:tc>
          <w:tcPr>
            <w:tcW w:type="dxa" w:w="4320"/>
          </w:tcPr>
          <w:p>
            <w:pPr>
              <w:spacing w:before="60" w:after="60"/>
            </w:pPr>
            <w:r/>
            <w:r>
              <w:rPr>
                <w:rFonts w:ascii="Segoe UI" w:hAnsi="Segoe UI"/>
                <w:b/>
                <w:color w:val="101A1E"/>
                <w:sz w:val="17"/>
              </w:rPr>
              <w:t>detection.control_limit_sigma</w:t>
            </w:r>
          </w:p>
        </w:tc>
        <w:tc>
          <w:tcPr>
            <w:tcW w:type="dxa" w:w="2448"/>
          </w:tcPr>
          <w:p>
            <w:pPr>
              <w:spacing w:before="60" w:after="60"/>
            </w:pPr>
            <w:r/>
            <w:r>
              <w:rPr>
                <w:rFonts w:ascii="Segoe UI" w:hAnsi="Segoe UI"/>
                <w:b w:val="0"/>
                <w:color w:val="3E4E55"/>
                <w:sz w:val="17"/>
              </w:rPr>
              <w:t>2.0, 3.0, 4.0</w:t>
            </w:r>
          </w:p>
        </w:tc>
        <w:tc>
          <w:tcPr>
            <w:tcW w:type="dxa" w:w="2448"/>
          </w:tcPr>
          <w:p>
            <w:pPr>
              <w:spacing w:before="60" w:after="60"/>
            </w:pPr>
            <w:r/>
            <w:r>
              <w:rPr>
                <w:rFonts w:ascii="Segoe UI" w:hAnsi="Segoe UI"/>
                <w:b w:val="0"/>
                <w:color w:val="3E4E55"/>
                <w:sz w:val="17"/>
              </w:rPr>
              <w:t>Detection</w:t>
            </w:r>
          </w:p>
        </w:tc>
      </w:tr>
      <w:tr>
        <w:tc>
          <w:tcPr>
            <w:tcW w:type="dxa" w:w="4320"/>
          </w:tcPr>
          <w:p>
            <w:pPr>
              <w:spacing w:before="60" w:after="60"/>
            </w:pPr>
            <w:r/>
            <w:r>
              <w:rPr>
                <w:rFonts w:ascii="Segoe UI" w:hAnsi="Segoe UI"/>
                <w:b/>
                <w:color w:val="101A1E"/>
                <w:sz w:val="17"/>
              </w:rPr>
              <w:t>detection.persistence_min_samples</w:t>
            </w:r>
          </w:p>
        </w:tc>
        <w:tc>
          <w:tcPr>
            <w:tcW w:type="dxa" w:w="2448"/>
          </w:tcPr>
          <w:p>
            <w:pPr>
              <w:spacing w:before="60" w:after="60"/>
            </w:pPr>
            <w:r/>
            <w:r>
              <w:rPr>
                <w:rFonts w:ascii="Segoe UI" w:hAnsi="Segoe UI"/>
                <w:b w:val="0"/>
                <w:color w:val="3E4E55"/>
                <w:sz w:val="17"/>
              </w:rPr>
              <w:t>2, 3, 6</w:t>
            </w:r>
          </w:p>
        </w:tc>
        <w:tc>
          <w:tcPr>
            <w:tcW w:type="dxa" w:w="2448"/>
          </w:tcPr>
          <w:p>
            <w:pPr>
              <w:spacing w:before="60" w:after="60"/>
            </w:pPr>
            <w:r/>
            <w:r>
              <w:rPr>
                <w:rFonts w:ascii="Segoe UI" w:hAnsi="Segoe UI"/>
                <w:b w:val="0"/>
                <w:color w:val="3E4E55"/>
                <w:sz w:val="17"/>
              </w:rPr>
              <w:t>Detection</w:t>
            </w:r>
          </w:p>
        </w:tc>
      </w:tr>
      <w:tr>
        <w:tc>
          <w:tcPr>
            <w:tcW w:type="dxa" w:w="4320"/>
          </w:tcPr>
          <w:p>
            <w:pPr>
              <w:spacing w:before="60" w:after="60"/>
            </w:pPr>
            <w:r/>
            <w:r>
              <w:rPr>
                <w:rFonts w:ascii="Segoe UI" w:hAnsi="Segoe UI"/>
                <w:b/>
                <w:color w:val="101A1E"/>
                <w:sz w:val="17"/>
              </w:rPr>
              <w:t>evaluation.event_match_window_days</w:t>
            </w:r>
          </w:p>
        </w:tc>
        <w:tc>
          <w:tcPr>
            <w:tcW w:type="dxa" w:w="2448"/>
          </w:tcPr>
          <w:p>
            <w:pPr>
              <w:spacing w:before="60" w:after="60"/>
            </w:pPr>
            <w:r/>
            <w:r>
              <w:rPr>
                <w:rFonts w:ascii="Segoe UI" w:hAnsi="Segoe UI"/>
                <w:b w:val="0"/>
                <w:color w:val="3E4E55"/>
                <w:sz w:val="17"/>
              </w:rPr>
              <w:t>7, 14, 30</w:t>
            </w:r>
          </w:p>
        </w:tc>
        <w:tc>
          <w:tcPr>
            <w:tcW w:type="dxa" w:w="2448"/>
          </w:tcPr>
          <w:p>
            <w:pPr>
              <w:spacing w:before="60" w:after="60"/>
            </w:pPr>
            <w:r/>
            <w:r>
              <w:rPr>
                <w:rFonts w:ascii="Segoe UI" w:hAnsi="Segoe UI"/>
                <w:b w:val="0"/>
                <w:color w:val="3E4E55"/>
                <w:sz w:val="17"/>
              </w:rPr>
              <w:t>Evaluation</w:t>
            </w:r>
          </w:p>
        </w:tc>
      </w:tr>
    </w:tbl>
    <w:p>
      <w:pPr>
        <w:spacing w:after="40"/>
      </w:pPr>
    </w:p>
    <w:p>
      <w:r>
        <w:t xml:space="preserve">Two configuration parameters that are open High-risk decisions are </w:t>
      </w:r>
      <w:r>
        <w:rPr>
          <w:i/>
        </w:rPr>
        <w:t>not</w:t>
      </w:r>
      <w:r>
        <w:t xml:space="preserve"> in this table and cannot be added without a code change — see finding F-09. The tuning grid itself is also not provisional-marked and is therefore never swept, though this is defensible since the grid is pre-registered.</w:t>
      </w:r>
    </w:p>
    <w:p>
      <w:r>
        <w:br w:type="page"/>
      </w:r>
    </w:p>
    <w:p>
      <w:pPr>
        <w:pStyle w:val="PartHead"/>
      </w:pPr>
      <w:r>
        <w:rPr>
          <w:b w:val="0"/>
          <w:i w:val="0"/>
        </w:rPr>
        <w:t>Part F</w:t>
      </w:r>
    </w:p>
    <w:p>
      <w:pPr>
        <w:pStyle w:val="PartSub"/>
      </w:pPr>
      <w:r>
        <w:rPr>
          <w:b w:val="0"/>
          <w:i w:val="0"/>
        </w:rPr>
        <w:t>Reproducibility and experiment management</w:t>
      </w:r>
    </w:p>
    <w:p>
      <w:r>
        <w:t>Every experiment persists a complete metadata record in which every field is mandatory — an incomplete record cannot be constructed, so it cannot be persisted. The record carries the resolved configuration and its hash, the full provenance chain, the feature configuration, cleaning operations, exclusion windows, split spec and seasonal coverage, model type and kind, hyperparameters, tuning trial records, seeds, a version stamp (application, schema, Python, git commit, dirty flag, and the versions of six named scientific libraries), guard attestations and experiment flags.</w:t>
      </w:r>
    </w:p>
    <w:p>
      <w:r>
        <w:t>Artefacts are the scientific record and the SQLite index is disposable: a reindex method rebuilds every pointer row from the artefact directories alone, and a test deletes the database to prove it.</w:t>
      </w:r>
    </w:p>
    <w:p>
      <w:r>
        <w:t xml:space="preserve">The </w:t>
      </w:r>
      <w:r>
        <w:rPr>
          <w:rFonts w:ascii="Consolas" w:hAnsi="Consolas"/>
          <w:color w:val="3E4E55"/>
          <w:sz w:val="18"/>
        </w:rPr>
        <w:t>reproduce</w:t>
      </w:r>
      <w:r>
        <w:t xml:space="preserve"> command re-runs an experiment from its stored configuration and inputs, then diffs regenerated metrics recursively against stored metrics and requires exact frame equality on predictions. A source-file hash mismatch is a hard stop, not a warning. Continuous integration runs this on a fixture experiment on every push and requires an exact match.</w:t>
      </w:r>
    </w:p>
    <w:p>
      <w:r>
        <w:t>Reproduction re-runs the pipeline rather than loading stored models, which is the stronger test — it verifies the whole computation, not just serialisation. It also means reproduction costs as much as the original run, including the full 12-candidate tuning search.</w:t>
      </w:r>
    </w:p>
    <w:p>
      <w:r>
        <w:t>The gaps are findings F-10 (no code-identity or configuration-identity check), F-11 (the gate does not cover the tuned path), F-12 (label sources outside the provenance chain) and F-13 (absolute paths bind reproduction to one machine).</w:t>
      </w:r>
    </w:p>
    <w:p>
      <w:r>
        <w:br w:type="page"/>
      </w:r>
    </w:p>
    <w:p>
      <w:pPr>
        <w:pStyle w:val="PartHead"/>
      </w:pPr>
      <w:r>
        <w:rPr>
          <w:b w:val="0"/>
          <w:i w:val="0"/>
        </w:rPr>
        <w:t>Part G</w:t>
      </w:r>
    </w:p>
    <w:p>
      <w:pPr>
        <w:pStyle w:val="PartSub"/>
      </w:pPr>
      <w:r>
        <w:rPr>
          <w:b w:val="0"/>
          <w:i w:val="0"/>
        </w:rPr>
        <w:t>Findings register — data-science and ML-engineering scope</w:t>
      </w:r>
    </w:p>
    <w:p>
      <w:r>
        <w:t>Twenty findings, ordered by severity. Each is traced to file and function. Magnitudes that would require the absent experiment artefacts to quantify are labelled as such.</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792"/>
            <w:shd w:val="clear" w:color="auto" w:fill="E7EDEF"/>
          </w:tcPr>
          <w:p>
            <w:pPr>
              <w:spacing w:before="60" w:after="60"/>
            </w:pPr>
            <w:r/>
            <w:r>
              <w:rPr>
                <w:rFonts w:ascii="Segoe UI" w:hAnsi="Segoe UI"/>
                <w:b/>
                <w:color w:val="101A1E"/>
                <w:sz w:val="17"/>
              </w:rPr>
              <w:t>ID</w:t>
            </w:r>
          </w:p>
        </w:tc>
        <w:tc>
          <w:tcPr>
            <w:tcW w:type="dxa" w:w="5112"/>
            <w:shd w:val="clear" w:color="auto" w:fill="E7EDEF"/>
          </w:tcPr>
          <w:p>
            <w:pPr>
              <w:spacing w:before="60" w:after="60"/>
            </w:pPr>
            <w:r/>
            <w:r>
              <w:rPr>
                <w:rFonts w:ascii="Segoe UI" w:hAnsi="Segoe UI"/>
                <w:b/>
                <w:color w:val="101A1E"/>
                <w:sz w:val="17"/>
              </w:rPr>
              <w:t>Finding</w:t>
            </w:r>
          </w:p>
        </w:tc>
        <w:tc>
          <w:tcPr>
            <w:tcW w:type="dxa" w:w="1440"/>
            <w:shd w:val="clear" w:color="auto" w:fill="E7EDEF"/>
          </w:tcPr>
          <w:p>
            <w:pPr>
              <w:spacing w:before="60" w:after="60"/>
            </w:pPr>
            <w:r/>
            <w:r>
              <w:rPr>
                <w:rFonts w:ascii="Segoe UI" w:hAnsi="Segoe UI"/>
                <w:b/>
                <w:color w:val="101A1E"/>
                <w:sz w:val="17"/>
              </w:rPr>
              <w:t>Severity</w:t>
            </w:r>
          </w:p>
        </w:tc>
        <w:tc>
          <w:tcPr>
            <w:tcW w:type="dxa" w:w="1872"/>
            <w:shd w:val="clear" w:color="auto" w:fill="E7EDEF"/>
          </w:tcPr>
          <w:p>
            <w:pPr>
              <w:spacing w:before="60" w:after="60"/>
            </w:pPr>
            <w:r/>
            <w:r>
              <w:rPr>
                <w:rFonts w:ascii="Segoe UI" w:hAnsi="Segoe UI"/>
                <w:b/>
                <w:color w:val="101A1E"/>
                <w:sz w:val="17"/>
              </w:rPr>
              <w:t>Area</w:t>
            </w:r>
          </w:p>
        </w:tc>
      </w:tr>
      <w:tr>
        <w:tc>
          <w:tcPr>
            <w:tcW w:type="dxa" w:w="792"/>
          </w:tcPr>
          <w:p>
            <w:pPr>
              <w:spacing w:before="60" w:after="60"/>
            </w:pPr>
            <w:r/>
            <w:r>
              <w:rPr>
                <w:rFonts w:ascii="Segoe UI" w:hAnsi="Segoe UI"/>
                <w:b/>
                <w:color w:val="101A1E"/>
                <w:sz w:val="17"/>
              </w:rPr>
              <w:t>F-01</w:t>
            </w:r>
          </w:p>
        </w:tc>
        <w:tc>
          <w:tcPr>
            <w:tcW w:type="dxa" w:w="5112"/>
          </w:tcPr>
          <w:p>
            <w:pPr>
              <w:spacing w:before="60" w:after="60"/>
            </w:pPr>
            <w:r/>
            <w:r>
              <w:rPr>
                <w:rFonts w:ascii="Segoe UI" w:hAnsi="Segoe UI"/>
                <w:b w:val="0"/>
                <w:color w:val="3E4E55"/>
                <w:sz w:val="17"/>
              </w:rPr>
              <w:t>False-alarm rates computed on two different denominators</w:t>
            </w:r>
          </w:p>
        </w:tc>
        <w:tc>
          <w:tcPr>
            <w:tcW w:type="dxa" w:w="1440"/>
          </w:tcPr>
          <w:p>
            <w:pPr>
              <w:spacing w:before="60" w:after="60"/>
            </w:pPr>
            <w:r/>
            <w:r>
              <w:rPr>
                <w:rFonts w:ascii="Segoe UI" w:hAnsi="Segoe UI"/>
                <w:b w:val="0"/>
                <w:color w:val="3E4E55"/>
                <w:sz w:val="17"/>
              </w:rPr>
              <w:t>CRITICAL</w:t>
            </w:r>
          </w:p>
        </w:tc>
        <w:tc>
          <w:tcPr>
            <w:tcW w:type="dxa" w:w="1872"/>
          </w:tcPr>
          <w:p>
            <w:pPr>
              <w:spacing w:before="60" w:after="60"/>
            </w:pPr>
            <w:r/>
            <w:r>
              <w:rPr>
                <w:rFonts w:ascii="Segoe UI" w:hAnsi="Segoe UI"/>
                <w:b w:val="0"/>
                <w:color w:val="3E4E55"/>
                <w:sz w:val="17"/>
              </w:rPr>
              <w:t>Evaluation</w:t>
            </w:r>
          </w:p>
        </w:tc>
      </w:tr>
      <w:tr>
        <w:tc>
          <w:tcPr>
            <w:tcW w:type="dxa" w:w="792"/>
          </w:tcPr>
          <w:p>
            <w:pPr>
              <w:spacing w:before="60" w:after="60"/>
            </w:pPr>
            <w:r/>
            <w:r>
              <w:rPr>
                <w:rFonts w:ascii="Segoe UI" w:hAnsi="Segoe UI"/>
                <w:b/>
                <w:color w:val="101A1E"/>
                <w:sz w:val="17"/>
              </w:rPr>
              <w:t>F-02</w:t>
            </w:r>
          </w:p>
        </w:tc>
        <w:tc>
          <w:tcPr>
            <w:tcW w:type="dxa" w:w="5112"/>
          </w:tcPr>
          <w:p>
            <w:pPr>
              <w:spacing w:before="60" w:after="60"/>
            </w:pPr>
            <w:r/>
            <w:r>
              <w:rPr>
                <w:rFonts w:ascii="Segoe UI" w:hAnsi="Segoe UI"/>
                <w:b w:val="0"/>
                <w:color w:val="3E4E55"/>
                <w:sz w:val="17"/>
              </w:rPr>
              <w:t>Validation and slice rates come from different detector inputs</w:t>
            </w:r>
          </w:p>
        </w:tc>
        <w:tc>
          <w:tcPr>
            <w:tcW w:type="dxa" w:w="1440"/>
          </w:tcPr>
          <w:p>
            <w:pPr>
              <w:spacing w:before="60" w:after="60"/>
            </w:pPr>
            <w:r/>
            <w:r>
              <w:rPr>
                <w:rFonts w:ascii="Segoe UI" w:hAnsi="Segoe UI"/>
                <w:b w:val="0"/>
                <w:color w:val="3E4E55"/>
                <w:sz w:val="17"/>
              </w:rPr>
              <w:t>CRITICAL</w:t>
            </w:r>
          </w:p>
        </w:tc>
        <w:tc>
          <w:tcPr>
            <w:tcW w:type="dxa" w:w="1872"/>
          </w:tcPr>
          <w:p>
            <w:pPr>
              <w:spacing w:before="60" w:after="60"/>
            </w:pPr>
            <w:r/>
            <w:r>
              <w:rPr>
                <w:rFonts w:ascii="Segoe UI" w:hAnsi="Segoe UI"/>
                <w:b w:val="0"/>
                <w:color w:val="3E4E55"/>
                <w:sz w:val="17"/>
              </w:rPr>
              <w:t>Evaluation</w:t>
            </w:r>
          </w:p>
        </w:tc>
      </w:tr>
      <w:tr>
        <w:tc>
          <w:tcPr>
            <w:tcW w:type="dxa" w:w="792"/>
          </w:tcPr>
          <w:p>
            <w:pPr>
              <w:spacing w:before="60" w:after="60"/>
            </w:pPr>
            <w:r/>
            <w:r>
              <w:rPr>
                <w:rFonts w:ascii="Segoe UI" w:hAnsi="Segoe UI"/>
                <w:b/>
                <w:color w:val="101A1E"/>
                <w:sz w:val="17"/>
              </w:rPr>
              <w:t>F-25</w:t>
            </w:r>
          </w:p>
        </w:tc>
        <w:tc>
          <w:tcPr>
            <w:tcW w:type="dxa" w:w="5112"/>
          </w:tcPr>
          <w:p>
            <w:pPr>
              <w:spacing w:before="60" w:after="60"/>
            </w:pPr>
            <w:r/>
            <w:r>
              <w:rPr>
                <w:rFonts w:ascii="Segoe UI" w:hAnsi="Segoe UI"/>
                <w:b w:val="0"/>
                <w:color w:val="3E4E55"/>
                <w:sz w:val="17"/>
              </w:rPr>
              <w:t>No modelling result is externally checkable</w:t>
            </w:r>
          </w:p>
        </w:tc>
        <w:tc>
          <w:tcPr>
            <w:tcW w:type="dxa" w:w="1440"/>
          </w:tcPr>
          <w:p>
            <w:pPr>
              <w:spacing w:before="60" w:after="60"/>
            </w:pPr>
            <w:r/>
            <w:r>
              <w:rPr>
                <w:rFonts w:ascii="Segoe UI" w:hAnsi="Segoe UI"/>
                <w:b w:val="0"/>
                <w:color w:val="3E4E55"/>
                <w:sz w:val="17"/>
              </w:rPr>
              <w:t>CRITICAL</w:t>
            </w:r>
          </w:p>
        </w:tc>
        <w:tc>
          <w:tcPr>
            <w:tcW w:type="dxa" w:w="1872"/>
          </w:tcPr>
          <w:p>
            <w:pPr>
              <w:spacing w:before="60" w:after="60"/>
            </w:pPr>
            <w:r/>
            <w:r>
              <w:rPr>
                <w:rFonts w:ascii="Segoe UI" w:hAnsi="Segoe UI"/>
                <w:b w:val="0"/>
                <w:color w:val="3E4E55"/>
                <w:sz w:val="17"/>
              </w:rPr>
              <w:t>Reproducibility</w:t>
            </w:r>
          </w:p>
        </w:tc>
      </w:tr>
      <w:tr>
        <w:tc>
          <w:tcPr>
            <w:tcW w:type="dxa" w:w="792"/>
          </w:tcPr>
          <w:p>
            <w:pPr>
              <w:spacing w:before="60" w:after="60"/>
            </w:pPr>
            <w:r/>
            <w:r>
              <w:rPr>
                <w:rFonts w:ascii="Segoe UI" w:hAnsi="Segoe UI"/>
                <w:b/>
                <w:color w:val="101A1E"/>
                <w:sz w:val="17"/>
              </w:rPr>
              <w:t>F-03</w:t>
            </w:r>
          </w:p>
        </w:tc>
        <w:tc>
          <w:tcPr>
            <w:tcW w:type="dxa" w:w="5112"/>
          </w:tcPr>
          <w:p>
            <w:pPr>
              <w:spacing w:before="60" w:after="60"/>
            </w:pPr>
            <w:r/>
            <w:r>
              <w:rPr>
                <w:rFonts w:ascii="Segoe UI" w:hAnsi="Segoe UI"/>
                <w:b w:val="0"/>
                <w:color w:val="3E4E55"/>
                <w:sz w:val="17"/>
              </w:rPr>
              <w:t>EWMA has no time-gap handling; persistence counted in samples</w:t>
            </w:r>
          </w:p>
        </w:tc>
        <w:tc>
          <w:tcPr>
            <w:tcW w:type="dxa" w:w="1440"/>
          </w:tcPr>
          <w:p>
            <w:pPr>
              <w:spacing w:before="60" w:after="60"/>
            </w:pPr>
            <w:r/>
            <w:r>
              <w:rPr>
                <w:rFonts w:ascii="Segoe UI" w:hAnsi="Segoe UI"/>
                <w:b w:val="0"/>
                <w:color w:val="3E4E55"/>
                <w:sz w:val="17"/>
              </w:rPr>
              <w:t>HIGH</w:t>
            </w:r>
          </w:p>
        </w:tc>
        <w:tc>
          <w:tcPr>
            <w:tcW w:type="dxa" w:w="1872"/>
          </w:tcPr>
          <w:p>
            <w:pPr>
              <w:spacing w:before="60" w:after="60"/>
            </w:pPr>
            <w:r/>
            <w:r>
              <w:rPr>
                <w:rFonts w:ascii="Segoe UI" w:hAnsi="Segoe UI"/>
                <w:b w:val="0"/>
                <w:color w:val="3E4E55"/>
                <w:sz w:val="17"/>
              </w:rPr>
              <w:t>Detection</w:t>
            </w:r>
          </w:p>
        </w:tc>
      </w:tr>
      <w:tr>
        <w:tc>
          <w:tcPr>
            <w:tcW w:type="dxa" w:w="792"/>
          </w:tcPr>
          <w:p>
            <w:pPr>
              <w:spacing w:before="60" w:after="60"/>
            </w:pPr>
            <w:r/>
            <w:r>
              <w:rPr>
                <w:rFonts w:ascii="Segoe UI" w:hAnsi="Segoe UI"/>
                <w:b/>
                <w:color w:val="101A1E"/>
                <w:sz w:val="17"/>
              </w:rPr>
              <w:t>F-04</w:t>
            </w:r>
          </w:p>
        </w:tc>
        <w:tc>
          <w:tcPr>
            <w:tcW w:type="dxa" w:w="5112"/>
          </w:tcPr>
          <w:p>
            <w:pPr>
              <w:spacing w:before="60" w:after="60"/>
            </w:pPr>
            <w:r/>
            <w:r>
              <w:rPr>
                <w:rFonts w:ascii="Segoe UI" w:hAnsi="Segoe UI"/>
                <w:b w:val="0"/>
                <w:color w:val="3E4E55"/>
                <w:sz w:val="17"/>
              </w:rPr>
              <w:t>Missing residuals enter the EWMA as exactly zero</w:t>
            </w:r>
          </w:p>
        </w:tc>
        <w:tc>
          <w:tcPr>
            <w:tcW w:type="dxa" w:w="1440"/>
          </w:tcPr>
          <w:p>
            <w:pPr>
              <w:spacing w:before="60" w:after="60"/>
            </w:pPr>
            <w:r/>
            <w:r>
              <w:rPr>
                <w:rFonts w:ascii="Segoe UI" w:hAnsi="Segoe UI"/>
                <w:b w:val="0"/>
                <w:color w:val="3E4E55"/>
                <w:sz w:val="17"/>
              </w:rPr>
              <w:t>HIGH</w:t>
            </w:r>
          </w:p>
        </w:tc>
        <w:tc>
          <w:tcPr>
            <w:tcW w:type="dxa" w:w="1872"/>
          </w:tcPr>
          <w:p>
            <w:pPr>
              <w:spacing w:before="60" w:after="60"/>
            </w:pPr>
            <w:r/>
            <w:r>
              <w:rPr>
                <w:rFonts w:ascii="Segoe UI" w:hAnsi="Segoe UI"/>
                <w:b w:val="0"/>
                <w:color w:val="3E4E55"/>
                <w:sz w:val="17"/>
              </w:rPr>
              <w:t>Detection</w:t>
            </w:r>
          </w:p>
        </w:tc>
      </w:tr>
      <w:tr>
        <w:tc>
          <w:tcPr>
            <w:tcW w:type="dxa" w:w="792"/>
          </w:tcPr>
          <w:p>
            <w:pPr>
              <w:spacing w:before="60" w:after="60"/>
            </w:pPr>
            <w:r/>
            <w:r>
              <w:rPr>
                <w:rFonts w:ascii="Segoe UI" w:hAnsi="Segoe UI"/>
                <w:b/>
                <w:color w:val="101A1E"/>
                <w:sz w:val="17"/>
              </w:rPr>
              <w:t>F-05</w:t>
            </w:r>
          </w:p>
        </w:tc>
        <w:tc>
          <w:tcPr>
            <w:tcW w:type="dxa" w:w="5112"/>
          </w:tcPr>
          <w:p>
            <w:pPr>
              <w:spacing w:before="60" w:after="60"/>
            </w:pPr>
            <w:r/>
            <w:r>
              <w:rPr>
                <w:rFonts w:ascii="Segoe UI" w:hAnsi="Segoe UI"/>
                <w:b w:val="0"/>
                <w:color w:val="3E4E55"/>
                <w:sz w:val="17"/>
              </w:rPr>
              <w:t>Normalization and control limits pooled across all six turbines</w:t>
            </w:r>
          </w:p>
        </w:tc>
        <w:tc>
          <w:tcPr>
            <w:tcW w:type="dxa" w:w="1440"/>
          </w:tcPr>
          <w:p>
            <w:pPr>
              <w:spacing w:before="60" w:after="60"/>
            </w:pPr>
            <w:r/>
            <w:r>
              <w:rPr>
                <w:rFonts w:ascii="Segoe UI" w:hAnsi="Segoe UI"/>
                <w:b w:val="0"/>
                <w:color w:val="3E4E55"/>
                <w:sz w:val="17"/>
              </w:rPr>
              <w:t>HIGH</w:t>
            </w:r>
          </w:p>
        </w:tc>
        <w:tc>
          <w:tcPr>
            <w:tcW w:type="dxa" w:w="1872"/>
          </w:tcPr>
          <w:p>
            <w:pPr>
              <w:spacing w:before="60" w:after="60"/>
            </w:pPr>
            <w:r/>
            <w:r>
              <w:rPr>
                <w:rFonts w:ascii="Segoe UI" w:hAnsi="Segoe UI"/>
                <w:b w:val="0"/>
                <w:color w:val="3E4E55"/>
                <w:sz w:val="17"/>
              </w:rPr>
              <w:t>Residuals</w:t>
            </w:r>
          </w:p>
        </w:tc>
      </w:tr>
      <w:tr>
        <w:tc>
          <w:tcPr>
            <w:tcW w:type="dxa" w:w="792"/>
          </w:tcPr>
          <w:p>
            <w:pPr>
              <w:spacing w:before="60" w:after="60"/>
            </w:pPr>
            <w:r/>
            <w:r>
              <w:rPr>
                <w:rFonts w:ascii="Segoe UI" w:hAnsi="Segoe UI"/>
                <w:b/>
                <w:color w:val="101A1E"/>
                <w:sz w:val="17"/>
              </w:rPr>
              <w:t>F-06</w:t>
            </w:r>
          </w:p>
        </w:tc>
        <w:tc>
          <w:tcPr>
            <w:tcW w:type="dxa" w:w="5112"/>
          </w:tcPr>
          <w:p>
            <w:pPr>
              <w:spacing w:before="60" w:after="60"/>
            </w:pPr>
            <w:r/>
            <w:r>
              <w:rPr>
                <w:rFonts w:ascii="Segoe UI" w:hAnsi="Segoe UI"/>
                <w:b w:val="0"/>
                <w:color w:val="3E4E55"/>
                <w:sz w:val="17"/>
              </w:rPr>
              <w:t>Bootstrap and DM run on a turbine-interleaved series</w:t>
            </w:r>
          </w:p>
        </w:tc>
        <w:tc>
          <w:tcPr>
            <w:tcW w:type="dxa" w:w="1440"/>
          </w:tcPr>
          <w:p>
            <w:pPr>
              <w:spacing w:before="60" w:after="60"/>
            </w:pPr>
            <w:r/>
            <w:r>
              <w:rPr>
                <w:rFonts w:ascii="Segoe UI" w:hAnsi="Segoe UI"/>
                <w:b w:val="0"/>
                <w:color w:val="3E4E55"/>
                <w:sz w:val="17"/>
              </w:rPr>
              <w:t>HIGH</w:t>
            </w:r>
          </w:p>
        </w:tc>
        <w:tc>
          <w:tcPr>
            <w:tcW w:type="dxa" w:w="1872"/>
          </w:tcPr>
          <w:p>
            <w:pPr>
              <w:spacing w:before="60" w:after="60"/>
            </w:pPr>
            <w:r/>
            <w:r>
              <w:rPr>
                <w:rFonts w:ascii="Segoe UI" w:hAnsi="Segoe UI"/>
                <w:b w:val="0"/>
                <w:color w:val="3E4E55"/>
                <w:sz w:val="17"/>
              </w:rPr>
              <w:t>Statistics</w:t>
            </w:r>
          </w:p>
        </w:tc>
      </w:tr>
      <w:tr>
        <w:tc>
          <w:tcPr>
            <w:tcW w:type="dxa" w:w="792"/>
          </w:tcPr>
          <w:p>
            <w:pPr>
              <w:spacing w:before="60" w:after="60"/>
            </w:pPr>
            <w:r/>
            <w:r>
              <w:rPr>
                <w:rFonts w:ascii="Segoe UI" w:hAnsi="Segoe UI"/>
                <w:b/>
                <w:color w:val="101A1E"/>
                <w:sz w:val="17"/>
              </w:rPr>
              <w:t>F-08</w:t>
            </w:r>
          </w:p>
        </w:tc>
        <w:tc>
          <w:tcPr>
            <w:tcW w:type="dxa" w:w="5112"/>
          </w:tcPr>
          <w:p>
            <w:pPr>
              <w:spacing w:before="60" w:after="60"/>
            </w:pPr>
            <w:r/>
            <w:r>
              <w:rPr>
                <w:rFonts w:ascii="Segoe UI" w:hAnsi="Segoe UI"/>
                <w:b w:val="0"/>
                <w:color w:val="3E4E55"/>
                <w:sz w:val="17"/>
              </w:rPr>
              <w:t>Residual-level independence of the two targets never measured</w:t>
            </w:r>
          </w:p>
        </w:tc>
        <w:tc>
          <w:tcPr>
            <w:tcW w:type="dxa" w:w="1440"/>
          </w:tcPr>
          <w:p>
            <w:pPr>
              <w:spacing w:before="60" w:after="60"/>
            </w:pPr>
            <w:r/>
            <w:r>
              <w:rPr>
                <w:rFonts w:ascii="Segoe UI" w:hAnsi="Segoe UI"/>
                <w:b w:val="0"/>
                <w:color w:val="3E4E55"/>
                <w:sz w:val="17"/>
              </w:rPr>
              <w:t>HIGH</w:t>
            </w:r>
          </w:p>
        </w:tc>
        <w:tc>
          <w:tcPr>
            <w:tcW w:type="dxa" w:w="1872"/>
          </w:tcPr>
          <w:p>
            <w:pPr>
              <w:spacing w:before="60" w:after="60"/>
            </w:pPr>
            <w:r/>
            <w:r>
              <w:rPr>
                <w:rFonts w:ascii="Segoe UI" w:hAnsi="Segoe UI"/>
                <w:b w:val="0"/>
                <w:color w:val="3E4E55"/>
                <w:sz w:val="17"/>
              </w:rPr>
              <w:t>Features/targets</w:t>
            </w:r>
          </w:p>
        </w:tc>
      </w:tr>
      <w:tr>
        <w:tc>
          <w:tcPr>
            <w:tcW w:type="dxa" w:w="792"/>
          </w:tcPr>
          <w:p>
            <w:pPr>
              <w:spacing w:before="60" w:after="60"/>
            </w:pPr>
            <w:r/>
            <w:r>
              <w:rPr>
                <w:rFonts w:ascii="Segoe UI" w:hAnsi="Segoe UI"/>
                <w:b/>
                <w:color w:val="101A1E"/>
                <w:sz w:val="17"/>
              </w:rPr>
              <w:t>F-09</w:t>
            </w:r>
          </w:p>
        </w:tc>
        <w:tc>
          <w:tcPr>
            <w:tcW w:type="dxa" w:w="5112"/>
          </w:tcPr>
          <w:p>
            <w:pPr>
              <w:spacing w:before="60" w:after="60"/>
            </w:pPr>
            <w:r/>
            <w:r>
              <w:rPr>
                <w:rFonts w:ascii="Segoe UI" w:hAnsi="Segoe UI"/>
                <w:b w:val="0"/>
                <w:color w:val="3E4E55"/>
                <w:sz w:val="17"/>
              </w:rPr>
              <w:t>Two open High-risk config decisions cannot be swept</w:t>
            </w:r>
          </w:p>
        </w:tc>
        <w:tc>
          <w:tcPr>
            <w:tcW w:type="dxa" w:w="1440"/>
          </w:tcPr>
          <w:p>
            <w:pPr>
              <w:spacing w:before="60" w:after="60"/>
            </w:pPr>
            <w:r/>
            <w:r>
              <w:rPr>
                <w:rFonts w:ascii="Segoe UI" w:hAnsi="Segoe UI"/>
                <w:b w:val="0"/>
                <w:color w:val="3E4E55"/>
                <w:sz w:val="17"/>
              </w:rPr>
              <w:t>HIGH</w:t>
            </w:r>
          </w:p>
        </w:tc>
        <w:tc>
          <w:tcPr>
            <w:tcW w:type="dxa" w:w="1872"/>
          </w:tcPr>
          <w:p>
            <w:pPr>
              <w:spacing w:before="60" w:after="60"/>
            </w:pPr>
            <w:r/>
            <w:r>
              <w:rPr>
                <w:rFonts w:ascii="Segoe UI" w:hAnsi="Segoe UI"/>
                <w:b w:val="0"/>
                <w:color w:val="3E4E55"/>
                <w:sz w:val="17"/>
              </w:rPr>
              <w:t>Sensitivity</w:t>
            </w:r>
          </w:p>
        </w:tc>
      </w:tr>
      <w:tr>
        <w:tc>
          <w:tcPr>
            <w:tcW w:type="dxa" w:w="792"/>
          </w:tcPr>
          <w:p>
            <w:pPr>
              <w:spacing w:before="60" w:after="60"/>
            </w:pPr>
            <w:r/>
            <w:r>
              <w:rPr>
                <w:rFonts w:ascii="Segoe UI" w:hAnsi="Segoe UI"/>
                <w:b/>
                <w:color w:val="101A1E"/>
                <w:sz w:val="17"/>
              </w:rPr>
              <w:t>F-10</w:t>
            </w:r>
          </w:p>
        </w:tc>
        <w:tc>
          <w:tcPr>
            <w:tcW w:type="dxa" w:w="5112"/>
          </w:tcPr>
          <w:p>
            <w:pPr>
              <w:spacing w:before="60" w:after="60"/>
            </w:pPr>
            <w:r/>
            <w:r>
              <w:rPr>
                <w:rFonts w:ascii="Segoe UI" w:hAnsi="Segoe UI"/>
                <w:b w:val="0"/>
                <w:color w:val="3E4E55"/>
                <w:sz w:val="17"/>
              </w:rPr>
              <w:t>reproduce checks no code or configuration identity</w:t>
            </w:r>
          </w:p>
        </w:tc>
        <w:tc>
          <w:tcPr>
            <w:tcW w:type="dxa" w:w="1440"/>
          </w:tcPr>
          <w:p>
            <w:pPr>
              <w:spacing w:before="60" w:after="60"/>
            </w:pPr>
            <w:r/>
            <w:r>
              <w:rPr>
                <w:rFonts w:ascii="Segoe UI" w:hAnsi="Segoe UI"/>
                <w:b w:val="0"/>
                <w:color w:val="3E4E55"/>
                <w:sz w:val="17"/>
              </w:rPr>
              <w:t>MEDIUM</w:t>
            </w:r>
          </w:p>
        </w:tc>
        <w:tc>
          <w:tcPr>
            <w:tcW w:type="dxa" w:w="1872"/>
          </w:tcPr>
          <w:p>
            <w:pPr>
              <w:spacing w:before="60" w:after="60"/>
            </w:pPr>
            <w:r/>
            <w:r>
              <w:rPr>
                <w:rFonts w:ascii="Segoe UI" w:hAnsi="Segoe UI"/>
                <w:b w:val="0"/>
                <w:color w:val="3E4E55"/>
                <w:sz w:val="17"/>
              </w:rPr>
              <w:t>Reproducibility</w:t>
            </w:r>
          </w:p>
        </w:tc>
      </w:tr>
      <w:tr>
        <w:tc>
          <w:tcPr>
            <w:tcW w:type="dxa" w:w="792"/>
          </w:tcPr>
          <w:p>
            <w:pPr>
              <w:spacing w:before="60" w:after="60"/>
            </w:pPr>
            <w:r/>
            <w:r>
              <w:rPr>
                <w:rFonts w:ascii="Segoe UI" w:hAnsi="Segoe UI"/>
                <w:b/>
                <w:color w:val="101A1E"/>
                <w:sz w:val="17"/>
              </w:rPr>
              <w:t>F-11</w:t>
            </w:r>
          </w:p>
        </w:tc>
        <w:tc>
          <w:tcPr>
            <w:tcW w:type="dxa" w:w="5112"/>
          </w:tcPr>
          <w:p>
            <w:pPr>
              <w:spacing w:before="60" w:after="60"/>
            </w:pPr>
            <w:r/>
            <w:r>
              <w:rPr>
                <w:rFonts w:ascii="Segoe UI" w:hAnsi="Segoe UI"/>
                <w:b w:val="0"/>
                <w:color w:val="3E4E55"/>
                <w:sz w:val="17"/>
              </w:rPr>
              <w:t>Reproducibility gate does not cover the tuned path</w:t>
            </w:r>
          </w:p>
        </w:tc>
        <w:tc>
          <w:tcPr>
            <w:tcW w:type="dxa" w:w="1440"/>
          </w:tcPr>
          <w:p>
            <w:pPr>
              <w:spacing w:before="60" w:after="60"/>
            </w:pPr>
            <w:r/>
            <w:r>
              <w:rPr>
                <w:rFonts w:ascii="Segoe UI" w:hAnsi="Segoe UI"/>
                <w:b w:val="0"/>
                <w:color w:val="3E4E55"/>
                <w:sz w:val="17"/>
              </w:rPr>
              <w:t>MEDIUM</w:t>
            </w:r>
          </w:p>
        </w:tc>
        <w:tc>
          <w:tcPr>
            <w:tcW w:type="dxa" w:w="1872"/>
          </w:tcPr>
          <w:p>
            <w:pPr>
              <w:spacing w:before="60" w:after="60"/>
            </w:pPr>
            <w:r/>
            <w:r>
              <w:rPr>
                <w:rFonts w:ascii="Segoe UI" w:hAnsi="Segoe UI"/>
                <w:b w:val="0"/>
                <w:color w:val="3E4E55"/>
                <w:sz w:val="17"/>
              </w:rPr>
              <w:t>Reproducibility</w:t>
            </w:r>
          </w:p>
        </w:tc>
      </w:tr>
      <w:tr>
        <w:tc>
          <w:tcPr>
            <w:tcW w:type="dxa" w:w="792"/>
          </w:tcPr>
          <w:p>
            <w:pPr>
              <w:spacing w:before="60" w:after="60"/>
            </w:pPr>
            <w:r/>
            <w:r>
              <w:rPr>
                <w:rFonts w:ascii="Segoe UI" w:hAnsi="Segoe UI"/>
                <w:b/>
                <w:color w:val="101A1E"/>
                <w:sz w:val="17"/>
              </w:rPr>
              <w:t>F-12</w:t>
            </w:r>
          </w:p>
        </w:tc>
        <w:tc>
          <w:tcPr>
            <w:tcW w:type="dxa" w:w="5112"/>
          </w:tcPr>
          <w:p>
            <w:pPr>
              <w:spacing w:before="60" w:after="60"/>
            </w:pPr>
            <w:r/>
            <w:r>
              <w:rPr>
                <w:rFonts w:ascii="Segoe UI" w:hAnsi="Segoe UI"/>
                <w:b w:val="0"/>
                <w:color w:val="3E4E55"/>
                <w:sz w:val="17"/>
              </w:rPr>
              <w:t>Label/alarm sources outside the provenance chain</w:t>
            </w:r>
          </w:p>
        </w:tc>
        <w:tc>
          <w:tcPr>
            <w:tcW w:type="dxa" w:w="1440"/>
          </w:tcPr>
          <w:p>
            <w:pPr>
              <w:spacing w:before="60" w:after="60"/>
            </w:pPr>
            <w:r/>
            <w:r>
              <w:rPr>
                <w:rFonts w:ascii="Segoe UI" w:hAnsi="Segoe UI"/>
                <w:b w:val="0"/>
                <w:color w:val="3E4E55"/>
                <w:sz w:val="17"/>
              </w:rPr>
              <w:t>MEDIUM</w:t>
            </w:r>
          </w:p>
        </w:tc>
        <w:tc>
          <w:tcPr>
            <w:tcW w:type="dxa" w:w="1872"/>
          </w:tcPr>
          <w:p>
            <w:pPr>
              <w:spacing w:before="60" w:after="60"/>
            </w:pPr>
            <w:r/>
            <w:r>
              <w:rPr>
                <w:rFonts w:ascii="Segoe UI" w:hAnsi="Segoe UI"/>
                <w:b w:val="0"/>
                <w:color w:val="3E4E55"/>
                <w:sz w:val="17"/>
              </w:rPr>
              <w:t>Data provenance</w:t>
            </w:r>
          </w:p>
        </w:tc>
      </w:tr>
      <w:tr>
        <w:tc>
          <w:tcPr>
            <w:tcW w:type="dxa" w:w="792"/>
          </w:tcPr>
          <w:p>
            <w:pPr>
              <w:spacing w:before="60" w:after="60"/>
            </w:pPr>
            <w:r/>
            <w:r>
              <w:rPr>
                <w:rFonts w:ascii="Segoe UI" w:hAnsi="Segoe UI"/>
                <w:b/>
                <w:color w:val="101A1E"/>
                <w:sz w:val="17"/>
              </w:rPr>
              <w:t>F-13</w:t>
            </w:r>
          </w:p>
        </w:tc>
        <w:tc>
          <w:tcPr>
            <w:tcW w:type="dxa" w:w="5112"/>
          </w:tcPr>
          <w:p>
            <w:pPr>
              <w:spacing w:before="60" w:after="60"/>
            </w:pPr>
            <w:r/>
            <w:r>
              <w:rPr>
                <w:rFonts w:ascii="Segoe UI" w:hAnsi="Segoe UI"/>
                <w:b w:val="0"/>
                <w:color w:val="3E4E55"/>
                <w:sz w:val="17"/>
              </w:rPr>
              <w:t>Reproduction bound to absolute paths on one machine</w:t>
            </w:r>
          </w:p>
        </w:tc>
        <w:tc>
          <w:tcPr>
            <w:tcW w:type="dxa" w:w="1440"/>
          </w:tcPr>
          <w:p>
            <w:pPr>
              <w:spacing w:before="60" w:after="60"/>
            </w:pPr>
            <w:r/>
            <w:r>
              <w:rPr>
                <w:rFonts w:ascii="Segoe UI" w:hAnsi="Segoe UI"/>
                <w:b w:val="0"/>
                <w:color w:val="3E4E55"/>
                <w:sz w:val="17"/>
              </w:rPr>
              <w:t>MEDIUM</w:t>
            </w:r>
          </w:p>
        </w:tc>
        <w:tc>
          <w:tcPr>
            <w:tcW w:type="dxa" w:w="1872"/>
          </w:tcPr>
          <w:p>
            <w:pPr>
              <w:spacing w:before="60" w:after="60"/>
            </w:pPr>
            <w:r/>
            <w:r>
              <w:rPr>
                <w:rFonts w:ascii="Segoe UI" w:hAnsi="Segoe UI"/>
                <w:b w:val="0"/>
                <w:color w:val="3E4E55"/>
                <w:sz w:val="17"/>
              </w:rPr>
              <w:t>Reproducibility</w:t>
            </w:r>
          </w:p>
        </w:tc>
      </w:tr>
      <w:tr>
        <w:tc>
          <w:tcPr>
            <w:tcW w:type="dxa" w:w="792"/>
          </w:tcPr>
          <w:p>
            <w:pPr>
              <w:spacing w:before="60" w:after="60"/>
            </w:pPr>
            <w:r/>
            <w:r>
              <w:rPr>
                <w:rFonts w:ascii="Segoe UI" w:hAnsi="Segoe UI"/>
                <w:b/>
                <w:color w:val="101A1E"/>
                <w:sz w:val="17"/>
              </w:rPr>
              <w:t>F-14</w:t>
            </w:r>
          </w:p>
        </w:tc>
        <w:tc>
          <w:tcPr>
            <w:tcW w:type="dxa" w:w="5112"/>
          </w:tcPr>
          <w:p>
            <w:pPr>
              <w:spacing w:before="60" w:after="60"/>
            </w:pPr>
            <w:r/>
            <w:r>
              <w:rPr>
                <w:rFonts w:ascii="Segoe UI" w:hAnsi="Segoe UI"/>
                <w:b w:val="0"/>
                <w:color w:val="3E4E55"/>
                <w:sz w:val="17"/>
              </w:rPr>
              <w:t>Bias persisted with opposite signs in two artefacts</w:t>
            </w:r>
          </w:p>
        </w:tc>
        <w:tc>
          <w:tcPr>
            <w:tcW w:type="dxa" w:w="1440"/>
          </w:tcPr>
          <w:p>
            <w:pPr>
              <w:spacing w:before="60" w:after="60"/>
            </w:pPr>
            <w:r/>
            <w:r>
              <w:rPr>
                <w:rFonts w:ascii="Segoe UI" w:hAnsi="Segoe UI"/>
                <w:b w:val="0"/>
                <w:color w:val="3E4E55"/>
                <w:sz w:val="17"/>
              </w:rPr>
              <w:t>MEDIUM</w:t>
            </w:r>
          </w:p>
        </w:tc>
        <w:tc>
          <w:tcPr>
            <w:tcW w:type="dxa" w:w="1872"/>
          </w:tcPr>
          <w:p>
            <w:pPr>
              <w:spacing w:before="60" w:after="60"/>
            </w:pPr>
            <w:r/>
            <w:r>
              <w:rPr>
                <w:rFonts w:ascii="Segoe UI" w:hAnsi="Segoe UI"/>
                <w:b w:val="0"/>
                <w:color w:val="3E4E55"/>
                <w:sz w:val="17"/>
              </w:rPr>
              <w:t>Metrics</w:t>
            </w:r>
          </w:p>
        </w:tc>
      </w:tr>
      <w:tr>
        <w:tc>
          <w:tcPr>
            <w:tcW w:type="dxa" w:w="792"/>
          </w:tcPr>
          <w:p>
            <w:pPr>
              <w:spacing w:before="60" w:after="60"/>
            </w:pPr>
            <w:r/>
            <w:r>
              <w:rPr>
                <w:rFonts w:ascii="Segoe UI" w:hAnsi="Segoe UI"/>
                <w:b/>
                <w:color w:val="101A1E"/>
                <w:sz w:val="17"/>
              </w:rPr>
              <w:t>F-15</w:t>
            </w:r>
          </w:p>
        </w:tc>
        <w:tc>
          <w:tcPr>
            <w:tcW w:type="dxa" w:w="5112"/>
          </w:tcPr>
          <w:p>
            <w:pPr>
              <w:spacing w:before="60" w:after="60"/>
            </w:pPr>
            <w:r/>
            <w:r>
              <w:rPr>
                <w:rFonts w:ascii="Segoe UI" w:hAnsi="Segoe UI"/>
                <w:b w:val="0"/>
                <w:color w:val="3E4E55"/>
                <w:sz w:val="17"/>
              </w:rPr>
              <w:t>Block-length search quadratic; saturation yields four blocks</w:t>
            </w:r>
          </w:p>
        </w:tc>
        <w:tc>
          <w:tcPr>
            <w:tcW w:type="dxa" w:w="1440"/>
          </w:tcPr>
          <w:p>
            <w:pPr>
              <w:spacing w:before="60" w:after="60"/>
            </w:pPr>
            <w:r/>
            <w:r>
              <w:rPr>
                <w:rFonts w:ascii="Segoe UI" w:hAnsi="Segoe UI"/>
                <w:b w:val="0"/>
                <w:color w:val="3E4E55"/>
                <w:sz w:val="17"/>
              </w:rPr>
              <w:t>MEDIUM</w:t>
            </w:r>
          </w:p>
        </w:tc>
        <w:tc>
          <w:tcPr>
            <w:tcW w:type="dxa" w:w="1872"/>
          </w:tcPr>
          <w:p>
            <w:pPr>
              <w:spacing w:before="60" w:after="60"/>
            </w:pPr>
            <w:r/>
            <w:r>
              <w:rPr>
                <w:rFonts w:ascii="Segoe UI" w:hAnsi="Segoe UI"/>
                <w:b w:val="0"/>
                <w:color w:val="3E4E55"/>
                <w:sz w:val="17"/>
              </w:rPr>
              <w:t>Statistics</w:t>
            </w:r>
          </w:p>
        </w:tc>
      </w:tr>
      <w:tr>
        <w:tc>
          <w:tcPr>
            <w:tcW w:type="dxa" w:w="792"/>
          </w:tcPr>
          <w:p>
            <w:pPr>
              <w:spacing w:before="60" w:after="60"/>
            </w:pPr>
            <w:r/>
            <w:r>
              <w:rPr>
                <w:rFonts w:ascii="Segoe UI" w:hAnsi="Segoe UI"/>
                <w:b/>
                <w:color w:val="101A1E"/>
                <w:sz w:val="17"/>
              </w:rPr>
              <w:t>F-16</w:t>
            </w:r>
          </w:p>
        </w:tc>
        <w:tc>
          <w:tcPr>
            <w:tcW w:type="dxa" w:w="5112"/>
          </w:tcPr>
          <w:p>
            <w:pPr>
              <w:spacing w:before="60" w:after="60"/>
            </w:pPr>
            <w:r/>
            <w:r>
              <w:rPr>
                <w:rFonts w:ascii="Segoe UI" w:hAnsi="Segoe UI"/>
                <w:b w:val="0"/>
                <w:color w:val="3E4E55"/>
                <w:sz w:val="17"/>
              </w:rPr>
              <w:t>Reproducible pipeline produces no diagnostic output</w:t>
            </w:r>
          </w:p>
        </w:tc>
        <w:tc>
          <w:tcPr>
            <w:tcW w:type="dxa" w:w="1440"/>
          </w:tcPr>
          <w:p>
            <w:pPr>
              <w:spacing w:before="60" w:after="60"/>
            </w:pPr>
            <w:r/>
            <w:r>
              <w:rPr>
                <w:rFonts w:ascii="Segoe UI" w:hAnsi="Segoe UI"/>
                <w:b w:val="0"/>
                <w:color w:val="3E4E55"/>
                <w:sz w:val="17"/>
              </w:rPr>
              <w:t>MEDIUM</w:t>
            </w:r>
          </w:p>
        </w:tc>
        <w:tc>
          <w:tcPr>
            <w:tcW w:type="dxa" w:w="1872"/>
          </w:tcPr>
          <w:p>
            <w:pPr>
              <w:spacing w:before="60" w:after="60"/>
            </w:pPr>
            <w:r/>
            <w:r>
              <w:rPr>
                <w:rFonts w:ascii="Segoe UI" w:hAnsi="Segoe UI"/>
                <w:b w:val="0"/>
                <w:color w:val="3E4E55"/>
                <w:sz w:val="17"/>
              </w:rPr>
              <w:t>Architecture</w:t>
            </w:r>
          </w:p>
        </w:tc>
      </w:tr>
      <w:tr>
        <w:tc>
          <w:tcPr>
            <w:tcW w:type="dxa" w:w="792"/>
          </w:tcPr>
          <w:p>
            <w:pPr>
              <w:spacing w:before="60" w:after="60"/>
            </w:pPr>
            <w:r/>
            <w:r>
              <w:rPr>
                <w:rFonts w:ascii="Segoe UI" w:hAnsi="Segoe UI"/>
                <w:b/>
                <w:color w:val="101A1E"/>
                <w:sz w:val="17"/>
              </w:rPr>
              <w:t>F-19</w:t>
            </w:r>
          </w:p>
        </w:tc>
        <w:tc>
          <w:tcPr>
            <w:tcW w:type="dxa" w:w="5112"/>
          </w:tcPr>
          <w:p>
            <w:pPr>
              <w:spacing w:before="60" w:after="60"/>
            </w:pPr>
            <w:r/>
            <w:r>
              <w:rPr>
                <w:rFonts w:ascii="Segoe UI" w:hAnsi="Segoe UI"/>
                <w:b w:val="0"/>
                <w:color w:val="3E4E55"/>
                <w:sz w:val="17"/>
              </w:rPr>
              <w:t>Step-change detector windows row-based and overlapping</w:t>
            </w:r>
          </w:p>
        </w:tc>
        <w:tc>
          <w:tcPr>
            <w:tcW w:type="dxa" w:w="1440"/>
          </w:tcPr>
          <w:p>
            <w:pPr>
              <w:spacing w:before="60" w:after="60"/>
            </w:pPr>
            <w:r/>
            <w:r>
              <w:rPr>
                <w:rFonts w:ascii="Segoe UI" w:hAnsi="Segoe UI"/>
                <w:b w:val="0"/>
                <w:color w:val="3E4E55"/>
                <w:sz w:val="17"/>
              </w:rPr>
              <w:t>LOW</w:t>
            </w:r>
          </w:p>
        </w:tc>
        <w:tc>
          <w:tcPr>
            <w:tcW w:type="dxa" w:w="1872"/>
          </w:tcPr>
          <w:p>
            <w:pPr>
              <w:spacing w:before="60" w:after="60"/>
            </w:pPr>
            <w:r/>
            <w:r>
              <w:rPr>
                <w:rFonts w:ascii="Segoe UI" w:hAnsi="Segoe UI"/>
                <w:b w:val="0"/>
                <w:color w:val="3E4E55"/>
                <w:sz w:val="17"/>
              </w:rPr>
              <w:t>Data cleaning</w:t>
            </w:r>
          </w:p>
        </w:tc>
      </w:tr>
      <w:tr>
        <w:tc>
          <w:tcPr>
            <w:tcW w:type="dxa" w:w="792"/>
          </w:tcPr>
          <w:p>
            <w:pPr>
              <w:spacing w:before="60" w:after="60"/>
            </w:pPr>
            <w:r/>
            <w:r>
              <w:rPr>
                <w:rFonts w:ascii="Segoe UI" w:hAnsi="Segoe UI"/>
                <w:b/>
                <w:color w:val="101A1E"/>
                <w:sz w:val="17"/>
              </w:rPr>
              <w:t>F-20</w:t>
            </w:r>
          </w:p>
        </w:tc>
        <w:tc>
          <w:tcPr>
            <w:tcW w:type="dxa" w:w="5112"/>
          </w:tcPr>
          <w:p>
            <w:pPr>
              <w:spacing w:before="60" w:after="60"/>
            </w:pPr>
            <w:r/>
            <w:r>
              <w:rPr>
                <w:rFonts w:ascii="Segoe UI" w:hAnsi="Segoe UI"/>
                <w:b w:val="0"/>
                <w:color w:val="3E4E55"/>
                <w:sz w:val="17"/>
              </w:rPr>
              <w:t>Model registry swallows TypeError from the constructor</w:t>
            </w:r>
          </w:p>
        </w:tc>
        <w:tc>
          <w:tcPr>
            <w:tcW w:type="dxa" w:w="1440"/>
          </w:tcPr>
          <w:p>
            <w:pPr>
              <w:spacing w:before="60" w:after="60"/>
            </w:pPr>
            <w:r/>
            <w:r>
              <w:rPr>
                <w:rFonts w:ascii="Segoe UI" w:hAnsi="Segoe UI"/>
                <w:b w:val="0"/>
                <w:color w:val="3E4E55"/>
                <w:sz w:val="17"/>
              </w:rPr>
              <w:t>LOW</w:t>
            </w:r>
          </w:p>
        </w:tc>
        <w:tc>
          <w:tcPr>
            <w:tcW w:type="dxa" w:w="1872"/>
          </w:tcPr>
          <w:p>
            <w:pPr>
              <w:spacing w:before="60" w:after="60"/>
            </w:pPr>
            <w:r/>
            <w:r>
              <w:rPr>
                <w:rFonts w:ascii="Segoe UI" w:hAnsi="Segoe UI"/>
                <w:b w:val="0"/>
                <w:color w:val="3E4E55"/>
                <w:sz w:val="17"/>
              </w:rPr>
              <w:t>Models</w:t>
            </w:r>
          </w:p>
        </w:tc>
      </w:tr>
      <w:tr>
        <w:tc>
          <w:tcPr>
            <w:tcW w:type="dxa" w:w="792"/>
          </w:tcPr>
          <w:p>
            <w:pPr>
              <w:spacing w:before="60" w:after="60"/>
            </w:pPr>
            <w:r/>
            <w:r>
              <w:rPr>
                <w:rFonts w:ascii="Segoe UI" w:hAnsi="Segoe UI"/>
                <w:b/>
                <w:color w:val="101A1E"/>
                <w:sz w:val="17"/>
              </w:rPr>
              <w:t>F-21</w:t>
            </w:r>
          </w:p>
        </w:tc>
        <w:tc>
          <w:tcPr>
            <w:tcW w:type="dxa" w:w="5112"/>
          </w:tcPr>
          <w:p>
            <w:pPr>
              <w:spacing w:before="60" w:after="60"/>
            </w:pPr>
            <w:r/>
            <w:r>
              <w:rPr>
                <w:rFonts w:ascii="Segoe UI" w:hAnsi="Segoe UI"/>
                <w:b w:val="0"/>
                <w:color w:val="3E4E55"/>
                <w:sz w:val="17"/>
              </w:rPr>
              <w:t>Single-signal baseline evaluated on the two-target intersection</w:t>
            </w:r>
          </w:p>
        </w:tc>
        <w:tc>
          <w:tcPr>
            <w:tcW w:type="dxa" w:w="1440"/>
          </w:tcPr>
          <w:p>
            <w:pPr>
              <w:spacing w:before="60" w:after="60"/>
            </w:pPr>
            <w:r/>
            <w:r>
              <w:rPr>
                <w:rFonts w:ascii="Segoe UI" w:hAnsi="Segoe UI"/>
                <w:b w:val="0"/>
                <w:color w:val="3E4E55"/>
                <w:sz w:val="17"/>
              </w:rPr>
              <w:t>LOW</w:t>
            </w:r>
          </w:p>
        </w:tc>
        <w:tc>
          <w:tcPr>
            <w:tcW w:type="dxa" w:w="1872"/>
          </w:tcPr>
          <w:p>
            <w:pPr>
              <w:spacing w:before="60" w:after="60"/>
            </w:pPr>
            <w:r/>
            <w:r>
              <w:rPr>
                <w:rFonts w:ascii="Segoe UI" w:hAnsi="Segoe UI"/>
                <w:b w:val="0"/>
                <w:color w:val="3E4E55"/>
                <w:sz w:val="17"/>
              </w:rPr>
              <w:t>Evaluation</w:t>
            </w:r>
          </w:p>
        </w:tc>
      </w:tr>
      <w:tr>
        <w:tc>
          <w:tcPr>
            <w:tcW w:type="dxa" w:w="792"/>
          </w:tcPr>
          <w:p>
            <w:pPr>
              <w:spacing w:before="60" w:after="60"/>
            </w:pPr>
            <w:r/>
            <w:r>
              <w:rPr>
                <w:rFonts w:ascii="Segoe UI" w:hAnsi="Segoe UI"/>
                <w:b/>
                <w:color w:val="101A1E"/>
                <w:sz w:val="17"/>
              </w:rPr>
              <w:t>F-22</w:t>
            </w:r>
          </w:p>
        </w:tc>
        <w:tc>
          <w:tcPr>
            <w:tcW w:type="dxa" w:w="5112"/>
          </w:tcPr>
          <w:p>
            <w:pPr>
              <w:spacing w:before="60" w:after="60"/>
            </w:pPr>
            <w:r/>
            <w:r>
              <w:rPr>
                <w:rFonts w:ascii="Segoe UI" w:hAnsi="Segoe UI"/>
                <w:b w:val="0"/>
                <w:color w:val="3E4E55"/>
                <w:sz w:val="17"/>
              </w:rPr>
              <w:t>In-control characterisation becomes in-sample under one config branch</w:t>
            </w:r>
          </w:p>
        </w:tc>
        <w:tc>
          <w:tcPr>
            <w:tcW w:type="dxa" w:w="1440"/>
          </w:tcPr>
          <w:p>
            <w:pPr>
              <w:spacing w:before="60" w:after="60"/>
            </w:pPr>
            <w:r/>
            <w:r>
              <w:rPr>
                <w:rFonts w:ascii="Segoe UI" w:hAnsi="Segoe UI"/>
                <w:b w:val="0"/>
                <w:color w:val="3E4E55"/>
                <w:sz w:val="17"/>
              </w:rPr>
              <w:t>LOW</w:t>
            </w:r>
          </w:p>
        </w:tc>
        <w:tc>
          <w:tcPr>
            <w:tcW w:type="dxa" w:w="1872"/>
          </w:tcPr>
          <w:p>
            <w:pPr>
              <w:spacing w:before="60" w:after="60"/>
            </w:pPr>
            <w:r/>
            <w:r>
              <w:rPr>
                <w:rFonts w:ascii="Segoe UI" w:hAnsi="Segoe UI"/>
                <w:b w:val="0"/>
                <w:color w:val="3E4E55"/>
                <w:sz w:val="17"/>
              </w:rPr>
              <w:t>Detection</w:t>
            </w:r>
          </w:p>
        </w:tc>
      </w:tr>
    </w:tbl>
    <w:p>
      <w:pPr>
        <w:spacing w:after="40"/>
      </w:pPr>
    </w:p>
    <w:p>
      <w:pPr>
        <w:pStyle w:val="FindHead"/>
      </w:pPr>
      <w:r>
        <w:rPr>
          <w:rFonts w:ascii="Consolas" w:hAnsi="Consolas"/>
          <w:color w:val="0E6F79"/>
          <w:sz w:val="22"/>
        </w:rPr>
        <w:t xml:space="preserve">F-01  </w:t>
      </w:r>
      <w:r>
        <w:t>False-alarm rates are computed on two different denominators, and the operating point was selected on the understated one</w:t>
      </w:r>
    </w:p>
    <w:p>
      <w:pPr>
        <w:spacing w:after="120"/>
      </w:pPr>
      <w:r>
        <w:rPr>
          <w:rFonts w:ascii="Segoe UI" w:hAnsi="Segoe UI"/>
          <w:b/>
          <w:color w:val="A3301B"/>
          <w:sz w:val="17"/>
        </w:rPr>
        <w:t>CRITICAL</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Evaluation methodology</w:t>
      </w:r>
    </w:p>
    <w:p>
      <w:pPr>
        <w:pStyle w:val="Label"/>
        <w:spacing w:before="140" w:after="20"/>
      </w:pPr>
      <w:r>
        <w:t>Location</w:t>
      </w:r>
    </w:p>
    <w:p>
      <w:pPr>
        <w:spacing w:after="80"/>
      </w:pPr>
      <w:r>
        <w:rPr>
          <w:rFonts w:ascii="Consolas" w:hAnsi="Consolas"/>
          <w:color w:val="3E4E55"/>
          <w:sz w:val="18"/>
        </w:rPr>
        <w:t xml:space="preserve">app/detection/matched_fpr.py:188 </w:t>
      </w:r>
      <w:r>
        <w:rPr>
          <w:rFonts w:ascii="Consolas" w:hAnsi="Consolas"/>
          <w:color w:val="3E4E55"/>
          <w:sz w:val="18"/>
        </w:rPr>
        <w:t>_turbine_years</w:t>
      </w:r>
      <w:r>
        <w:rPr>
          <w:rFonts w:ascii="Consolas" w:hAnsi="Consolas"/>
          <w:color w:val="3E4E55"/>
          <w:sz w:val="18"/>
        </w:rPr>
        <w:t xml:space="preserve">  ·  scripts/run_matched_fpr_sweep.py:217 </w:t>
      </w:r>
      <w:r>
        <w:rPr>
          <w:rFonts w:ascii="Consolas" w:hAnsi="Consolas"/>
          <w:color w:val="3E4E55"/>
          <w:sz w:val="18"/>
        </w:rPr>
        <w:t>slice_rate</w:t>
      </w:r>
    </w:p>
    <w:p>
      <w:pPr>
        <w:pStyle w:val="Label"/>
        <w:spacing w:before="140" w:after="20"/>
      </w:pPr>
      <w:r>
        <w:t>What the code does</w:t>
      </w:r>
    </w:p>
    <w:p>
      <w:pPr>
        <w:spacing w:after="80"/>
      </w:pPr>
      <w:r>
        <w:rPr>
          <w:rFonts w:ascii="Consolas" w:hAnsi="Consolas"/>
          <w:color w:val="3E4E55"/>
          <w:sz w:val="18"/>
        </w:rPr>
        <w:t>_turbine_years</w:t>
      </w:r>
      <w:r>
        <w:t xml:space="preserve"> measures observation time as calendar span: (last − first) + median interval, per turbine. The validation operating curves use it. </w:t>
      </w:r>
      <w:r>
        <w:rPr>
          <w:rFonts w:ascii="Consolas" w:hAnsi="Consolas"/>
          <w:color w:val="3E4E55"/>
          <w:sz w:val="18"/>
        </w:rPr>
        <w:t>slice_rate</w:t>
      </w:r>
      <w:r>
        <w:t xml:space="preserve"> instead computes n_rows × 10 minutes — true observed row-time. The healthy validation block is heavily gap-filled by exclusion (alarm periods plus every row below the 50 kW power floor), so its calendar span materially exceeds its observed row-time.</w:t>
      </w:r>
    </w:p>
    <w:p>
      <w:pPr>
        <w:pStyle w:val="Label"/>
        <w:spacing w:before="140" w:after="20"/>
      </w:pPr>
      <w:r>
        <w:t>Why it matters</w:t>
      </w:r>
    </w:p>
    <w:p>
      <w:pPr>
        <w:spacing w:after="80"/>
      </w:pPr>
      <w:r>
        <w:t xml:space="preserve">A larger denominator understates the rate. The validation-measured false-alarm rate is therefore too low by roughly the reciprocal of the healthy retention fraction, while the slice rate is correct. The project's headline "10–50× validation-to-monitoring transfer gap" compares these two numbers directly, and the selected primary operating point — nominally 10 false alarms per turbine-year — was chosen on the understated side. The nominal target is not 10 per </w:t>
      </w:r>
      <w:r>
        <w:rPr>
          <w:i/>
        </w:rPr>
        <w:t>observed</w:t>
      </w:r>
      <w:r>
        <w:t xml:space="preserve"> turbine-year.</w:t>
      </w:r>
    </w:p>
    <w:p>
      <w:pPr>
        <w:pStyle w:val="Label"/>
        <w:spacing w:before="140" w:after="20"/>
      </w:pPr>
      <w:r>
        <w:t>Evidence</w:t>
      </w:r>
    </w:p>
    <w:p>
      <w:pPr>
        <w:spacing w:after="80"/>
      </w:pPr>
      <w:r>
        <w:t>Both functions read in full. Every detection test fixture uses a contiguous date_range, under which span and row-time coincide — so the test suite structurally cannot surface this. Magnitude Unknown without the absent artefacts.</w:t>
      </w:r>
    </w:p>
    <w:p>
      <w:pPr>
        <w:pStyle w:val="Label"/>
        <w:spacing w:before="140" w:after="20"/>
      </w:pPr>
      <w:r>
        <w:t>Recommended action</w:t>
      </w:r>
    </w:p>
    <w:p>
      <w:pPr>
        <w:spacing w:after="80"/>
      </w:pPr>
      <w:r>
        <w:t xml:space="preserve">Make row-time the single definition of observation time in </w:t>
      </w:r>
      <w:r>
        <w:rPr>
          <w:rFonts w:ascii="Consolas" w:hAnsi="Consolas"/>
          <w:color w:val="3E4E55"/>
          <w:sz w:val="18"/>
        </w:rPr>
        <w:t>_turbine_years</w:t>
      </w:r>
      <w:r>
        <w:t>; re-run the sweep; restate the selected multipliers and the transfer-gap ratio. Add a test with a deliberately gapped index asserting the two definitions differ and that the rate uses row-time.</w:t>
      </w:r>
    </w:p>
    <w:p>
      <w:pPr>
        <w:pStyle w:val="FindHead"/>
      </w:pPr>
      <w:r>
        <w:rPr>
          <w:rFonts w:ascii="Consolas" w:hAnsi="Consolas"/>
          <w:color w:val="0E6F79"/>
          <w:sz w:val="22"/>
        </w:rPr>
        <w:t xml:space="preserve">F-02  </w:t>
      </w:r>
      <w:r>
        <w:t>Validation and monitoring-slice alarm rates come from detectors fed different data</w:t>
      </w:r>
    </w:p>
    <w:p>
      <w:pPr>
        <w:spacing w:after="120"/>
      </w:pPr>
      <w:r>
        <w:rPr>
          <w:rFonts w:ascii="Segoe UI" w:hAnsi="Segoe UI"/>
          <w:b/>
          <w:color w:val="A3301B"/>
          <w:sz w:val="17"/>
        </w:rPr>
        <w:t>CRITICAL</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Evaluation methodology</w:t>
      </w:r>
    </w:p>
    <w:p>
      <w:pPr>
        <w:pStyle w:val="Label"/>
        <w:spacing w:before="140" w:after="20"/>
      </w:pPr>
      <w:r>
        <w:t>Location</w:t>
      </w:r>
    </w:p>
    <w:p>
      <w:pPr>
        <w:spacing w:after="80"/>
      </w:pPr>
      <w:r>
        <w:rPr>
          <w:rFonts w:ascii="Consolas" w:hAnsi="Consolas"/>
          <w:color w:val="3E4E55"/>
          <w:sz w:val="18"/>
        </w:rPr>
        <w:t>app/experiments/runner.py:209–213, 406</w:t>
      </w:r>
      <w:r>
        <w:rPr>
          <w:rFonts w:ascii="Consolas" w:hAnsi="Consolas"/>
          <w:color w:val="3E4E55"/>
          <w:sz w:val="18"/>
        </w:rPr>
        <w:t xml:space="preserve">  ·  scripts/run_matched_fpr_sweep.py:313–314, 213</w:t>
      </w:r>
    </w:p>
    <w:p>
      <w:pPr>
        <w:pStyle w:val="Label"/>
        <w:spacing w:before="140" w:after="20"/>
      </w:pPr>
      <w:r>
        <w:t>What the code does</w:t>
      </w:r>
    </w:p>
    <w:p>
      <w:pPr>
        <w:spacing w:after="80"/>
      </w:pPr>
      <w:r>
        <w:rPr>
          <w:rFonts w:ascii="Consolas" w:hAnsi="Consolas"/>
          <w:color w:val="3E4E55"/>
          <w:sz w:val="18"/>
        </w:rPr>
        <w:t>residuals/validation.parquet</w:t>
      </w:r>
      <w:r>
        <w:t xml:space="preserve"> holds the healthy-filtered validation partition, so the validation EWMA never sees excluded rows. </w:t>
      </w:r>
      <w:r>
        <w:rPr>
          <w:rFonts w:ascii="Consolas" w:hAnsi="Consolas"/>
          <w:color w:val="3E4E55"/>
          <w:sz w:val="18"/>
        </w:rPr>
        <w:t>residuals/test.parquet</w:t>
      </w:r>
      <w:r>
        <w:t xml:space="preserve"> holds the full unfiltered monitoring stream; the slice check runs the EWMA over all of it and only then restricts the alarm flags to healthy rows.</w:t>
      </w:r>
    </w:p>
    <w:p>
      <w:pPr>
        <w:pStyle w:val="Label"/>
        <w:spacing w:before="140" w:after="20"/>
      </w:pPr>
      <w:r>
        <w:t>Why it matters</w:t>
      </w:r>
    </w:p>
    <w:p>
      <w:pPr>
        <w:spacing w:after="80"/>
      </w:pPr>
      <w:r>
        <w:t>On the slice, excursions originating in alarm periods, shutdowns and below-floor operation propagate through the EWMA recursion into the healthy rows being counted. On validation they cannot, because those rows were removed before the detector ran. The two arms therefore measure different quantities. The project's limitations register offers four candidate explanations for the gap — seasonal shift, model ageing, per-turbine drift, sub-alarm degradation — and states that separating them is beyond scope. A fifth explanation sits in the code, is methodological rather than physical, and is separable today.</w:t>
      </w:r>
    </w:p>
    <w:p>
      <w:pPr>
        <w:pStyle w:val="Label"/>
        <w:spacing w:before="140" w:after="20"/>
      </w:pPr>
      <w:r>
        <w:t>Evidence</w:t>
      </w:r>
    </w:p>
    <w:p>
      <w:pPr>
        <w:spacing w:after="80"/>
      </w:pPr>
      <w:r>
        <w:t>Partition construction and both detector call sites read in full. Magnitude Unknown without the artefacts.</w:t>
      </w:r>
    </w:p>
    <w:p>
      <w:pPr>
        <w:pStyle w:val="Label"/>
        <w:spacing w:before="140" w:after="20"/>
      </w:pPr>
      <w:r>
        <w:t>Recommended action</w:t>
      </w:r>
    </w:p>
    <w:p>
      <w:pPr>
        <w:spacing w:after="80"/>
      </w:pPr>
      <w:r>
        <w:t>Compute both arms identically — either run the EWMA on the unfiltered stream for both and subset afterwards, or filter both before. Report the corrected gap. Whatever remains after F-01 and F-02 are fixed is the real transfer gap, and only then is the four-explanations framing sound.</w:t>
      </w:r>
    </w:p>
    <w:p>
      <w:pPr>
        <w:pStyle w:val="FindHead"/>
      </w:pPr>
      <w:r>
        <w:rPr>
          <w:rFonts w:ascii="Consolas" w:hAnsi="Consolas"/>
          <w:color w:val="0E6F79"/>
          <w:sz w:val="22"/>
        </w:rPr>
        <w:t xml:space="preserve">F-25  </w:t>
      </w:r>
      <w:r>
        <w:t>No modelling result in the repository is externally checkable</w:t>
      </w:r>
    </w:p>
    <w:p>
      <w:pPr>
        <w:spacing w:after="120"/>
      </w:pPr>
      <w:r>
        <w:rPr>
          <w:rFonts w:ascii="Segoe UI" w:hAnsi="Segoe UI"/>
          <w:b/>
          <w:color w:val="A3301B"/>
          <w:sz w:val="17"/>
        </w:rPr>
        <w:t>CRITICAL</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Reproducibility / evidence standard</w:t>
      </w:r>
    </w:p>
    <w:p>
      <w:pPr>
        <w:pStyle w:val="Label"/>
        <w:spacing w:before="140" w:after="20"/>
      </w:pPr>
      <w:r>
        <w:t>Location</w:t>
      </w:r>
    </w:p>
    <w:p>
      <w:pPr>
        <w:spacing w:after="80"/>
      </w:pPr>
      <w:r>
        <w:rPr>
          <w:rFonts w:ascii="Consolas" w:hAnsi="Consolas"/>
          <w:color w:val="3E4E55"/>
          <w:sz w:val="18"/>
        </w:rPr>
        <w:t>.gitignore</w:t>
      </w:r>
      <w:r>
        <w:t xml:space="preserve"> excludes </w:t>
      </w:r>
      <w:r>
        <w:rPr>
          <w:rFonts w:ascii="Consolas" w:hAnsi="Consolas"/>
          <w:color w:val="3E4E55"/>
          <w:sz w:val="18"/>
        </w:rPr>
        <w:t>artifacts/</w:t>
      </w:r>
      <w:r>
        <w:t>; the directory is absent from the working tree</w:t>
      </w:r>
    </w:p>
    <w:p>
      <w:pPr>
        <w:pStyle w:val="Label"/>
        <w:spacing w:before="140" w:after="20"/>
      </w:pPr>
      <w:r>
        <w:t>What the code does</w:t>
      </w:r>
    </w:p>
    <w:p>
      <w:pPr>
        <w:spacing w:after="80"/>
      </w:pPr>
      <w:r>
        <w:t>Every experimental figure quoted across the project's documents — slice RMSE, Diebold–Mariano statistics, the in-control inflation ratio, slice row counts, the selected control multipliers, the ablation deltas — lives only in artefact directories excluded from version control.</w:t>
      </w:r>
    </w:p>
    <w:p>
      <w:pPr>
        <w:pStyle w:val="Label"/>
        <w:spacing w:before="140" w:after="20"/>
      </w:pPr>
      <w:r>
        <w:t>Why it matters</w:t>
      </w:r>
    </w:p>
    <w:p>
      <w:pPr>
        <w:spacing w:after="80"/>
      </w:pPr>
      <w:r>
        <w:t>This is deliberate policy and the per-experiment provenance design partially compensates. But no supervisor, examiner or auditor can check a single number, and neither could this audit. It also means the corrections required by F-01, F-02 and F-06 cannot be quantified by anyone without re-running the pipeline against the raw data on the original machine — which F-13 makes difficult.</w:t>
      </w:r>
    </w:p>
    <w:p>
      <w:pPr>
        <w:pStyle w:val="Label"/>
        <w:spacing w:before="140" w:after="20"/>
      </w:pPr>
      <w:r>
        <w:t>Evidence</w:t>
      </w:r>
    </w:p>
    <w:p>
      <w:pPr>
        <w:spacing w:after="80"/>
      </w:pPr>
      <w:r>
        <w:t xml:space="preserve">Contrast with </w:t>
      </w:r>
      <w:r>
        <w:rPr>
          <w:rFonts w:ascii="Consolas" w:hAnsi="Consolas"/>
          <w:color w:val="3E4E55"/>
          <w:sz w:val="18"/>
        </w:rPr>
        <w:t>docs/evidence/</w:t>
      </w:r>
      <w:r>
        <w:t>, which is committed — and where every figure re-derived during this audit matched the prose exactly. The policy distinction between census evidence and experimental evidence is the whole issue.</w:t>
      </w:r>
    </w:p>
    <w:p>
      <w:pPr>
        <w:pStyle w:val="Label"/>
        <w:spacing w:before="140" w:after="20"/>
      </w:pPr>
      <w:r>
        <w:t>Recommended action</w:t>
      </w:r>
    </w:p>
    <w:p>
      <w:pPr>
        <w:spacing w:after="80"/>
      </w:pPr>
      <w:r>
        <w:t xml:space="preserve">Commit the small, high-value derived files for the headline experiment: </w:t>
      </w:r>
      <w:r>
        <w:rPr>
          <w:rFonts w:ascii="Consolas" w:hAnsi="Consolas"/>
          <w:color w:val="3E4E55"/>
          <w:sz w:val="18"/>
        </w:rPr>
        <w:t>metrics.json</w:t>
      </w:r>
      <w:r>
        <w:t xml:space="preserve">, </w:t>
      </w:r>
      <w:r>
        <w:rPr>
          <w:rFonts w:ascii="Consolas" w:hAnsi="Consolas"/>
          <w:color w:val="3E4E55"/>
          <w:sz w:val="18"/>
        </w:rPr>
        <w:t>metadata.json</w:t>
      </w:r>
      <w:r>
        <w:t xml:space="preserve">, the resolved </w:t>
      </w:r>
      <w:r>
        <w:rPr>
          <w:rFonts w:ascii="Consolas" w:hAnsi="Consolas"/>
          <w:color w:val="3E4E55"/>
          <w:sz w:val="18"/>
        </w:rPr>
        <w:t>config.yaml</w:t>
      </w:r>
      <w:r>
        <w:t xml:space="preserve"> and the evaluation JSONs. These are kilobytes, contain no raw SCADA, and would make every quoted figure checkable. Keep Parquet and model binaries out.</w:t>
      </w:r>
    </w:p>
    <w:p>
      <w:pPr>
        <w:pStyle w:val="FindHead"/>
      </w:pPr>
      <w:r>
        <w:rPr>
          <w:rFonts w:ascii="Consolas" w:hAnsi="Consolas"/>
          <w:color w:val="0E6F79"/>
          <w:sz w:val="22"/>
        </w:rPr>
        <w:t xml:space="preserve">F-03  </w:t>
      </w:r>
      <w:r>
        <w:t>EWMA recursion has no time-gap handling; persistence is counted in samples, not elapsed time</w:t>
      </w:r>
    </w:p>
    <w:p>
      <w:pPr>
        <w:spacing w:after="120"/>
      </w:pPr>
      <w:r>
        <w:rPr>
          <w:rFonts w:ascii="Segoe UI" w:hAnsi="Segoe UI"/>
          <w:b/>
          <w:color w:val="8A550F"/>
          <w:sz w:val="17"/>
        </w:rPr>
        <w:t>HIGH</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Detection / residual processing</w:t>
      </w:r>
    </w:p>
    <w:p>
      <w:pPr>
        <w:pStyle w:val="Label"/>
        <w:spacing w:before="140" w:after="20"/>
      </w:pPr>
      <w:r>
        <w:t>Location</w:t>
      </w:r>
    </w:p>
    <w:p>
      <w:pPr>
        <w:spacing w:after="80"/>
      </w:pPr>
      <w:r>
        <w:rPr>
          <w:rFonts w:ascii="Consolas" w:hAnsi="Consolas"/>
          <w:color w:val="3E4E55"/>
          <w:sz w:val="18"/>
        </w:rPr>
        <w:t>app/residuals/ewma.py:203–205</w:t>
      </w:r>
      <w:r>
        <w:rPr>
          <w:rFonts w:ascii="Consolas" w:hAnsi="Consolas"/>
          <w:color w:val="3E4E55"/>
          <w:sz w:val="18"/>
        </w:rPr>
        <w:t xml:space="preserve">  ·  app/evaluation/event_eval.py:43–77</w:t>
      </w:r>
    </w:p>
    <w:p>
      <w:pPr>
        <w:pStyle w:val="Label"/>
        <w:spacing w:before="140" w:after="20"/>
      </w:pPr>
      <w:r>
        <w:t>What the code does</w:t>
      </w:r>
    </w:p>
    <w:p>
      <w:pPr>
        <w:spacing w:after="80"/>
      </w:pPr>
      <w:r>
        <w:t xml:space="preserve">After sorting by timestamp the recursion runs over row order with no reference to elapsed time and no reset. Cleaning drops rows for missing or impossible predictors; healthy filtering drops far more. A sample three days after its predecessor is treated as its immediate successor. Persistent-detection logic likewise counts consecutive </w:t>
      </w:r>
      <w:r>
        <w:rPr>
          <w:i/>
        </w:rPr>
        <w:t>samples</w:t>
      </w:r>
      <w:r>
        <w:t>.</w:t>
      </w:r>
    </w:p>
    <w:p>
      <w:pPr>
        <w:pStyle w:val="Label"/>
        <w:spacing w:before="140" w:after="20"/>
      </w:pPr>
      <w:r>
        <w:t>Why it matters</w:t>
      </w:r>
    </w:p>
    <w:p>
      <w:pPr>
        <w:spacing w:after="80"/>
      </w:pPr>
      <w:r>
        <w:t>Two consequences. A post-gap excursion is judged against a stale smoothed baseline from before the gap, which can either mask a real change or manufacture one. And the persistence qualification — three consecutive samples, the boundary that separates isolated from sustained episodes and therefore drives the entire detection verdict — can be satisfied by three readings spanning days.</w:t>
      </w:r>
    </w:p>
    <w:p>
      <w:pPr>
        <w:pStyle w:val="Label"/>
        <w:spacing w:before="140" w:after="20"/>
      </w:pPr>
      <w:r>
        <w:t>Evidence</w:t>
      </w:r>
    </w:p>
    <w:p>
      <w:pPr>
        <w:spacing w:after="80"/>
      </w:pPr>
      <w:r>
        <w:t>Recursion and run-detection logic read in full. No test uses a gapped index; the timestamp helper in the detection tests always builds a contiguous date range.</w:t>
      </w:r>
    </w:p>
    <w:p>
      <w:pPr>
        <w:pStyle w:val="Label"/>
        <w:spacing w:before="140" w:after="20"/>
      </w:pPr>
      <w:r>
        <w:t>Recommended action</w:t>
      </w:r>
    </w:p>
    <w:p>
      <w:pPr>
        <w:spacing w:after="80"/>
      </w:pPr>
      <w:r>
        <w:t>Reset the recursion after a gap exceeding a declared tolerance, and qualify persistence on elapsed time as well as sample count. Report per-stream gap statistics in the detection metrics so the exposure is visible rather than assumed absent.</w:t>
      </w:r>
    </w:p>
    <w:p>
      <w:pPr>
        <w:pStyle w:val="FindHead"/>
      </w:pPr>
      <w:r>
        <w:rPr>
          <w:rFonts w:ascii="Consolas" w:hAnsi="Consolas"/>
          <w:color w:val="0E6F79"/>
          <w:sz w:val="22"/>
        </w:rPr>
        <w:t xml:space="preserve">F-04  </w:t>
      </w:r>
      <w:r>
        <w:t>Missing normalized residuals enter the EWMA as exactly zero — missing data suppresses detection</w:t>
      </w:r>
    </w:p>
    <w:p>
      <w:pPr>
        <w:spacing w:after="120"/>
      </w:pPr>
      <w:r>
        <w:rPr>
          <w:rFonts w:ascii="Segoe UI" w:hAnsi="Segoe UI"/>
          <w:b/>
          <w:color w:val="8A550F"/>
          <w:sz w:val="17"/>
        </w:rPr>
        <w:t>HIGH</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Detection / residual processing</w:t>
      </w:r>
    </w:p>
    <w:p>
      <w:pPr>
        <w:pStyle w:val="Label"/>
        <w:spacing w:before="140" w:after="20"/>
      </w:pPr>
      <w:r>
        <w:t>Location</w:t>
      </w:r>
    </w:p>
    <w:p>
      <w:pPr>
        <w:spacing w:after="80"/>
      </w:pPr>
      <w:r>
        <w:rPr>
          <w:rFonts w:ascii="Consolas" w:hAnsi="Consolas"/>
          <w:color w:val="3E4E55"/>
          <w:sz w:val="18"/>
        </w:rPr>
        <w:t>app/residuals/ewma.py:205</w:t>
      </w:r>
      <w:r>
        <w:t xml:space="preserve">  —  </w:t>
      </w:r>
      <w:r>
        <w:rPr>
          <w:rFonts w:ascii="Consolas" w:hAnsi="Consolas"/>
          <w:color w:val="3E4E55"/>
          <w:sz w:val="18"/>
        </w:rPr>
        <w:t>ewma_recursion(np.nan_to_num(values, nan=0.0), self.lam)</w:t>
      </w:r>
    </w:p>
    <w:p>
      <w:pPr>
        <w:pStyle w:val="Label"/>
        <w:spacing w:before="140" w:after="20"/>
      </w:pPr>
      <w:r>
        <w:t>What the code does</w:t>
      </w:r>
    </w:p>
    <w:p>
      <w:pPr>
        <w:spacing w:after="80"/>
      </w:pPr>
      <w:r>
        <w:t>A NaN residual is substituted with 0.0, which in normalized-residual space is not "no information" — it is a perfectly on-model observation.</w:t>
      </w:r>
    </w:p>
    <w:p>
      <w:pPr>
        <w:pStyle w:val="Label"/>
        <w:spacing w:before="140" w:after="20"/>
      </w:pPr>
      <w:r>
        <w:t>Why it matters</w:t>
      </w:r>
    </w:p>
    <w:p>
      <w:pPr>
        <w:spacing w:after="80"/>
      </w:pPr>
      <w:r>
        <w:t>Every missing sample actively pulls the statistic toward the centreline and shortens any exceedance run passing through it. Data loss therefore reduces the alarm rate. That is precisely backwards for a condition-monitoring system, where sensor dropout during a developing fault is a realistic and dangerous scenario, and it is invisible because the substitution leaves no trace in any report.</w:t>
      </w:r>
    </w:p>
    <w:p>
      <w:pPr>
        <w:pStyle w:val="Label"/>
        <w:spacing w:before="140" w:after="20"/>
      </w:pPr>
      <w:r>
        <w:t>Evidence</w:t>
      </w:r>
    </w:p>
    <w:p>
      <w:pPr>
        <w:spacing w:after="80"/>
      </w:pPr>
      <w:r>
        <w:t>Line read directly. The module tests only the all-NaN refusal path, never partial NaN.</w:t>
      </w:r>
    </w:p>
    <w:p>
      <w:pPr>
        <w:pStyle w:val="Label"/>
        <w:spacing w:before="140" w:after="20"/>
      </w:pPr>
      <w:r>
        <w:t>Recommended action</w:t>
      </w:r>
    </w:p>
    <w:p>
      <w:pPr>
        <w:spacing w:after="80"/>
      </w:pPr>
      <w:r>
        <w:t>Carry gaps rather than filling them: hold the previous smoothed value and suppress the state decision, or reset per F-03. Count NaN-substituted samples per stream in the detection metrics.</w:t>
      </w:r>
    </w:p>
    <w:p>
      <w:pPr>
        <w:pStyle w:val="FindHead"/>
      </w:pPr>
      <w:r>
        <w:rPr>
          <w:rFonts w:ascii="Consolas" w:hAnsi="Consolas"/>
          <w:color w:val="0E6F79"/>
          <w:sz w:val="22"/>
        </w:rPr>
        <w:t xml:space="preserve">F-05  </w:t>
      </w:r>
      <w:r>
        <w:t>Normalization and control limits pool all six turbines, making per-turbine drift structurally unaddressable</w:t>
      </w:r>
    </w:p>
    <w:p>
      <w:pPr>
        <w:spacing w:after="120"/>
      </w:pPr>
      <w:r>
        <w:rPr>
          <w:rFonts w:ascii="Segoe UI" w:hAnsi="Segoe UI"/>
          <w:b/>
          <w:color w:val="8A550F"/>
          <w:sz w:val="17"/>
        </w:rPr>
        <w:t>HIGH</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Residual engineering</w:t>
      </w:r>
    </w:p>
    <w:p>
      <w:pPr>
        <w:pStyle w:val="Label"/>
        <w:spacing w:before="140" w:after="20"/>
      </w:pPr>
      <w:r>
        <w:t>Location</w:t>
      </w:r>
    </w:p>
    <w:p>
      <w:pPr>
        <w:spacing w:after="80"/>
      </w:pPr>
      <w:r>
        <w:rPr>
          <w:rFonts w:ascii="Consolas" w:hAnsi="Consolas"/>
          <w:color w:val="3E4E55"/>
          <w:sz w:val="18"/>
        </w:rPr>
        <w:t>app/residuals/normalization.py:116</w:t>
      </w:r>
      <w:r>
        <w:t xml:space="preserve">  ·  </w:t>
      </w:r>
      <w:r>
        <w:rPr>
          <w:rFonts w:ascii="Consolas" w:hAnsi="Consolas"/>
          <w:color w:val="3E4E55"/>
          <w:sz w:val="18"/>
        </w:rPr>
        <w:t>app/residuals/ewma.py:166</w:t>
      </w:r>
      <w:r>
        <w:t xml:space="preserve">  — both group by target only</w:t>
      </w:r>
    </w:p>
    <w:p>
      <w:pPr>
        <w:pStyle w:val="Label"/>
        <w:spacing w:before="140" w:after="20"/>
      </w:pPr>
      <w:r>
        <w:t>What the code does</w:t>
      </w:r>
    </w:p>
    <w:p>
      <w:pPr>
        <w:spacing w:after="80"/>
      </w:pPr>
      <w:r>
        <w:t>One centre and one scale per target serve all six machines, and the EWMA's sigma is pooled the same way. Only the detection step separates turbines, and by then the statistics are fixed.</w:t>
      </w:r>
    </w:p>
    <w:p>
      <w:pPr>
        <w:pStyle w:val="Label"/>
        <w:spacing w:before="140" w:after="20"/>
      </w:pPr>
      <w:r>
        <w:t>Why it matters</w:t>
      </w:r>
    </w:p>
    <w:p>
      <w:pPr>
        <w:spacing w:after="80"/>
      </w:pPr>
      <w:r>
        <w:t>Any systematic per-turbine offset — sensor calibration, siting, cooling-circuit condition — enters that machine's residual as a constant bias and permanently consumes part of its alarm budget. A machine running warm relative to the fleet alarms more; one running cool alarms less and can mask degradation. The project's own register names per-turbine drift as one of four explanations it cannot separate; this code is why it cannot.</w:t>
      </w:r>
    </w:p>
    <w:p>
      <w:pPr>
        <w:pStyle w:val="Label"/>
        <w:spacing w:before="140" w:after="20"/>
      </w:pPr>
      <w:r>
        <w:t>Evidence</w:t>
      </w:r>
    </w:p>
    <w:p>
      <w:pPr>
        <w:spacing w:after="80"/>
      </w:pPr>
      <w:r>
        <w:t>Both fit methods read in full. Normalizer tests are single-turbine throughout, so pooling is never exercised as a decision.</w:t>
      </w:r>
    </w:p>
    <w:p>
      <w:pPr>
        <w:pStyle w:val="Label"/>
        <w:spacing w:before="140" w:after="20"/>
      </w:pPr>
      <w:r>
        <w:t>Recommended action</w:t>
      </w:r>
    </w:p>
    <w:p>
      <w:pPr>
        <w:spacing w:after="80"/>
      </w:pPr>
      <w:r>
        <w:t>Report per-turbine residual centre and scale on the healthy blocks first — that measurement alone may settle it. If offsets are material, fit per (turbine, target) and record the choice as a decision, since it changes what "normalized" means.</w:t>
      </w:r>
    </w:p>
    <w:p>
      <w:pPr>
        <w:pStyle w:val="FindHead"/>
      </w:pPr>
      <w:r>
        <w:rPr>
          <w:rFonts w:ascii="Consolas" w:hAnsi="Consolas"/>
          <w:color w:val="0E6F79"/>
          <w:sz w:val="22"/>
        </w:rPr>
        <w:t xml:space="preserve">F-06  </w:t>
      </w:r>
      <w:r>
        <w:t>Bootstrap intervals and Diebold–Mariano tests run on a turbine-interleaved series with a HAC window far shorter than the dependence</w:t>
      </w:r>
    </w:p>
    <w:p>
      <w:pPr>
        <w:spacing w:after="120"/>
      </w:pPr>
      <w:r>
        <w:rPr>
          <w:rFonts w:ascii="Segoe UI" w:hAnsi="Segoe UI"/>
          <w:b/>
          <w:color w:val="8A550F"/>
          <w:sz w:val="17"/>
        </w:rPr>
        <w:t>HIGH</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Evaluation statistics</w:t>
      </w:r>
    </w:p>
    <w:p>
      <w:pPr>
        <w:pStyle w:val="Label"/>
        <w:spacing w:before="140" w:after="20"/>
      </w:pPr>
      <w:r>
        <w:t>Location</w:t>
      </w:r>
    </w:p>
    <w:p>
      <w:pPr>
        <w:spacing w:after="80"/>
      </w:pPr>
      <w:r>
        <w:rPr>
          <w:rFonts w:ascii="Consolas" w:hAnsi="Consolas"/>
          <w:color w:val="3E4E55"/>
          <w:sz w:val="18"/>
        </w:rPr>
        <w:t xml:space="preserve">scripts/run_kelmarsh_experiment.py:281 </w:t>
      </w:r>
      <w:r>
        <w:rPr>
          <w:rFonts w:ascii="Consolas" w:hAnsi="Consolas"/>
          <w:color w:val="3E4E55"/>
          <w:sz w:val="18"/>
        </w:rPr>
        <w:t>(sort_values(timestamp))</w:t>
      </w:r>
      <w:r>
        <w:rPr>
          <w:rFonts w:ascii="Consolas" w:hAnsi="Consolas"/>
          <w:color w:val="3E4E55"/>
          <w:sz w:val="18"/>
        </w:rPr>
        <w:t xml:space="preserve">, :178 </w:t>
      </w:r>
      <w:r>
        <w:rPr>
          <w:rFonts w:ascii="Consolas" w:hAnsi="Consolas"/>
          <w:color w:val="3E4E55"/>
          <w:sz w:val="18"/>
        </w:rPr>
        <w:t>metric_cis</w:t>
      </w:r>
      <w:r>
        <w:rPr>
          <w:rFonts w:ascii="Consolas" w:hAnsi="Consolas"/>
          <w:color w:val="3E4E55"/>
          <w:sz w:val="18"/>
        </w:rPr>
        <w:t xml:space="preserve">, :298 </w:t>
      </w:r>
      <w:r>
        <w:rPr>
          <w:rFonts w:ascii="Consolas" w:hAnsi="Consolas"/>
          <w:color w:val="3E4E55"/>
          <w:sz w:val="18"/>
        </w:rPr>
        <w:t>diebold_mariano</w:t>
      </w:r>
      <w:r>
        <w:rPr>
          <w:rFonts w:ascii="Consolas" w:hAnsi="Consolas"/>
          <w:color w:val="3E4E55"/>
          <w:sz w:val="18"/>
        </w:rPr>
        <w:t xml:space="preserve">  ·  app/evaluation/dm_test.py:63</w:t>
      </w:r>
    </w:p>
    <w:p>
      <w:pPr>
        <w:pStyle w:val="Label"/>
        <w:spacing w:before="140" w:after="20"/>
      </w:pPr>
      <w:r>
        <w:t>What the code does</w:t>
      </w:r>
    </w:p>
    <w:p>
      <w:pPr>
        <w:spacing w:after="80"/>
      </w:pPr>
      <w:r>
        <w:t>Sorting by timestamp alone yields six turbines interleaved at every 10-minute stamp, since pandas sorts stably and the cleaned frame is ordered turbine-then-time. The moving-block bootstrap and the DM test both consume that series. HAC lags default to floor(n^(1/3)) ≈ 81 at roughly 538,000 rows — about 13 samples per turbine, or roughly 2.3 hours of real time.</w:t>
      </w:r>
    </w:p>
    <w:p>
      <w:pPr>
        <w:pStyle w:val="Label"/>
        <w:spacing w:before="140" w:after="20"/>
      </w:pPr>
      <w:r>
        <w:t>Why it matters</w:t>
      </w:r>
    </w:p>
    <w:p>
      <w:pPr>
        <w:spacing w:after="80"/>
      </w:pPr>
      <w:r>
        <w:t>Blocks mix machines instead of preserving one machine's serial dependence, so the bootstrap's stated rationale — that blocks capture time-series dependence — is only partly satisfied. More seriously, thermal residuals autocorrelate over many hours; a 2.3-hour lag window understates the long-run variance, which inflates the absolute DM statistic and collapses the p-value. The headline accuracy significance claim rests on this.</w:t>
      </w:r>
    </w:p>
    <w:p>
      <w:pPr>
        <w:pStyle w:val="Label"/>
        <w:spacing w:before="140" w:after="20"/>
      </w:pPr>
      <w:r>
        <w:t>Evidence</w:t>
      </w:r>
    </w:p>
    <w:p>
      <w:pPr>
        <w:spacing w:after="80"/>
      </w:pPr>
      <w:r>
        <w:t>Sort, loss assembly and lag rule read in full. The bootstrap coverage test uses AR(0.5) at n=200 — far from the production case of strong autocorrelation at n≈5×10⁵ across six interleaved machines.</w:t>
      </w:r>
    </w:p>
    <w:p>
      <w:pPr>
        <w:pStyle w:val="Label"/>
        <w:spacing w:before="140" w:after="20"/>
      </w:pPr>
      <w:r>
        <w:t>Recommended action</w:t>
      </w:r>
    </w:p>
    <w:p>
      <w:pPr>
        <w:spacing w:after="80"/>
      </w:pPr>
      <w:r>
        <w:t>Run the bootstrap and DM per turbine and combine, or block on contiguous per-turbine segments. Set HAC lags from the measured loss-differential autocorrelation rather than n^(1/3). Re-derive the accuracy intervals; expect them to widen materially. Until then, report the DM direction without the p-value.</w:t>
      </w:r>
    </w:p>
    <w:p>
      <w:pPr>
        <w:pStyle w:val="FindHead"/>
      </w:pPr>
      <w:r>
        <w:rPr>
          <w:rFonts w:ascii="Consolas" w:hAnsi="Consolas"/>
          <w:color w:val="0E6F79"/>
          <w:sz w:val="22"/>
        </w:rPr>
        <w:t xml:space="preserve">F-08  </w:t>
      </w:r>
      <w:r>
        <w:t>The two thermal targets were selected for mutual correlation, and the residual-level independence the method requires is never measured</w:t>
      </w:r>
    </w:p>
    <w:p>
      <w:pPr>
        <w:spacing w:after="120"/>
      </w:pPr>
      <w:r>
        <w:rPr>
          <w:rFonts w:ascii="Segoe UI" w:hAnsi="Segoe UI"/>
          <w:b/>
          <w:color w:val="8A550F"/>
          <w:sz w:val="17"/>
        </w:rPr>
        <w:t>HIGH</w:t>
      </w:r>
      <w:r>
        <w:rPr>
          <w:rFonts w:ascii="Segoe UI" w:hAnsi="Segoe UI"/>
          <w:color w:val="6B7C83"/>
          <w:sz w:val="17"/>
        </w:rPr>
        <w:t xml:space="preserve">     Evidence: </w:t>
      </w:r>
      <w:r>
        <w:rPr>
          <w:rFonts w:ascii="Segoe UI" w:hAnsi="Segoe UI"/>
          <w:b/>
          <w:color w:val="3E4E55"/>
          <w:sz w:val="17"/>
        </w:rPr>
        <w:t>Concern</w:t>
      </w:r>
      <w:r>
        <w:rPr>
          <w:rFonts w:ascii="Segoe UI" w:hAnsi="Segoe UI"/>
          <w:color w:val="6B7C83"/>
          <w:sz w:val="17"/>
        </w:rPr>
        <w:t xml:space="preserve">     Area: </w:t>
      </w:r>
      <w:r>
        <w:rPr>
          <w:rFonts w:ascii="Segoe UI" w:hAnsi="Segoe UI"/>
          <w:b/>
          <w:color w:val="3E4E55"/>
          <w:sz w:val="17"/>
        </w:rPr>
        <w:t>Features and targets</w:t>
      </w:r>
    </w:p>
    <w:p>
      <w:pPr>
        <w:pStyle w:val="Label"/>
        <w:spacing w:before="140" w:after="20"/>
      </w:pPr>
      <w:r>
        <w:t>Location</w:t>
      </w:r>
    </w:p>
    <w:p>
      <w:pPr>
        <w:spacing w:after="80"/>
      </w:pPr>
      <w:r>
        <w:t xml:space="preserve">Target designation decision and </w:t>
      </w:r>
      <w:r>
        <w:rPr>
          <w:rFonts w:ascii="Consolas" w:hAnsi="Consolas"/>
          <w:color w:val="3E4E55"/>
          <w:sz w:val="18"/>
        </w:rPr>
        <w:t>docs/evidence/EVIDENCE_D04_AND_TARGETS.json</w:t>
      </w:r>
      <w:r>
        <w:t xml:space="preserve">; absence confirmed by search across </w:t>
      </w:r>
      <w:r>
        <w:rPr>
          <w:rFonts w:ascii="Consolas" w:hAnsi="Consolas"/>
          <w:color w:val="3E4E55"/>
          <w:sz w:val="18"/>
        </w:rPr>
        <w:t>app/</w:t>
      </w:r>
      <w:r>
        <w:t xml:space="preserve"> and </w:t>
      </w:r>
      <w:r>
        <w:rPr>
          <w:rFonts w:ascii="Consolas" w:hAnsi="Consolas"/>
          <w:color w:val="3E4E55"/>
          <w:sz w:val="18"/>
        </w:rPr>
        <w:t>scripts/</w:t>
      </w:r>
    </w:p>
    <w:p>
      <w:pPr>
        <w:pStyle w:val="Label"/>
        <w:spacing w:before="140" w:after="20"/>
      </w:pPr>
      <w:r>
        <w:t>What the code does</w:t>
      </w:r>
    </w:p>
    <w:p>
      <w:pPr>
        <w:spacing w:after="80"/>
      </w:pPr>
      <w:r>
        <w:t>Rear bearing was designated the gearbox-bearing target because it holds r = 0.88–0.98 with gear oil across every power bin — independently verified in this audit. The method's central claim is that coordinated multi-target residual evidence beats single-signal monitoring, which requires the two streams to carry different information.</w:t>
      </w:r>
    </w:p>
    <w:p>
      <w:pPr>
        <w:pStyle w:val="Label"/>
        <w:spacing w:before="140" w:after="20"/>
      </w:pPr>
      <w:r>
        <w:t>Why it matters</w:t>
      </w:r>
    </w:p>
    <w:p>
      <w:pPr>
        <w:spacing w:after="80"/>
      </w:pPr>
      <w:r>
        <w:t xml:space="preserve">If the two residual streams are near-duplicates, requiring coincidence buys specificity against per-channel noise but adds little independent physical evidence. The decisive measurement is the correlation between the two </w:t>
      </w:r>
      <w:r>
        <w:rPr>
          <w:i/>
        </w:rPr>
        <w:t>residual</w:t>
      </w:r>
      <w:r>
        <w:t xml:space="preserve"> series, which is computed nowhere. The census correlations are on raw temperatures and are dominated by common load and ambient drive, so they neither establish nor refute it. The project's own fleet-wide finding — both targets excursing together on all six machines — is consistent with high residual collinearity.</w:t>
      </w:r>
    </w:p>
    <w:p>
      <w:pPr>
        <w:pStyle w:val="Label"/>
        <w:spacing w:before="140" w:after="20"/>
      </w:pPr>
      <w:r>
        <w:t>Evidence</w:t>
      </w:r>
    </w:p>
    <w:p>
      <w:pPr>
        <w:spacing w:after="80"/>
      </w:pPr>
      <w:r>
        <w:t>Designation reasoning and its evidence JSON verified independently: all seven power bins reproduce exactly. No residual-residual computation exists anywhere in the codebase.</w:t>
      </w:r>
    </w:p>
    <w:p>
      <w:pPr>
        <w:pStyle w:val="Label"/>
        <w:spacing w:before="140" w:after="20"/>
      </w:pPr>
      <w:r>
        <w:t>Recommended action</w:t>
      </w:r>
    </w:p>
    <w:p>
      <w:pPr>
        <w:spacing w:after="80"/>
      </w:pPr>
      <w:r>
        <w:t>Compute the residual-to-residual correlation on the healthy blocks, per turbine and pooled — a few lines against stored Parquet. It is the cheapest high-value measurement available and it directly underwrites or undercuts the central claim. Report it whichever way it falls.</w:t>
      </w:r>
    </w:p>
    <w:p>
      <w:pPr>
        <w:pStyle w:val="FindHead"/>
      </w:pPr>
      <w:r>
        <w:rPr>
          <w:rFonts w:ascii="Consolas" w:hAnsi="Consolas"/>
          <w:color w:val="0E6F79"/>
          <w:sz w:val="22"/>
        </w:rPr>
        <w:t xml:space="preserve">F-09  </w:t>
      </w:r>
      <w:r>
        <w:t>Two open High-risk configuration decisions cannot be swept, and the coverage guard would reject the attempt</w:t>
      </w:r>
    </w:p>
    <w:p>
      <w:pPr>
        <w:spacing w:after="120"/>
      </w:pPr>
      <w:r>
        <w:rPr>
          <w:rFonts w:ascii="Segoe UI" w:hAnsi="Segoe UI"/>
          <w:b/>
          <w:color w:val="8A550F"/>
          <w:sz w:val="17"/>
        </w:rPr>
        <w:t>HIGH</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Sensitivity analysis</w:t>
      </w:r>
    </w:p>
    <w:p>
      <w:pPr>
        <w:pStyle w:val="Label"/>
        <w:spacing w:before="140" w:after="20"/>
      </w:pPr>
      <w:r>
        <w:t>Location</w:t>
      </w:r>
    </w:p>
    <w:p>
      <w:pPr>
        <w:spacing w:after="80"/>
      </w:pPr>
      <w:r>
        <w:rPr>
          <w:rFonts w:ascii="Consolas" w:hAnsi="Consolas"/>
          <w:color w:val="3E4E55"/>
          <w:sz w:val="18"/>
        </w:rPr>
        <w:t>app/core/config.py:220–221</w:t>
      </w:r>
      <w:r>
        <w:rPr>
          <w:rFonts w:ascii="Consolas" w:hAnsi="Consolas"/>
          <w:color w:val="3E4E55"/>
          <w:sz w:val="18"/>
        </w:rPr>
        <w:t xml:space="preserve">  ·  app/evaluation/sensitivity.py:48–61 </w:t>
      </w:r>
      <w:r>
        <w:rPr>
          <w:rFonts w:ascii="Consolas" w:hAnsi="Consolas"/>
          <w:color w:val="3E4E55"/>
          <w:sz w:val="18"/>
        </w:rPr>
        <w:t>verify_grid_coverage</w:t>
      </w:r>
    </w:p>
    <w:p>
      <w:pPr>
        <w:pStyle w:val="Label"/>
        <w:spacing w:before="140" w:after="20"/>
      </w:pPr>
      <w:r>
        <w:t>What the code does</w:t>
      </w:r>
    </w:p>
    <w:p>
      <w:pPr>
        <w:spacing w:after="80"/>
      </w:pPr>
      <w:r>
        <w:rPr>
          <w:rFonts w:ascii="Consolas" w:hAnsi="Consolas"/>
          <w:color w:val="3E4E55"/>
          <w:sz w:val="18"/>
        </w:rPr>
        <w:t>residual.threshold_stats_source</w:t>
      </w:r>
      <w:r>
        <w:t xml:space="preserve"> and </w:t>
      </w:r>
      <w:r>
        <w:rPr>
          <w:rFonts w:ascii="Consolas" w:hAnsi="Consolas"/>
          <w:color w:val="3E4E55"/>
          <w:sz w:val="18"/>
        </w:rPr>
        <w:t>residual.normalization</w:t>
      </w:r>
      <w:r>
        <w:t xml:space="preserve"> are plain fields, not provisional-marked. The coverage check enforces bidirectional consistency and raises if a grid names a non-provisional parameter — so they cannot simply be added to the default grids.</w:t>
      </w:r>
    </w:p>
    <w:p>
      <w:pPr>
        <w:pStyle w:val="Label"/>
        <w:spacing w:before="140" w:after="20"/>
      </w:pPr>
      <w:r>
        <w:t>Why it matters</w:t>
      </w:r>
    </w:p>
    <w:p>
      <w:pPr>
        <w:spacing w:after="80"/>
      </w:pPr>
      <w:r>
        <w:t>Both are rated High risk in the project's own decision queue and both remain open. The sensitivity suite — the mechanism by which provisional values become defended choices — is structurally incapable of touching them. This is the live continuation of the project's recorded structural finding that a consistency check within a declared universe cannot detect that the universe is incomplete.</w:t>
      </w:r>
    </w:p>
    <w:p>
      <w:pPr>
        <w:pStyle w:val="Label"/>
        <w:spacing w:before="140" w:after="20"/>
      </w:pPr>
      <w:r>
        <w:t>Evidence</w:t>
      </w:r>
    </w:p>
    <w:p>
      <w:pPr>
        <w:spacing w:after="80"/>
      </w:pPr>
      <w:r>
        <w:t>Provisional markers enumerated from source: eleven fields, exactly matching the default grid dictionary. Neither residual field is among them.</w:t>
      </w:r>
    </w:p>
    <w:p>
      <w:pPr>
        <w:pStyle w:val="Label"/>
        <w:spacing w:before="140" w:after="20"/>
      </w:pPr>
      <w:r>
        <w:t>Recommended action</w:t>
      </w:r>
    </w:p>
    <w:p>
      <w:pPr>
        <w:spacing w:after="80"/>
      </w:pPr>
      <w:r>
        <w:t>Mark both provisional and add grids — {training, validation} and {sigma, mad, percentile}. The threshold-source comparison is the very evidence the open decision names as its closure condition, so this also unblocks a High-risk decision.</w:t>
      </w:r>
    </w:p>
    <w:p>
      <w:pPr>
        <w:pStyle w:val="FindHead"/>
      </w:pPr>
      <w:r>
        <w:rPr>
          <w:rFonts w:ascii="Consolas" w:hAnsi="Consolas"/>
          <w:color w:val="0E6F79"/>
          <w:sz w:val="22"/>
        </w:rPr>
        <w:t xml:space="preserve">F-10  </w:t>
      </w:r>
      <w:r>
        <w:t>reproduce checks library versions but never code identity or configuration identity</w:t>
      </w:r>
    </w:p>
    <w:p>
      <w:pPr>
        <w:spacing w:after="120"/>
      </w:pPr>
      <w:r>
        <w:rPr>
          <w:rFonts w:ascii="Segoe UI" w:hAnsi="Segoe UI"/>
          <w:b/>
          <w:color w:val="3F6377"/>
          <w:sz w:val="17"/>
        </w:rPr>
        <w:t>MEDIUM</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Reproducibility</w:t>
      </w:r>
    </w:p>
    <w:p>
      <w:pPr>
        <w:pStyle w:val="Label"/>
        <w:spacing w:before="140" w:after="20"/>
      </w:pPr>
      <w:r>
        <w:t>Location</w:t>
      </w:r>
    </w:p>
    <w:p>
      <w:pPr>
        <w:spacing w:after="80"/>
      </w:pPr>
      <w:r>
        <w:rPr>
          <w:rFonts w:ascii="Consolas" w:hAnsi="Consolas"/>
          <w:color w:val="3E4E55"/>
          <w:sz w:val="18"/>
        </w:rPr>
        <w:t>app/experiments/reproduce.py:118–134</w:t>
      </w:r>
    </w:p>
    <w:p>
      <w:pPr>
        <w:pStyle w:val="Label"/>
        <w:spacing w:before="140" w:after="20"/>
      </w:pPr>
      <w:r>
        <w:t>What the code does</w:t>
      </w:r>
    </w:p>
    <w:p>
      <w:pPr>
        <w:spacing w:after="80"/>
      </w:pPr>
      <w:r>
        <w:t xml:space="preserve">The environment check compares library versions and schema version only. The git commit and dirty flag are captured at run time and never compared. The configuration hash is stored and never recomputed against the reconstructed configuration. The config reconstruction re-validates an old resolved config against the </w:t>
      </w:r>
      <w:r>
        <w:rPr>
          <w:i/>
        </w:rPr>
        <w:t>current</w:t>
      </w:r>
      <w:r>
        <w:t xml:space="preserve"> schema, so a newly added field silently materialises its new default.</w:t>
      </w:r>
    </w:p>
    <w:p>
      <w:pPr>
        <w:pStyle w:val="Label"/>
        <w:spacing w:before="140" w:after="20"/>
      </w:pPr>
      <w:r>
        <w:t>Why it matters</w:t>
      </w:r>
    </w:p>
    <w:p>
      <w:pPr>
        <w:spacing w:after="80"/>
      </w:pPr>
      <w:r>
        <w:t>The project explicitly relies on per-experiment git hashes to explain why an older experiment reproduces only at its recorded commit — but the tool that would enforce that does not look at the commit. The silent-default path is exactly the scenario that arose when the step-change exclusion default changed, and it produces a different healthy population with no warning.</w:t>
      </w:r>
    </w:p>
    <w:p>
      <w:pPr>
        <w:pStyle w:val="Label"/>
        <w:spacing w:before="140" w:after="20"/>
      </w:pPr>
      <w:r>
        <w:t>Evidence</w:t>
      </w:r>
    </w:p>
    <w:p>
      <w:pPr>
        <w:spacing w:after="80"/>
      </w:pPr>
      <w:r>
        <w:t>Function read in full; the version stamp confirmed to carry both git fields.</w:t>
      </w:r>
    </w:p>
    <w:p>
      <w:pPr>
        <w:pStyle w:val="Label"/>
        <w:spacing w:before="140" w:after="20"/>
      </w:pPr>
      <w:r>
        <w:t>Recommended action</w:t>
      </w:r>
    </w:p>
    <w:p>
      <w:pPr>
        <w:spacing w:after="80"/>
      </w:pPr>
      <w:r>
        <w:t>Warn on commit mismatch and on a dirty tree at record time; recompute the configuration hash after reconstruction and warn on divergence, naming the differing keys.</w:t>
      </w:r>
    </w:p>
    <w:p>
      <w:pPr>
        <w:pStyle w:val="FindHead"/>
      </w:pPr>
      <w:r>
        <w:rPr>
          <w:rFonts w:ascii="Consolas" w:hAnsi="Consolas"/>
          <w:color w:val="0E6F79"/>
          <w:sz w:val="22"/>
        </w:rPr>
        <w:t xml:space="preserve">F-11  </w:t>
      </w:r>
      <w:r>
        <w:t>The reproducibility gate does not cover the tuned path that every headline run uses</w:t>
      </w:r>
    </w:p>
    <w:p>
      <w:pPr>
        <w:spacing w:after="120"/>
      </w:pPr>
      <w:r>
        <w:rPr>
          <w:rFonts w:ascii="Segoe UI" w:hAnsi="Segoe UI"/>
          <w:b/>
          <w:color w:val="3F6377"/>
          <w:sz w:val="17"/>
        </w:rPr>
        <w:t>MEDIUM</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Reproducibility / CI</w:t>
      </w:r>
    </w:p>
    <w:p>
      <w:pPr>
        <w:pStyle w:val="Label"/>
        <w:spacing w:before="140" w:after="20"/>
      </w:pPr>
      <w:r>
        <w:t>Location</w:t>
      </w:r>
    </w:p>
    <w:p>
      <w:pPr>
        <w:spacing w:after="80"/>
      </w:pPr>
      <w:r>
        <w:rPr>
          <w:rFonts w:ascii="Consolas" w:hAnsi="Consolas"/>
          <w:color w:val="3E4E55"/>
          <w:sz w:val="18"/>
        </w:rPr>
        <w:t xml:space="preserve">backend/tests/test_experiments.py:62–75 — the shared fixture sets </w:t>
      </w:r>
      <w:r>
        <w:rPr>
          <w:rFonts w:ascii="Consolas" w:hAnsi="Consolas"/>
          <w:color w:val="3E4E55"/>
          <w:sz w:val="18"/>
        </w:rPr>
        <w:t>tuning.enabled: False</w:t>
      </w:r>
      <w:r>
        <w:t>, and every reproduction test uses that fixture</w:t>
      </w:r>
    </w:p>
    <w:p>
      <w:pPr>
        <w:pStyle w:val="Label"/>
        <w:spacing w:before="140" w:after="20"/>
      </w:pPr>
      <w:r>
        <w:t>What the code does</w:t>
      </w:r>
    </w:p>
    <w:p>
      <w:pPr>
        <w:spacing w:after="80"/>
      </w:pPr>
      <w:r>
        <w:t>The tuned-run test asserts trial records and selected hyperparameters but never calls reproduce. The exact-match gate advertised in CI therefore covers untuned XGBoost only.</w:t>
      </w:r>
    </w:p>
    <w:p>
      <w:pPr>
        <w:pStyle w:val="Label"/>
        <w:spacing w:before="140" w:after="20"/>
      </w:pPr>
      <w:r>
        <w:t>Why it matters</w:t>
      </w:r>
    </w:p>
    <w:p>
      <w:pPr>
        <w:spacing w:after="80"/>
      </w:pPr>
      <w:r>
        <w:t>Tuning adds twelve seeded fits plus early stopping on the validation block — the part most exposed to library-version and platform variation. Reproducibility of the configuration actually used for every reported result is unverified by the gate that exists to verify it.</w:t>
      </w:r>
    </w:p>
    <w:p>
      <w:pPr>
        <w:pStyle w:val="Label"/>
        <w:spacing w:before="140" w:after="20"/>
      </w:pPr>
      <w:r>
        <w:t>Evidence</w:t>
      </w:r>
    </w:p>
    <w:p>
      <w:pPr>
        <w:spacing w:after="80"/>
      </w:pPr>
      <w:r>
        <w:t>Fixture and all four reproduction test cases read in full.</w:t>
      </w:r>
    </w:p>
    <w:p>
      <w:pPr>
        <w:pStyle w:val="Label"/>
        <w:spacing w:before="140" w:after="20"/>
      </w:pPr>
      <w:r>
        <w:t>Recommended action</w:t>
      </w:r>
    </w:p>
    <w:p>
      <w:pPr>
        <w:spacing w:after="80"/>
      </w:pPr>
      <w:r>
        <w:t>Add one reproduction test on a two-candidate tuned fixture. Cheap, and it closes the gap exactly.</w:t>
      </w:r>
    </w:p>
    <w:p>
      <w:pPr>
        <w:pStyle w:val="FindHead"/>
      </w:pPr>
      <w:r>
        <w:rPr>
          <w:rFonts w:ascii="Consolas" w:hAnsi="Consolas"/>
          <w:color w:val="0E6F79"/>
          <w:sz w:val="22"/>
        </w:rPr>
        <w:t xml:space="preserve">F-12  </w:t>
      </w:r>
      <w:r>
        <w:t>Label and alarm source files are outside the provenance chain</w:t>
      </w:r>
    </w:p>
    <w:p>
      <w:pPr>
        <w:spacing w:after="120"/>
      </w:pPr>
      <w:r>
        <w:rPr>
          <w:rFonts w:ascii="Segoe UI" w:hAnsi="Segoe UI"/>
          <w:b/>
          <w:color w:val="3F6377"/>
          <w:sz w:val="17"/>
        </w:rPr>
        <w:t>MEDIUM</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Data provenance</w:t>
      </w:r>
    </w:p>
    <w:p>
      <w:pPr>
        <w:pStyle w:val="Label"/>
        <w:spacing w:before="140" w:after="20"/>
      </w:pPr>
      <w:r>
        <w:t>Location</w:t>
      </w:r>
    </w:p>
    <w:p>
      <w:pPr>
        <w:spacing w:after="80"/>
      </w:pPr>
      <w:r>
        <w:rPr>
          <w:rFonts w:ascii="Consolas" w:hAnsi="Consolas"/>
          <w:color w:val="3E4E55"/>
          <w:sz w:val="18"/>
        </w:rPr>
        <w:t xml:space="preserve">scripts/run_kelmarsh_experiment.py:145 — </w:t>
      </w:r>
      <w:r>
        <w:rPr>
          <w:rFonts w:ascii="Consolas" w:hAnsi="Consolas"/>
          <w:color w:val="3E4E55"/>
          <w:sz w:val="18"/>
        </w:rPr>
        <w:t>events, _record = parse_status_csv(...)</w:t>
      </w:r>
      <w:r>
        <w:t>, record discarded</w:t>
      </w:r>
    </w:p>
    <w:p>
      <w:pPr>
        <w:pStyle w:val="Label"/>
        <w:spacing w:before="140" w:after="20"/>
      </w:pPr>
      <w:r>
        <w:t>What the code does</w:t>
      </w:r>
    </w:p>
    <w:p>
      <w:pPr>
        <w:spacing w:after="80"/>
      </w:pPr>
      <w:r>
        <w:t>Only the 36 turbine-data CSVs enter the provenance chain. The 36 status CSVs are parsed for alarm windows and their provenance record is thrown away.</w:t>
      </w:r>
    </w:p>
    <w:p>
      <w:pPr>
        <w:pStyle w:val="Label"/>
        <w:spacing w:before="140" w:after="20"/>
      </w:pPr>
      <w:r>
        <w:t>Why it matters</w:t>
      </w:r>
    </w:p>
    <w:p>
      <w:pPr>
        <w:spacing w:after="80"/>
      </w:pPr>
      <w:r>
        <w:t>Alarm windows drive healthy-state exclusion, and therefore the training population, the accuracy slice membership, and every downstream number. Reproduction verifies only what is in the chain, so an edited or re-exported status file would pass silently — while a single byte changed in a turbine-data file is correctly a hard stop. The provenance guarantee is asymmetric in a way its documentation does not disclose.</w:t>
      </w:r>
    </w:p>
    <w:p>
      <w:pPr>
        <w:pStyle w:val="Label"/>
        <w:spacing w:before="140" w:after="20"/>
      </w:pPr>
      <w:r>
        <w:t>Evidence</w:t>
      </w:r>
    </w:p>
    <w:p>
      <w:pPr>
        <w:spacing w:after="80"/>
      </w:pPr>
      <w:r>
        <w:t>Call site read in full; the parser confirmed to return a usable record that is simply unused.</w:t>
      </w:r>
    </w:p>
    <w:p>
      <w:pPr>
        <w:pStyle w:val="Label"/>
        <w:spacing w:before="140" w:after="20"/>
      </w:pPr>
      <w:r>
        <w:t>Recommended action</w:t>
      </w:r>
    </w:p>
    <w:p>
      <w:pPr>
        <w:spacing w:after="80"/>
      </w:pPr>
      <w:r>
        <w:t>Collect the status records and extend the chain with them, or add a dedicated ground-truth-sources field to the dataset metadata and verify it during reproduction.</w:t>
      </w:r>
    </w:p>
    <w:p>
      <w:pPr>
        <w:pStyle w:val="FindHead"/>
      </w:pPr>
      <w:r>
        <w:rPr>
          <w:rFonts w:ascii="Consolas" w:hAnsi="Consolas"/>
          <w:color w:val="0E6F79"/>
          <w:sz w:val="22"/>
        </w:rPr>
        <w:t xml:space="preserve">F-13  </w:t>
      </w:r>
      <w:r>
        <w:t>Reproduction is bound to absolute source paths on one machine</w:t>
      </w:r>
    </w:p>
    <w:p>
      <w:pPr>
        <w:spacing w:after="120"/>
      </w:pPr>
      <w:r>
        <w:rPr>
          <w:rFonts w:ascii="Segoe UI" w:hAnsi="Segoe UI"/>
          <w:b/>
          <w:color w:val="3F6377"/>
          <w:sz w:val="17"/>
        </w:rPr>
        <w:t>MEDIUM</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Reproducibility</w:t>
      </w:r>
    </w:p>
    <w:p>
      <w:pPr>
        <w:pStyle w:val="Label"/>
        <w:spacing w:before="140" w:after="20"/>
      </w:pPr>
      <w:r>
        <w:t>Location</w:t>
      </w:r>
    </w:p>
    <w:p>
      <w:pPr>
        <w:spacing w:after="80"/>
      </w:pPr>
      <w:r>
        <w:rPr>
          <w:rFonts w:ascii="Consolas" w:hAnsi="Consolas"/>
          <w:color w:val="3E4E55"/>
          <w:sz w:val="18"/>
        </w:rPr>
        <w:t xml:space="preserve">app/data/provenance.py:70 stores </w:t>
      </w:r>
      <w:r>
        <w:rPr>
          <w:rFonts w:ascii="Consolas" w:hAnsi="Consolas"/>
          <w:color w:val="3E4E55"/>
          <w:sz w:val="18"/>
        </w:rPr>
        <w:t>str(path.resolve())</w:t>
      </w:r>
      <w:r>
        <w:rPr>
          <w:rFonts w:ascii="Consolas" w:hAnsi="Consolas"/>
          <w:color w:val="3E4E55"/>
          <w:sz w:val="18"/>
        </w:rPr>
        <w:t xml:space="preserve">  ·  app/experiments/reproduce.py:143 reads them back verbatim  ·  run scripts default the data root to a hard-coded user-profile path</w:t>
      </w:r>
    </w:p>
    <w:p>
      <w:pPr>
        <w:pStyle w:val="Label"/>
        <w:spacing w:before="140" w:after="20"/>
      </w:pPr>
      <w:r>
        <w:t>What the code does</w:t>
      </w:r>
    </w:p>
    <w:p>
      <w:pPr>
        <w:spacing w:after="80"/>
      </w:pPr>
      <w:r>
        <w:t>Stored provenance records absolute paths, and reproduction reconstructs source paths from them directly. Three of five scripts default the data root to a specific Windows user profile directory.</w:t>
      </w:r>
    </w:p>
    <w:p>
      <w:pPr>
        <w:pStyle w:val="Label"/>
        <w:spacing w:before="140" w:after="20"/>
      </w:pPr>
      <w:r>
        <w:t>Why it matters</w:t>
      </w:r>
    </w:p>
    <w:p>
      <w:pPr>
        <w:spacing w:after="80"/>
      </w:pPr>
      <w:r>
        <w:t>A fresh machine cannot reproduce a stored experiment without recreating that exact absolute path. The project promises a fresh machine reaches a green suite from clone → sync → test, which holds for tests but not for experiment reproduction — the capability that matters at write-up.</w:t>
      </w:r>
    </w:p>
    <w:p>
      <w:pPr>
        <w:pStyle w:val="Label"/>
        <w:spacing w:before="140" w:after="20"/>
      </w:pPr>
      <w:r>
        <w:t>Evidence</w:t>
      </w:r>
    </w:p>
    <w:p>
      <w:pPr>
        <w:spacing w:after="80"/>
      </w:pPr>
      <w:r>
        <w:t>Capture, reconstruction and all three script defaults read directly.</w:t>
      </w:r>
    </w:p>
    <w:p>
      <w:pPr>
        <w:pStyle w:val="Label"/>
        <w:spacing w:before="140" w:after="20"/>
      </w:pPr>
      <w:r>
        <w:t>Recommended action</w:t>
      </w:r>
    </w:p>
    <w:p>
      <w:pPr>
        <w:spacing w:after="80"/>
      </w:pPr>
      <w:r>
        <w:t>Add a data-root override that re-resolves stored filenames against a supplied directory, keeping SHA-256 verification as the identity check. Hashes already make relocation safe; only the lookup is rigid.</w:t>
      </w:r>
    </w:p>
    <w:p>
      <w:pPr>
        <w:pStyle w:val="FindHead"/>
      </w:pPr>
      <w:r>
        <w:rPr>
          <w:rFonts w:ascii="Consolas" w:hAnsi="Consolas"/>
          <w:color w:val="0E6F79"/>
          <w:sz w:val="22"/>
        </w:rPr>
        <w:t xml:space="preserve">F-14  </w:t>
      </w:r>
      <w:r>
        <w:t>Bias is persisted with opposite signs in two artefacts of the same run</w:t>
      </w:r>
    </w:p>
    <w:p>
      <w:pPr>
        <w:spacing w:after="120"/>
      </w:pPr>
      <w:r>
        <w:rPr>
          <w:rFonts w:ascii="Segoe UI" w:hAnsi="Segoe UI"/>
          <w:b/>
          <w:color w:val="3F6377"/>
          <w:sz w:val="17"/>
        </w:rPr>
        <w:t>MEDIUM</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Metrics</w:t>
      </w:r>
    </w:p>
    <w:p>
      <w:pPr>
        <w:pStyle w:val="Label"/>
        <w:spacing w:before="140" w:after="20"/>
      </w:pPr>
      <w:r>
        <w:t>Location</w:t>
      </w:r>
    </w:p>
    <w:p>
      <w:pPr>
        <w:spacing w:after="80"/>
      </w:pPr>
      <w:r>
        <w:rPr>
          <w:rFonts w:ascii="Consolas" w:hAnsi="Consolas"/>
          <w:color w:val="3E4E55"/>
          <w:sz w:val="18"/>
        </w:rPr>
        <w:t xml:space="preserve">app/models/metrics.py:57 — </w:t>
      </w:r>
      <w:r>
        <w:rPr>
          <w:rFonts w:ascii="Consolas" w:hAnsi="Consolas"/>
          <w:color w:val="3E4E55"/>
          <w:sz w:val="18"/>
        </w:rPr>
        <w:t>bias = mean(predicted − actual)</w:t>
      </w:r>
      <w:r>
        <w:rPr>
          <w:rFonts w:ascii="Consolas" w:hAnsi="Consolas"/>
          <w:color w:val="3E4E55"/>
          <w:sz w:val="18"/>
        </w:rPr>
        <w:t xml:space="preserve">  ·  scripts/run_kelmarsh_experiment.py:188 — </w:t>
      </w:r>
      <w:r>
        <w:rPr>
          <w:rFonts w:ascii="Consolas" w:hAnsi="Consolas"/>
          <w:color w:val="3E4E55"/>
          <w:sz w:val="18"/>
        </w:rPr>
        <w:t>bias = mean(residual)</w:t>
      </w:r>
      <w:r>
        <w:t xml:space="preserve"> where residual = actual − predicted</w:t>
      </w:r>
    </w:p>
    <w:p>
      <w:pPr>
        <w:pStyle w:val="Label"/>
        <w:spacing w:before="140" w:after="20"/>
      </w:pPr>
      <w:r>
        <w:t>What the code does</w:t>
      </w:r>
    </w:p>
    <w:p>
      <w:pPr>
        <w:spacing w:after="80"/>
      </w:pPr>
      <w:r>
        <w:t>Both are written for every run: the metrics file under the model/partition/target hierarchy, and the run summary under the confidence-interval hierarchy. They are negatives of each other.</w:t>
      </w:r>
    </w:p>
    <w:p>
      <w:pPr>
        <w:pStyle w:val="Label"/>
        <w:spacing w:before="140" w:after="20"/>
      </w:pPr>
      <w:r>
        <w:t>Why it matters</w:t>
      </w:r>
    </w:p>
    <w:p>
      <w:pPr>
        <w:spacing w:after="80"/>
      </w:pPr>
      <w:r>
        <w:t>Bias is one of the four mandated accuracy metrics and its sign is its meaning — whether the NBM runs hot or cold relative to measurement. A results table assembled from both files would state the thermal bias backwards for half its rows. The project has recorded the discrepancy in its handoff notes and not resolved it.</w:t>
      </w:r>
    </w:p>
    <w:p>
      <w:pPr>
        <w:pStyle w:val="Label"/>
        <w:spacing w:before="140" w:after="20"/>
      </w:pPr>
      <w:r>
        <w:t>Evidence</w:t>
      </w:r>
    </w:p>
    <w:p>
      <w:pPr>
        <w:spacing w:after="80"/>
      </w:pPr>
      <w:r>
        <w:t>Both definitions read directly; both persist to disk.</w:t>
      </w:r>
    </w:p>
    <w:p>
      <w:pPr>
        <w:pStyle w:val="Label"/>
        <w:spacing w:before="140" w:after="20"/>
      </w:pPr>
      <w:r>
        <w:t>Recommended action</w:t>
      </w:r>
    </w:p>
    <w:p>
      <w:pPr>
        <w:spacing w:after="80"/>
      </w:pPr>
      <w:r>
        <w:t>Pick one convention, state it in the metrics docstring, and have the run script call the shared metric function for the point estimate so only the interval machinery is bespoke.</w:t>
      </w:r>
    </w:p>
    <w:p>
      <w:pPr>
        <w:pStyle w:val="FindHead"/>
      </w:pPr>
      <w:r>
        <w:rPr>
          <w:rFonts w:ascii="Consolas" w:hAnsi="Consolas"/>
          <w:color w:val="0E6F79"/>
          <w:sz w:val="22"/>
        </w:rPr>
        <w:t xml:space="preserve">F-15  </w:t>
      </w:r>
      <w:r>
        <w:t>Block-length search is quadratic in the worst case, and a saturated block length reduces the bootstrap to four blocks</w:t>
      </w:r>
    </w:p>
    <w:p>
      <w:pPr>
        <w:spacing w:after="120"/>
      </w:pPr>
      <w:r>
        <w:rPr>
          <w:rFonts w:ascii="Segoe UI" w:hAnsi="Segoe UI"/>
          <w:b/>
          <w:color w:val="3F6377"/>
          <w:sz w:val="17"/>
        </w:rPr>
        <w:t>MEDIUM</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Evaluation statistics / performance</w:t>
      </w:r>
    </w:p>
    <w:p>
      <w:pPr>
        <w:pStyle w:val="Label"/>
        <w:spacing w:before="140" w:after="20"/>
      </w:pPr>
      <w:r>
        <w:t>Location</w:t>
      </w:r>
    </w:p>
    <w:p>
      <w:pPr>
        <w:spacing w:after="80"/>
      </w:pPr>
      <w:r>
        <w:rPr>
          <w:rFonts w:ascii="Consolas" w:hAnsi="Consolas"/>
          <w:color w:val="3E4E55"/>
          <w:sz w:val="18"/>
        </w:rPr>
        <w:t xml:space="preserve">app/evaluation/bootstrap.py:62–77 </w:t>
      </w:r>
      <w:r>
        <w:rPr>
          <w:rFonts w:ascii="Consolas" w:hAnsi="Consolas"/>
          <w:color w:val="3E4E55"/>
          <w:sz w:val="18"/>
        </w:rPr>
        <w:t>block_length_from_autocorrelation</w:t>
      </w:r>
    </w:p>
    <w:p>
      <w:pPr>
        <w:pStyle w:val="Label"/>
        <w:spacing w:before="140" w:after="20"/>
      </w:pPr>
      <w:r>
        <w:t>What the code does</w:t>
      </w:r>
    </w:p>
    <w:p>
      <w:pPr>
        <w:spacing w:after="80"/>
      </w:pPr>
      <w:r>
        <w:t>The loop scans lags up to n/4, each autocorrelation call costing O(n). The white-noise band at n ≈ 538,000 is 1.96/√n ≈ 0.0027, which a slowly decaying thermal autocorrelation may take a very large number of lags to cross. If the scan saturates, block length clips to n/4 and the bootstrap then resamples ceil(n/block) = 4 blocks per replicate.</w:t>
      </w:r>
    </w:p>
    <w:p>
      <w:pPr>
        <w:pStyle w:val="Label"/>
        <w:spacing w:before="140" w:after="20"/>
      </w:pPr>
      <w:r>
        <w:t>Why it matters</w:t>
      </w:r>
    </w:p>
    <w:p>
      <w:pPr>
        <w:spacing w:after="80"/>
      </w:pPr>
      <w:r>
        <w:t>Two distinct risks: a runtime cliff on the headline path, and — more quietly — confidence intervals resting on four resampled chunks while presenting as a 1,000-replicate bootstrap. The block length is recorded in every interval, so the second is detectable in the artefacts, but nothing flags it.</w:t>
      </w:r>
    </w:p>
    <w:p>
      <w:pPr>
        <w:pStyle w:val="Label"/>
        <w:spacing w:before="140" w:after="20"/>
      </w:pPr>
      <w:r>
        <w:t>Evidence</w:t>
      </w:r>
    </w:p>
    <w:p>
      <w:pPr>
        <w:spacing w:after="80"/>
      </w:pPr>
      <w:r>
        <w:t>Heuristic and interval routine read in full. Actual block lengths Unknown without the artefacts — they are recorded there.</w:t>
      </w:r>
    </w:p>
    <w:p>
      <w:pPr>
        <w:pStyle w:val="Label"/>
        <w:spacing w:before="140" w:after="20"/>
      </w:pPr>
      <w:r>
        <w:t>Recommended action</w:t>
      </w:r>
    </w:p>
    <w:p>
      <w:pPr>
        <w:spacing w:after="80"/>
      </w:pPr>
      <w:r>
        <w:t>Compute the autocorrelation function once via FFT instead of per-lag. Warn when n / block_length falls below a floor of roughly 20 blocks. Both are small changes; the second is the one that protects the accuracy intervals.</w:t>
      </w:r>
    </w:p>
    <w:p>
      <w:pPr>
        <w:pStyle w:val="FindHead"/>
      </w:pPr>
      <w:r>
        <w:rPr>
          <w:rFonts w:ascii="Consolas" w:hAnsi="Consolas"/>
          <w:color w:val="0E6F79"/>
          <w:sz w:val="22"/>
        </w:rPr>
        <w:t xml:space="preserve">F-16  </w:t>
      </w:r>
      <w:r>
        <w:t>The reproducible pipeline produces no diagnostic output; downstream results are generated outside it</w:t>
      </w:r>
    </w:p>
    <w:p>
      <w:pPr>
        <w:spacing w:after="120"/>
      </w:pPr>
      <w:r>
        <w:rPr>
          <w:rFonts w:ascii="Segoe UI" w:hAnsi="Segoe UI"/>
          <w:b/>
          <w:color w:val="3F6377"/>
          <w:sz w:val="17"/>
        </w:rPr>
        <w:t>MEDIUM</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Pipeline architecture</w:t>
      </w:r>
    </w:p>
    <w:p>
      <w:pPr>
        <w:pStyle w:val="Label"/>
        <w:spacing w:before="140" w:after="20"/>
      </w:pPr>
      <w:r>
        <w:t>Location</w:t>
      </w:r>
    </w:p>
    <w:p>
      <w:pPr>
        <w:spacing w:after="80"/>
      </w:pPr>
      <w:r>
        <w:rPr>
          <w:rFonts w:ascii="Consolas" w:hAnsi="Consolas"/>
          <w:color w:val="3E4E55"/>
          <w:sz w:val="18"/>
        </w:rPr>
        <w:t xml:space="preserve">app/experiments/runner.py </w:t>
      </w:r>
      <w:r>
        <w:rPr>
          <w:rFonts w:ascii="Consolas" w:hAnsi="Consolas"/>
          <w:color w:val="3E4E55"/>
          <w:sz w:val="18"/>
        </w:rPr>
        <w:t>run_pipeline</w:t>
      </w:r>
      <w:r>
        <w:t xml:space="preserve"> ends at EWMA plus in-control characterisation  ·  </w:t>
      </w:r>
      <w:r>
        <w:rPr>
          <w:rFonts w:ascii="Consolas" w:hAnsi="Consolas"/>
          <w:color w:val="3E4E55"/>
          <w:sz w:val="18"/>
        </w:rPr>
        <w:t>scripts/*.py</w:t>
      </w:r>
    </w:p>
    <w:p>
      <w:pPr>
        <w:pStyle w:val="Label"/>
        <w:spacing w:before="140" w:after="20"/>
      </w:pPr>
      <w:r>
        <w:t>What the code does</w:t>
      </w:r>
    </w:p>
    <w:p>
      <w:pPr>
        <w:spacing w:after="80"/>
      </w:pPr>
      <w:r>
        <w:t>Coordinated-state construction, interpretation, event evaluation and the matched false-alarm sweep run only in scripts, which append JSON into an already-persisted experiment directory. The comparator detectors are exercised by nothing but their unit tests.</w:t>
      </w:r>
    </w:p>
    <w:p>
      <w:pPr>
        <w:pStyle w:val="Label"/>
        <w:spacing w:before="140" w:after="20"/>
      </w:pPr>
      <w:r>
        <w:t>Why it matters</w:t>
      </w:r>
    </w:p>
    <w:p>
      <w:pPr>
        <w:spacing w:after="80"/>
      </w:pPr>
      <w:r>
        <w:t>Reproduction diffs metrics and predictions — so none of the detection or interpretation outputs are covered by the reproduction gate at all. Script-produced files also have no configuration hash, no guard attestation and no place in the metadata contract, which is otherwise rigorously enforced. The scripts additionally re-derive slice membership by re-running ingestion and cleaning, guarded by a row-count assertion — an honest mitigation for a seam that should not exist.</w:t>
      </w:r>
    </w:p>
    <w:p>
      <w:pPr>
        <w:pStyle w:val="Label"/>
        <w:spacing w:before="140" w:after="20"/>
      </w:pPr>
      <w:r>
        <w:t>Evidence</w:t>
      </w:r>
    </w:p>
    <w:p>
      <w:pPr>
        <w:spacing w:after="80"/>
      </w:pPr>
      <w:r>
        <w:t>Runner return value and all five scripts read in full.</w:t>
      </w:r>
    </w:p>
    <w:p>
      <w:pPr>
        <w:pStyle w:val="Label"/>
        <w:spacing w:before="140" w:after="20"/>
      </w:pPr>
      <w:r>
        <w:t>Recommended action</w:t>
      </w:r>
    </w:p>
    <w:p>
      <w:pPr>
        <w:spacing w:after="80"/>
      </w:pPr>
      <w:r>
        <w:t>Move coordinated-state construction and event evaluation into the pipeline so they are covered by reproduction. The sweep and sensitivity suite can reasonably stay as scripts but should record their own configuration hash and environment stamp — the sweep already does the latter.</w:t>
      </w:r>
    </w:p>
    <w:p>
      <w:pPr>
        <w:pStyle w:val="FindHead"/>
      </w:pPr>
      <w:r>
        <w:rPr>
          <w:rFonts w:ascii="Consolas" w:hAnsi="Consolas"/>
          <w:color w:val="0E6F79"/>
          <w:sz w:val="22"/>
        </w:rPr>
        <w:t xml:space="preserve">F-19  </w:t>
      </w:r>
      <w:r>
        <w:t>Step-change detector windows are row-based and its before/after medians overlap</w:t>
      </w:r>
    </w:p>
    <w:p>
      <w:pPr>
        <w:spacing w:after="120"/>
      </w:pPr>
      <w:r>
        <w:rPr>
          <w:rFonts w:ascii="Segoe UI" w:hAnsi="Segoe UI"/>
          <w:b/>
          <w:color w:val="6B7C83"/>
          <w:sz w:val="17"/>
        </w:rPr>
        <w:t>LOW</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Data cleaning</w:t>
      </w:r>
    </w:p>
    <w:p>
      <w:pPr>
        <w:pStyle w:val="Label"/>
        <w:spacing w:before="140" w:after="20"/>
      </w:pPr>
      <w:r>
        <w:t>Location</w:t>
      </w:r>
    </w:p>
    <w:p>
      <w:pPr>
        <w:spacing w:after="80"/>
      </w:pPr>
      <w:r>
        <w:rPr>
          <w:rFonts w:ascii="Consolas" w:hAnsi="Consolas"/>
          <w:color w:val="3E4E55"/>
          <w:sz w:val="18"/>
        </w:rPr>
        <w:t xml:space="preserve">app/data/validation.py:336–365 </w:t>
      </w:r>
      <w:r>
        <w:rPr>
          <w:rFonts w:ascii="Consolas" w:hAnsi="Consolas"/>
          <w:color w:val="3E4E55"/>
          <w:sz w:val="18"/>
        </w:rPr>
        <w:t>StepChangeRule._detect</w:t>
      </w:r>
    </w:p>
    <w:p>
      <w:pPr>
        <w:pStyle w:val="Label"/>
        <w:spacing w:before="140" w:after="20"/>
      </w:pPr>
      <w:r>
        <w:t>What the code does</w:t>
      </w:r>
    </w:p>
    <w:p>
      <w:pPr>
        <w:spacing w:after="80"/>
      </w:pPr>
      <w:r>
        <w:t>Trailing and reversed rolling medians are computed over row order, so a 144-sample window is 24 hours only where the stream is gapless, and the two windows share the index at which the difference is evaluated. The rule flags any level difference across the window, including a monotone ramp.</w:t>
      </w:r>
    </w:p>
    <w:p>
      <w:pPr>
        <w:pStyle w:val="Label"/>
        <w:spacing w:before="140" w:after="20"/>
      </w:pPr>
      <w:r>
        <w:t>Why it matters</w:t>
      </w:r>
    </w:p>
    <w:p>
      <w:pPr>
        <w:spacing w:after="80"/>
      </w:pPr>
      <w:r>
        <w:t>Ramp sensitivity is precisely why the detector fired on load-driven thermal transitions and removed 39.8% of the training set before the exclusion was disabled. Impact is now contained — the detector is reporting-only — but the sensitivity suite sweeps the enable switch with re-enabled as one arm, so the behaviour still influences a reported conclusion label.</w:t>
      </w:r>
    </w:p>
    <w:p>
      <w:pPr>
        <w:pStyle w:val="Label"/>
        <w:spacing w:before="140" w:after="20"/>
      </w:pPr>
      <w:r>
        <w:t>Evidence</w:t>
      </w:r>
    </w:p>
    <w:p>
      <w:pPr>
        <w:spacing w:after="80"/>
      </w:pPr>
      <w:r>
        <w:t>Detector read in full; the load-coincidence evidence (94% of detections coincident with a ≥100 kW power step) corroborates.</w:t>
      </w:r>
    </w:p>
    <w:p>
      <w:pPr>
        <w:pStyle w:val="Label"/>
        <w:spacing w:before="140" w:after="20"/>
      </w:pPr>
      <w:r>
        <w:t>Recommended action</w:t>
      </w:r>
    </w:p>
    <w:p>
      <w:pPr>
        <w:spacing w:after="80"/>
      </w:pPr>
      <w:r>
        <w:t>Separate the windows by at least one sample, use time-based windows, and require a persistence check without a coincident power move — the criterion the review applied by hand.</w:t>
      </w:r>
    </w:p>
    <w:p>
      <w:pPr>
        <w:pStyle w:val="FindHead"/>
      </w:pPr>
      <w:r>
        <w:rPr>
          <w:rFonts w:ascii="Consolas" w:hAnsi="Consolas"/>
          <w:color w:val="0E6F79"/>
          <w:sz w:val="22"/>
        </w:rPr>
        <w:t xml:space="preserve">F-20  </w:t>
      </w:r>
      <w:r>
        <w:t>The model registry swallows TypeError and can silently return a default-configured model</w:t>
      </w:r>
    </w:p>
    <w:p>
      <w:pPr>
        <w:spacing w:after="120"/>
      </w:pPr>
      <w:r>
        <w:rPr>
          <w:rFonts w:ascii="Segoe UI" w:hAnsi="Segoe UI"/>
          <w:b/>
          <w:color w:val="6B7C83"/>
          <w:sz w:val="17"/>
        </w:rPr>
        <w:t>LOW</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Models</w:t>
      </w:r>
    </w:p>
    <w:p>
      <w:pPr>
        <w:pStyle w:val="Label"/>
        <w:spacing w:before="140" w:after="20"/>
      </w:pPr>
      <w:r>
        <w:t>Location</w:t>
      </w:r>
    </w:p>
    <w:p>
      <w:pPr>
        <w:spacing w:after="80"/>
      </w:pPr>
      <w:r>
        <w:rPr>
          <w:rFonts w:ascii="Consolas" w:hAnsi="Consolas"/>
          <w:color w:val="3E4E55"/>
          <w:sz w:val="18"/>
        </w:rPr>
        <w:t>app/models/registry.py:50–53</w:t>
      </w:r>
    </w:p>
    <w:p>
      <w:pPr>
        <w:pStyle w:val="Label"/>
        <w:spacing w:before="140" w:after="20"/>
      </w:pPr>
      <w:r>
        <w:t>What the code does</w:t>
      </w:r>
    </w:p>
    <w:p>
      <w:pPr>
        <w:spacing w:after="80"/>
      </w:pPr>
      <w:r>
        <w:rPr>
          <w:rFonts w:ascii="Consolas" w:hAnsi="Consolas"/>
          <w:color w:val="3E4E55"/>
          <w:sz w:val="18"/>
        </w:rPr>
        <w:t>try: cls(**kwargs) except TypeError: cls()</w:t>
      </w:r>
      <w:r>
        <w:t xml:space="preserve">. The intent is to let the baseline ignore construction keyword arguments, but the fallback also catches a genuine TypeError raised </w:t>
      </w:r>
      <w:r>
        <w:rPr>
          <w:i/>
        </w:rPr>
        <w:t>inside</w:t>
      </w:r>
      <w:r>
        <w:t xml:space="preserve"> a constructor.</w:t>
      </w:r>
    </w:p>
    <w:p>
      <w:pPr>
        <w:pStyle w:val="Label"/>
        <w:spacing w:before="140" w:after="20"/>
      </w:pPr>
      <w:r>
        <w:t>Why it matters</w:t>
      </w:r>
    </w:p>
    <w:p>
      <w:pPr>
        <w:spacing w:after="80"/>
      </w:pPr>
      <w:r>
        <w:t>The thesis model is built through this path with hyperparameters and the multi-output flag. A future signature change or an internal error would drop both silently and fit a default-configured model, with the resulting metadata recording defaults that look entirely legitimate.</w:t>
      </w:r>
    </w:p>
    <w:p>
      <w:pPr>
        <w:pStyle w:val="Label"/>
        <w:spacing w:before="140" w:after="20"/>
      </w:pPr>
      <w:r>
        <w:t>Evidence</w:t>
      </w:r>
    </w:p>
    <w:p>
      <w:pPr>
        <w:spacing w:after="80"/>
      </w:pPr>
      <w:r>
        <w:t>Function read in full.</w:t>
      </w:r>
    </w:p>
    <w:p>
      <w:pPr>
        <w:pStyle w:val="Label"/>
        <w:spacing w:before="140" w:after="20"/>
      </w:pPr>
      <w:r>
        <w:t>Recommended action</w:t>
      </w:r>
    </w:p>
    <w:p>
      <w:pPr>
        <w:spacing w:after="80"/>
      </w:pPr>
      <w:r>
        <w:t>Inspect the signature and pass only accepted keyword arguments, so real constructor errors propagate.</w:t>
      </w:r>
    </w:p>
    <w:p>
      <w:pPr>
        <w:pStyle w:val="FindHead"/>
      </w:pPr>
      <w:r>
        <w:rPr>
          <w:rFonts w:ascii="Consolas" w:hAnsi="Consolas"/>
          <w:color w:val="0E6F79"/>
          <w:sz w:val="22"/>
        </w:rPr>
        <w:t xml:space="preserve">F-21  </w:t>
      </w:r>
      <w:r>
        <w:t>The single-signal baseline is evaluated on the two-target intersection rather than each signal's own support</w:t>
      </w:r>
    </w:p>
    <w:p>
      <w:pPr>
        <w:spacing w:after="120"/>
      </w:pPr>
      <w:r>
        <w:rPr>
          <w:rFonts w:ascii="Segoe UI" w:hAnsi="Segoe UI"/>
          <w:b/>
          <w:color w:val="6B7C83"/>
          <w:sz w:val="17"/>
        </w:rPr>
        <w:t>LOW</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Evaluation methodology</w:t>
      </w:r>
    </w:p>
    <w:p>
      <w:pPr>
        <w:pStyle w:val="Label"/>
        <w:spacing w:before="140" w:after="20"/>
      </w:pPr>
      <w:r>
        <w:t>Location</w:t>
      </w:r>
    </w:p>
    <w:p>
      <w:pPr>
        <w:spacing w:after="80"/>
      </w:pPr>
      <w:r>
        <w:rPr>
          <w:rFonts w:ascii="Consolas" w:hAnsi="Consolas"/>
          <w:color w:val="3E4E55"/>
          <w:sz w:val="18"/>
        </w:rPr>
        <w:t xml:space="preserve">app/detection/matched_fpr.py:137 — </w:t>
      </w:r>
      <w:r>
        <w:rPr>
          <w:rFonts w:ascii="Consolas" w:hAnsi="Consolas"/>
          <w:color w:val="3E4E55"/>
          <w:sz w:val="18"/>
        </w:rPr>
        <w:t>pd.concat(..., join="inner")</w:t>
      </w:r>
      <w:r>
        <w:t>, used for the union arm too</w:t>
      </w:r>
    </w:p>
    <w:p>
      <w:pPr>
        <w:pStyle w:val="Label"/>
        <w:spacing w:before="140" w:after="20"/>
      </w:pPr>
      <w:r>
        <w:t>What the code does</w:t>
      </w:r>
    </w:p>
    <w:p>
      <w:pPr>
        <w:spacing w:after="80"/>
      </w:pPr>
      <w:r>
        <w:t>The single-signal union baseline is built as a coordinated pipeline with a coincidence threshold of one, so it inherits the inner join across targets and can only alarm where both targets are observed.</w:t>
      </w:r>
    </w:p>
    <w:p>
      <w:pPr>
        <w:pStyle w:val="Label"/>
        <w:spacing w:before="140" w:after="20"/>
      </w:pPr>
      <w:r>
        <w:t>Why it matters</w:t>
      </w:r>
    </w:p>
    <w:p>
      <w:pPr>
        <w:spacing w:after="80"/>
      </w:pPr>
      <w:r>
        <w:t>Independent monitoring should watch each signal over its own support. No practical effect on this dataset — both targets are present on identical rows because residuals are built from the same frame — but it is a definitional inconsistency in the pre-registered baseline, and it would bite on any dataset with per-channel dropout.</w:t>
      </w:r>
    </w:p>
    <w:p>
      <w:pPr>
        <w:pStyle w:val="Label"/>
        <w:spacing w:before="140" w:after="20"/>
      </w:pPr>
      <w:r>
        <w:t>Evidence</w:t>
      </w:r>
    </w:p>
    <w:p>
      <w:pPr>
        <w:spacing w:after="80"/>
      </w:pPr>
      <w:r>
        <w:t>Pipeline construction and the sweep script's arm definitions read in full.</w:t>
      </w:r>
    </w:p>
    <w:p>
      <w:pPr>
        <w:pStyle w:val="Label"/>
        <w:spacing w:before="140" w:after="20"/>
      </w:pPr>
      <w:r>
        <w:t>Recommended action</w:t>
      </w:r>
    </w:p>
    <w:p>
      <w:pPr>
        <w:spacing w:after="80"/>
      </w:pPr>
      <w:r>
        <w:t>Give the union arm its own implementation over the union of timestamps, or document the intersection restriction in the criterion's operationalisation.</w:t>
      </w:r>
    </w:p>
    <w:p>
      <w:pPr>
        <w:pStyle w:val="FindHead"/>
      </w:pPr>
      <w:r>
        <w:rPr>
          <w:rFonts w:ascii="Consolas" w:hAnsi="Consolas"/>
          <w:color w:val="0E6F79"/>
          <w:sz w:val="22"/>
        </w:rPr>
        <w:t xml:space="preserve">F-22  </w:t>
      </w:r>
      <w:r>
        <w:t>In-control characterisation becomes in-sample if the threshold-source decision closes to validation</w:t>
      </w:r>
    </w:p>
    <w:p>
      <w:pPr>
        <w:spacing w:after="120"/>
      </w:pPr>
      <w:r>
        <w:rPr>
          <w:rFonts w:ascii="Segoe UI" w:hAnsi="Segoe UI"/>
          <w:b/>
          <w:color w:val="6B7C83"/>
          <w:sz w:val="17"/>
        </w:rPr>
        <w:t>LOW</w:t>
      </w:r>
      <w:r>
        <w:rPr>
          <w:rFonts w:ascii="Segoe UI" w:hAnsi="Segoe UI"/>
          <w:color w:val="6B7C83"/>
          <w:sz w:val="17"/>
        </w:rPr>
        <w:t xml:space="preserve">     Evidence: </w:t>
      </w:r>
      <w:r>
        <w:rPr>
          <w:rFonts w:ascii="Segoe UI" w:hAnsi="Segoe UI"/>
          <w:b/>
          <w:color w:val="3E4E55"/>
          <w:sz w:val="17"/>
        </w:rPr>
        <w:t>Verified</w:t>
      </w:r>
      <w:r>
        <w:rPr>
          <w:rFonts w:ascii="Segoe UI" w:hAnsi="Segoe UI"/>
          <w:color w:val="6B7C83"/>
          <w:sz w:val="17"/>
        </w:rPr>
        <w:t xml:space="preserve">     Area: </w:t>
      </w:r>
      <w:r>
        <w:rPr>
          <w:rFonts w:ascii="Segoe UI" w:hAnsi="Segoe UI"/>
          <w:b/>
          <w:color w:val="3E4E55"/>
          <w:sz w:val="17"/>
        </w:rPr>
        <w:t>Detection</w:t>
      </w:r>
    </w:p>
    <w:p>
      <w:pPr>
        <w:pStyle w:val="Label"/>
        <w:spacing w:before="140" w:after="20"/>
      </w:pPr>
      <w:r>
        <w:t>Location</w:t>
      </w:r>
    </w:p>
    <w:p>
      <w:pPr>
        <w:spacing w:after="80"/>
      </w:pPr>
      <w:r>
        <w:rPr>
          <w:rFonts w:ascii="Consolas" w:hAnsi="Consolas"/>
          <w:color w:val="3E4E55"/>
          <w:sz w:val="18"/>
        </w:rPr>
        <w:t>app/experiments/runner.py:415–416</w:t>
      </w:r>
    </w:p>
    <w:p>
      <w:pPr>
        <w:pStyle w:val="Label"/>
        <w:spacing w:before="140" w:after="20"/>
      </w:pPr>
      <w:r>
        <w:t>What the code does</w:t>
      </w:r>
    </w:p>
    <w:p>
      <w:pPr>
        <w:spacing w:after="80"/>
      </w:pPr>
      <w:r>
        <w:t>Control limits are fitted on the configured source partition, but the in-control characterisation is always called on the validation partition.</w:t>
      </w:r>
    </w:p>
    <w:p>
      <w:pPr>
        <w:pStyle w:val="Label"/>
        <w:spacing w:before="140" w:after="20"/>
      </w:pPr>
      <w:r>
        <w:t>Why it matters</w:t>
      </w:r>
    </w:p>
    <w:p>
      <w:pPr>
        <w:spacing w:after="80"/>
      </w:pPr>
      <w:r>
        <w:t>Harmless under the current training default. If the open decision closes to validation — one of the two options explicitly on the table — limits would be fitted and characterised on the same rows, and the measured false-alarm rate that carries the inferential weight would become optimistically biased.</w:t>
      </w:r>
    </w:p>
    <w:p>
      <w:pPr>
        <w:pStyle w:val="Label"/>
        <w:spacing w:before="140" w:after="20"/>
      </w:pPr>
      <w:r>
        <w:t>Evidence</w:t>
      </w:r>
    </w:p>
    <w:p>
      <w:pPr>
        <w:spacing w:after="80"/>
      </w:pPr>
      <w:r>
        <w:t>Both call sites read in full; the configuration enum confirms both branches are live.</w:t>
      </w:r>
    </w:p>
    <w:p>
      <w:pPr>
        <w:pStyle w:val="Label"/>
        <w:spacing w:before="140" w:after="20"/>
      </w:pPr>
      <w:r>
        <w:t>Recommended action</w:t>
      </w:r>
    </w:p>
    <w:p>
      <w:pPr>
        <w:spacing w:after="80"/>
      </w:pPr>
      <w:r>
        <w:t>Characterise on a healthy block that is not the fitting block, and refuse fail-early if no such block exists.</w:t>
      </w:r>
    </w:p>
    <w:p>
      <w:r>
        <w:br w:type="page"/>
      </w:r>
    </w:p>
    <w:p>
      <w:pPr>
        <w:pStyle w:val="PartHead"/>
      </w:pPr>
      <w:r>
        <w:rPr>
          <w:b w:val="0"/>
          <w:i w:val="0"/>
        </w:rPr>
        <w:t>Part H</w:t>
      </w:r>
    </w:p>
    <w:p>
      <w:pPr>
        <w:pStyle w:val="PartSub"/>
      </w:pPr>
      <w:r>
        <w:rPr>
          <w:b w:val="0"/>
          <w:i w:val="0"/>
        </w:rPr>
        <w:t>Prioritised remediation for the DS/MLE scope</w:t>
      </w:r>
    </w:p>
    <w:p>
      <w:pPr>
        <w:pStyle w:val="H1x"/>
      </w:pPr>
      <w:r>
        <w:rPr>
          <w:b w:val="0"/>
          <w:i w:val="0"/>
        </w:rPr>
        <w:t>Stage 1 — Correct the measurements (blocking for any cited result)</w:t>
      </w:r>
    </w:p>
    <w:p>
      <w:pPr>
        <w:pStyle w:val="ListNumber"/>
        <w:spacing w:after="80"/>
        <w:ind w:left="547"/>
      </w:pPr>
      <w:r>
        <w:t xml:space="preserve">Change the turbine-year computation to row-time. Add a gapped-index test asserting the two definitions differ and that the rate uses row-time. </w:t>
      </w:r>
      <w:r>
        <w:rPr>
          <w:b/>
        </w:rPr>
        <w:t>Changes reported numbers.</w:t>
      </w:r>
    </w:p>
    <w:p>
      <w:pPr>
        <w:pStyle w:val="ListNumber"/>
        <w:spacing w:after="80"/>
        <w:ind w:left="547"/>
      </w:pPr>
      <w:r>
        <w:t xml:space="preserve">Rebuild the slice check so both comparison arms feed the detector identically. Record which construction was chosen and why — this is a methodology decision, not a patch. </w:t>
      </w:r>
      <w:r>
        <w:rPr>
          <w:b/>
        </w:rPr>
        <w:t>Changes reported numbers.</w:t>
      </w:r>
    </w:p>
    <w:p>
      <w:pPr>
        <w:pStyle w:val="ListNumber"/>
        <w:spacing w:after="80"/>
        <w:ind w:left="547"/>
      </w:pPr>
      <w:r>
        <w:t>Re-run the matched false-alarm sweep and restate the selected multipliers, the transfer-gap ratio and the descriptive coordination finding against corrected numbers. The descriptive finding is the most exposed of the three.</w:t>
      </w:r>
    </w:p>
    <w:p>
      <w:pPr>
        <w:pStyle w:val="ListNumber"/>
        <w:spacing w:after="80"/>
        <w:ind w:left="547"/>
      </w:pPr>
      <w:r>
        <w:t xml:space="preserve">Re-derive accuracy confidence intervals and DM tests per turbine with a justified HAC window. Expect wider intervals and a weaker significance statement — and report that as the finding it is. </w:t>
      </w:r>
      <w:r>
        <w:rPr>
          <w:b/>
        </w:rPr>
        <w:t>Changes reported numbers.</w:t>
      </w:r>
    </w:p>
    <w:p>
      <w:pPr>
        <w:pStyle w:val="H1x"/>
      </w:pPr>
      <w:r>
        <w:rPr>
          <w:b w:val="0"/>
          <w:i w:val="0"/>
        </w:rPr>
        <w:t>Stage 2 — Close the evidence gaps (before methodology write-up)</w:t>
      </w:r>
    </w:p>
    <w:p>
      <w:pPr>
        <w:pStyle w:val="ListNumber"/>
        <w:spacing w:after="80"/>
        <w:ind w:left="547"/>
      </w:pPr>
      <w:r>
        <w:t>Compute residual-to-residual correlation, pooled and per turbine, on both healthy blocks. This is the missing keystone of the coordination argument.</w:t>
      </w:r>
    </w:p>
    <w:p>
      <w:pPr>
        <w:pStyle w:val="ListNumber"/>
        <w:spacing w:after="80"/>
        <w:ind w:left="547"/>
      </w:pPr>
      <w:r>
        <w:t>Report per-turbine residual centre and scale. If offsets are material, fit per turbine and record the decision.</w:t>
      </w:r>
    </w:p>
    <w:p>
      <w:pPr>
        <w:pStyle w:val="ListNumber"/>
        <w:spacing w:after="80"/>
        <w:ind w:left="547"/>
      </w:pPr>
      <w:r>
        <w:t>Run the condition-sliced error diagnostics that already exist but are wired to nothing — they are the evidence the normalization decision names as its closure condition.</w:t>
      </w:r>
    </w:p>
    <w:p>
      <w:pPr>
        <w:pStyle w:val="ListNumber"/>
        <w:spacing w:after="80"/>
        <w:ind w:left="547"/>
      </w:pPr>
      <w:r>
        <w:t>Mark the two residual configuration fields provisional, add their grids, and run the sweep. This closes two open High-risk decisions with evidence rather than defaults.</w:t>
      </w:r>
    </w:p>
    <w:p>
      <w:pPr>
        <w:pStyle w:val="H1x"/>
      </w:pPr>
      <w:r>
        <w:rPr>
          <w:b w:val="0"/>
          <w:i w:val="0"/>
        </w:rPr>
        <w:t>Stage 3 — Make the record checkable (before submission)</w:t>
      </w:r>
    </w:p>
    <w:p>
      <w:pPr>
        <w:pStyle w:val="ListNumber"/>
        <w:spacing w:after="80"/>
        <w:ind w:left="547"/>
      </w:pPr>
      <w:r>
        <w:t>Commit the headline run's small JSON artefacts. Kilobytes, no raw SCADA, and every quoted figure becomes verifiable.</w:t>
      </w:r>
    </w:p>
    <w:p>
      <w:pPr>
        <w:pStyle w:val="ListNumber"/>
        <w:spacing w:after="80"/>
        <w:ind w:left="547"/>
      </w:pPr>
      <w:r>
        <w:t>Add the tuned-run reproduction test, commit-identity and configuration-hash warnings, and the status-file provenance extension.</w:t>
      </w:r>
    </w:p>
    <w:p>
      <w:pPr>
        <w:pStyle w:val="ListNumber"/>
        <w:spacing w:after="80"/>
        <w:ind w:left="547"/>
      </w:pPr>
      <w:r>
        <w:t>Add a data-root override so reproduction is not machine-bound.</w:t>
      </w:r>
    </w:p>
    <w:p>
      <w:pPr>
        <w:pStyle w:val="ListNumber"/>
        <w:spacing w:after="80"/>
        <w:ind w:left="547"/>
      </w:pPr>
      <w:r>
        <w:t>Resolve the bias sign convention.</w:t>
      </w:r>
    </w:p>
    <w:p>
      <w:pPr>
        <w:pStyle w:val="H1x"/>
      </w:pPr>
      <w:r>
        <w:rPr>
          <w:b w:val="0"/>
          <w:i w:val="0"/>
        </w:rPr>
        <w:t>Stage 4 — Robustness (deferrable, with justification)</w:t>
      </w:r>
    </w:p>
    <w:p>
      <w:r>
        <w:t>EWMA gap and missing-value handling (F-03, F-04) is a real defect, but adding it now would invalidate the headline run for a risk with no evidence of having materialised on this dataset — the same reasoning the project applied when deliberately deferring predictor artefact screening. The recommendation is to record it as a dated, deliberate deferral naming the specific mechanisms, rather than silently carrying it.</w:t>
      </w:r>
    </w:p>
    <w:p>
      <w:r>
        <w:t>Smaller items: FFT the autocorrelation computation and warn on low block counts (F-15); fix the registry constructor fallback (F-20); document or correct the union-arm support (F-21); characterise in-control on a non-fitting block (F-22).</w:t>
      </w:r>
    </w:p>
    <w:p>
      <w:r>
        <w:br w:type="page"/>
      </w:r>
    </w:p>
    <w:p>
      <w:pPr>
        <w:pStyle w:val="PartHead"/>
      </w:pPr>
      <w:r>
        <w:rPr>
          <w:b w:val="0"/>
          <w:i w:val="0"/>
        </w:rPr>
        <w:t>Appendix A</w:t>
      </w:r>
    </w:p>
    <w:p>
      <w:pPr>
        <w:pStyle w:val="PartSub"/>
      </w:pPr>
      <w:r>
        <w:rPr>
          <w:b w:val="0"/>
          <w:i w:val="0"/>
        </w:rPr>
        <w:t>Complete parameter inventory</w:t>
      </w:r>
    </w:p>
    <w:p>
      <w:pPr>
        <w:pStyle w:val="H2x"/>
      </w:pPr>
      <w:r>
        <w:rPr>
          <w:b w:val="0"/>
          <w:i w:val="0"/>
        </w:rPr>
        <w:t>A.1  Data cleaning and healthy-state parameters</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3456"/>
            <w:shd w:val="clear" w:color="auto" w:fill="E7EDEF"/>
          </w:tcPr>
          <w:p>
            <w:pPr>
              <w:spacing w:before="60" w:after="60"/>
            </w:pPr>
            <w:r/>
            <w:r>
              <w:rPr>
                <w:rFonts w:ascii="Segoe UI" w:hAnsi="Segoe UI"/>
                <w:b/>
                <w:color w:val="101A1E"/>
                <w:sz w:val="17"/>
              </w:rPr>
              <w:t>Parameter</w:t>
            </w:r>
          </w:p>
        </w:tc>
        <w:tc>
          <w:tcPr>
            <w:tcW w:type="dxa" w:w="2016"/>
            <w:shd w:val="clear" w:color="auto" w:fill="E7EDEF"/>
          </w:tcPr>
          <w:p>
            <w:pPr>
              <w:spacing w:before="60" w:after="60"/>
            </w:pPr>
            <w:r/>
            <w:r>
              <w:rPr>
                <w:rFonts w:ascii="Segoe UI" w:hAnsi="Segoe UI"/>
                <w:b/>
                <w:color w:val="101A1E"/>
                <w:sz w:val="17"/>
              </w:rPr>
              <w:t>Value</w:t>
            </w:r>
          </w:p>
        </w:tc>
        <w:tc>
          <w:tcPr>
            <w:tcW w:type="dxa" w:w="1440"/>
            <w:shd w:val="clear" w:color="auto" w:fill="E7EDEF"/>
          </w:tcPr>
          <w:p>
            <w:pPr>
              <w:spacing w:before="60" w:after="60"/>
            </w:pPr>
            <w:r/>
            <w:r>
              <w:rPr>
                <w:rFonts w:ascii="Segoe UI" w:hAnsi="Segoe UI"/>
                <w:b/>
                <w:color w:val="101A1E"/>
                <w:sz w:val="17"/>
              </w:rPr>
              <w:t>Provisional?</w:t>
            </w:r>
          </w:p>
        </w:tc>
        <w:tc>
          <w:tcPr>
            <w:tcW w:type="dxa" w:w="2304"/>
            <w:shd w:val="clear" w:color="auto" w:fill="E7EDEF"/>
          </w:tcPr>
          <w:p>
            <w:pPr>
              <w:spacing w:before="60" w:after="60"/>
            </w:pPr>
            <w:r/>
            <w:r>
              <w:rPr>
                <w:rFonts w:ascii="Segoe UI" w:hAnsi="Segoe UI"/>
                <w:b/>
                <w:color w:val="101A1E"/>
                <w:sz w:val="17"/>
              </w:rPr>
              <w:t>Swept</w:t>
            </w:r>
          </w:p>
        </w:tc>
      </w:tr>
      <w:tr>
        <w:tc>
          <w:tcPr>
            <w:tcW w:type="dxa" w:w="3456"/>
          </w:tcPr>
          <w:p>
            <w:pPr>
              <w:spacing w:before="60" w:after="60"/>
            </w:pPr>
            <w:r/>
            <w:r>
              <w:rPr>
                <w:rFonts w:ascii="Segoe UI" w:hAnsi="Segoe UI"/>
                <w:b/>
                <w:color w:val="101A1E"/>
                <w:sz w:val="17"/>
              </w:rPr>
              <w:t>exclude_alarm_periods</w:t>
            </w:r>
          </w:p>
        </w:tc>
        <w:tc>
          <w:tcPr>
            <w:tcW w:type="dxa" w:w="2016"/>
          </w:tcPr>
          <w:p>
            <w:pPr>
              <w:spacing w:before="60" w:after="60"/>
            </w:pPr>
            <w:r/>
            <w:r>
              <w:rPr>
                <w:rFonts w:ascii="Segoe UI" w:hAnsi="Segoe UI"/>
                <w:b w:val="0"/>
                <w:color w:val="3E4E55"/>
                <w:sz w:val="17"/>
              </w:rPr>
              <w:t>True</w:t>
            </w:r>
          </w:p>
        </w:tc>
        <w:tc>
          <w:tcPr>
            <w:tcW w:type="dxa" w:w="1440"/>
          </w:tcPr>
          <w:p>
            <w:pPr>
              <w:spacing w:before="60" w:after="60"/>
            </w:pPr>
            <w:r/>
            <w:r>
              <w:rPr>
                <w:rFonts w:ascii="Segoe UI" w:hAnsi="Segoe UI"/>
                <w:b w:val="0"/>
                <w:color w:val="3E4E55"/>
                <w:sz w:val="17"/>
              </w:rPr>
              <w:t>No</w:t>
            </w:r>
          </w:p>
        </w:tc>
        <w:tc>
          <w:tcPr>
            <w:tcW w:type="dxa" w:w="2304"/>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exclude_step_changes</w:t>
            </w:r>
          </w:p>
        </w:tc>
        <w:tc>
          <w:tcPr>
            <w:tcW w:type="dxa" w:w="2016"/>
          </w:tcPr>
          <w:p>
            <w:pPr>
              <w:spacing w:before="60" w:after="60"/>
            </w:pPr>
            <w:r/>
            <w:r>
              <w:rPr>
                <w:rFonts w:ascii="Segoe UI" w:hAnsi="Segoe UI"/>
                <w:b w:val="0"/>
                <w:color w:val="3E4E55"/>
                <w:sz w:val="17"/>
              </w:rPr>
              <w:t>False</w:t>
            </w:r>
          </w:p>
        </w:tc>
        <w:tc>
          <w:tcPr>
            <w:tcW w:type="dxa" w:w="1440"/>
          </w:tcPr>
          <w:p>
            <w:pPr>
              <w:spacing w:before="60" w:after="60"/>
            </w:pPr>
            <w:r/>
            <w:r>
              <w:rPr>
                <w:rFonts w:ascii="Segoe UI" w:hAnsi="Segoe UI"/>
                <w:b w:val="0"/>
                <w:color w:val="3E4E55"/>
                <w:sz w:val="17"/>
              </w:rPr>
              <w:t>Yes</w:t>
            </w:r>
          </w:p>
        </w:tc>
        <w:tc>
          <w:tcPr>
            <w:tcW w:type="dxa" w:w="2304"/>
          </w:tcPr>
          <w:p>
            <w:pPr>
              <w:spacing w:before="60" w:after="60"/>
            </w:pPr>
            <w:r/>
            <w:r>
              <w:rPr>
                <w:rFonts w:ascii="Segoe UI" w:hAnsi="Segoe UI"/>
                <w:b w:val="0"/>
                <w:color w:val="3E4E55"/>
                <w:sz w:val="17"/>
              </w:rPr>
              <w:t>False, True</w:t>
            </w:r>
          </w:p>
        </w:tc>
      </w:tr>
      <w:tr>
        <w:tc>
          <w:tcPr>
            <w:tcW w:type="dxa" w:w="3456"/>
          </w:tcPr>
          <w:p>
            <w:pPr>
              <w:spacing w:before="60" w:after="60"/>
            </w:pPr>
            <w:r/>
            <w:r>
              <w:rPr>
                <w:rFonts w:ascii="Segoe UI" w:hAnsi="Segoe UI"/>
                <w:b/>
                <w:color w:val="101A1E"/>
                <w:sz w:val="17"/>
              </w:rPr>
              <w:t>fault_pre_exclusion_days</w:t>
            </w:r>
          </w:p>
        </w:tc>
        <w:tc>
          <w:tcPr>
            <w:tcW w:type="dxa" w:w="2016"/>
          </w:tcPr>
          <w:p>
            <w:pPr>
              <w:spacing w:before="60" w:after="60"/>
            </w:pPr>
            <w:r/>
            <w:r>
              <w:rPr>
                <w:rFonts w:ascii="Segoe UI" w:hAnsi="Segoe UI"/>
                <w:b w:val="0"/>
                <w:color w:val="3E4E55"/>
                <w:sz w:val="17"/>
              </w:rPr>
              <w:t>30</w:t>
            </w:r>
          </w:p>
        </w:tc>
        <w:tc>
          <w:tcPr>
            <w:tcW w:type="dxa" w:w="1440"/>
          </w:tcPr>
          <w:p>
            <w:pPr>
              <w:spacing w:before="60" w:after="60"/>
            </w:pPr>
            <w:r/>
            <w:r>
              <w:rPr>
                <w:rFonts w:ascii="Segoe UI" w:hAnsi="Segoe UI"/>
                <w:b w:val="0"/>
                <w:color w:val="3E4E55"/>
                <w:sz w:val="17"/>
              </w:rPr>
              <w:t>Yes</w:t>
            </w:r>
          </w:p>
        </w:tc>
        <w:tc>
          <w:tcPr>
            <w:tcW w:type="dxa" w:w="2304"/>
          </w:tcPr>
          <w:p>
            <w:pPr>
              <w:spacing w:before="60" w:after="60"/>
            </w:pPr>
            <w:r/>
            <w:r>
              <w:rPr>
                <w:rFonts w:ascii="Segoe UI" w:hAnsi="Segoe UI"/>
                <w:b w:val="0"/>
                <w:color w:val="3E4E55"/>
                <w:sz w:val="17"/>
              </w:rPr>
              <w:t>15, 30, 60</w:t>
            </w:r>
          </w:p>
        </w:tc>
      </w:tr>
      <w:tr>
        <w:tc>
          <w:tcPr>
            <w:tcW w:type="dxa" w:w="3456"/>
          </w:tcPr>
          <w:p>
            <w:pPr>
              <w:spacing w:before="60" w:after="60"/>
            </w:pPr>
            <w:r/>
            <w:r>
              <w:rPr>
                <w:rFonts w:ascii="Segoe UI" w:hAnsi="Segoe UI"/>
                <w:b/>
                <w:color w:val="101A1E"/>
                <w:sz w:val="17"/>
              </w:rPr>
              <w:t>maintenance_post_exclusion_days</w:t>
            </w:r>
          </w:p>
        </w:tc>
        <w:tc>
          <w:tcPr>
            <w:tcW w:type="dxa" w:w="2016"/>
          </w:tcPr>
          <w:p>
            <w:pPr>
              <w:spacing w:before="60" w:after="60"/>
            </w:pPr>
            <w:r/>
            <w:r>
              <w:rPr>
                <w:rFonts w:ascii="Segoe UI" w:hAnsi="Segoe UI"/>
                <w:b w:val="0"/>
                <w:color w:val="3E4E55"/>
                <w:sz w:val="17"/>
              </w:rPr>
              <w:t>2</w:t>
            </w:r>
          </w:p>
        </w:tc>
        <w:tc>
          <w:tcPr>
            <w:tcW w:type="dxa" w:w="1440"/>
          </w:tcPr>
          <w:p>
            <w:pPr>
              <w:spacing w:before="60" w:after="60"/>
            </w:pPr>
            <w:r/>
            <w:r>
              <w:rPr>
                <w:rFonts w:ascii="Segoe UI" w:hAnsi="Segoe UI"/>
                <w:b w:val="0"/>
                <w:color w:val="3E4E55"/>
                <w:sz w:val="17"/>
              </w:rPr>
              <w:t>Yes</w:t>
            </w:r>
          </w:p>
        </w:tc>
        <w:tc>
          <w:tcPr>
            <w:tcW w:type="dxa" w:w="2304"/>
          </w:tcPr>
          <w:p>
            <w:pPr>
              <w:spacing w:before="60" w:after="60"/>
            </w:pPr>
            <w:r/>
            <w:r>
              <w:rPr>
                <w:rFonts w:ascii="Segoe UI" w:hAnsi="Segoe UI"/>
                <w:b w:val="0"/>
                <w:color w:val="3E4E55"/>
                <w:sz w:val="17"/>
              </w:rPr>
              <w:t>1, 2, 4</w:t>
            </w:r>
          </w:p>
        </w:tc>
      </w:tr>
      <w:tr>
        <w:tc>
          <w:tcPr>
            <w:tcW w:type="dxa" w:w="3456"/>
          </w:tcPr>
          <w:p>
            <w:pPr>
              <w:spacing w:before="60" w:after="60"/>
            </w:pPr>
            <w:r/>
            <w:r>
              <w:rPr>
                <w:rFonts w:ascii="Segoe UI" w:hAnsi="Segoe UI"/>
                <w:b/>
                <w:color w:val="101A1E"/>
                <w:sz w:val="17"/>
              </w:rPr>
              <w:t>minimum_active_power_kw</w:t>
            </w:r>
          </w:p>
        </w:tc>
        <w:tc>
          <w:tcPr>
            <w:tcW w:type="dxa" w:w="2016"/>
          </w:tcPr>
          <w:p>
            <w:pPr>
              <w:spacing w:before="60" w:after="60"/>
            </w:pPr>
            <w:r/>
            <w:r>
              <w:rPr>
                <w:rFonts w:ascii="Segoe UI" w:hAnsi="Segoe UI"/>
                <w:b w:val="0"/>
                <w:color w:val="3E4E55"/>
                <w:sz w:val="17"/>
              </w:rPr>
              <w:t>50.0</w:t>
            </w:r>
          </w:p>
        </w:tc>
        <w:tc>
          <w:tcPr>
            <w:tcW w:type="dxa" w:w="1440"/>
          </w:tcPr>
          <w:p>
            <w:pPr>
              <w:spacing w:before="60" w:after="60"/>
            </w:pPr>
            <w:r/>
            <w:r>
              <w:rPr>
                <w:rFonts w:ascii="Segoe UI" w:hAnsi="Segoe UI"/>
                <w:b w:val="0"/>
                <w:color w:val="3E4E55"/>
                <w:sz w:val="17"/>
              </w:rPr>
              <w:t>Yes</w:t>
            </w:r>
          </w:p>
        </w:tc>
        <w:tc>
          <w:tcPr>
            <w:tcW w:type="dxa" w:w="2304"/>
          </w:tcPr>
          <w:p>
            <w:pPr>
              <w:spacing w:before="60" w:after="60"/>
            </w:pPr>
            <w:r/>
            <w:r>
              <w:rPr>
                <w:rFonts w:ascii="Segoe UI" w:hAnsi="Segoe UI"/>
                <w:b w:val="0"/>
                <w:color w:val="3E4E55"/>
                <w:sz w:val="17"/>
              </w:rPr>
              <w:t>25, 50, 100</w:t>
            </w:r>
          </w:p>
        </w:tc>
      </w:tr>
      <w:tr>
        <w:tc>
          <w:tcPr>
            <w:tcW w:type="dxa" w:w="3456"/>
          </w:tcPr>
          <w:p>
            <w:pPr>
              <w:spacing w:before="60" w:after="60"/>
            </w:pPr>
            <w:r/>
            <w:r>
              <w:rPr>
                <w:rFonts w:ascii="Segoe UI" w:hAnsi="Segoe UI"/>
                <w:b/>
                <w:color w:val="101A1E"/>
                <w:sz w:val="17"/>
              </w:rPr>
              <w:t>step_change_exclusion_days</w:t>
            </w:r>
          </w:p>
        </w:tc>
        <w:tc>
          <w:tcPr>
            <w:tcW w:type="dxa" w:w="2016"/>
          </w:tcPr>
          <w:p>
            <w:pPr>
              <w:spacing w:before="60" w:after="60"/>
            </w:pPr>
            <w:r/>
            <w:r>
              <w:rPr>
                <w:rFonts w:ascii="Segoe UI" w:hAnsi="Segoe UI"/>
                <w:b w:val="0"/>
                <w:color w:val="3E4E55"/>
                <w:sz w:val="17"/>
              </w:rPr>
              <w:t>1.0</w:t>
            </w:r>
          </w:p>
        </w:tc>
        <w:tc>
          <w:tcPr>
            <w:tcW w:type="dxa" w:w="1440"/>
          </w:tcPr>
          <w:p>
            <w:pPr>
              <w:spacing w:before="60" w:after="60"/>
            </w:pPr>
            <w:r/>
            <w:r>
              <w:rPr>
                <w:rFonts w:ascii="Segoe UI" w:hAnsi="Segoe UI"/>
                <w:b w:val="0"/>
                <w:color w:val="3E4E55"/>
                <w:sz w:val="17"/>
              </w:rPr>
              <w:t>Yes</w:t>
            </w:r>
          </w:p>
        </w:tc>
        <w:tc>
          <w:tcPr>
            <w:tcW w:type="dxa" w:w="2304"/>
          </w:tcPr>
          <w:p>
            <w:pPr>
              <w:spacing w:before="60" w:after="60"/>
            </w:pPr>
            <w:r/>
            <w:r>
              <w:rPr>
                <w:rFonts w:ascii="Segoe UI" w:hAnsi="Segoe UI"/>
                <w:b w:val="0"/>
                <w:color w:val="3E4E55"/>
                <w:sz w:val="17"/>
              </w:rPr>
              <w:t>0.5, 1.0, 2.0</w:t>
            </w:r>
          </w:p>
        </w:tc>
      </w:tr>
      <w:tr>
        <w:tc>
          <w:tcPr>
            <w:tcW w:type="dxa" w:w="3456"/>
          </w:tcPr>
          <w:p>
            <w:pPr>
              <w:spacing w:before="60" w:after="60"/>
            </w:pPr>
            <w:r/>
            <w:r>
              <w:rPr>
                <w:rFonts w:ascii="Segoe UI" w:hAnsi="Segoe UI"/>
                <w:b/>
                <w:color w:val="101A1E"/>
                <w:sz w:val="17"/>
              </w:rPr>
              <w:t>step_change_window_samples</w:t>
            </w:r>
          </w:p>
        </w:tc>
        <w:tc>
          <w:tcPr>
            <w:tcW w:type="dxa" w:w="2016"/>
          </w:tcPr>
          <w:p>
            <w:pPr>
              <w:spacing w:before="60" w:after="60"/>
            </w:pPr>
            <w:r/>
            <w:r>
              <w:rPr>
                <w:rFonts w:ascii="Segoe UI" w:hAnsi="Segoe UI"/>
                <w:b w:val="0"/>
                <w:color w:val="3E4E55"/>
                <w:sz w:val="17"/>
              </w:rPr>
              <w:t>144</w:t>
            </w:r>
          </w:p>
        </w:tc>
        <w:tc>
          <w:tcPr>
            <w:tcW w:type="dxa" w:w="1440"/>
          </w:tcPr>
          <w:p>
            <w:pPr>
              <w:spacing w:before="60" w:after="60"/>
            </w:pPr>
            <w:r/>
            <w:r>
              <w:rPr>
                <w:rFonts w:ascii="Segoe UI" w:hAnsi="Segoe UI"/>
                <w:b w:val="0"/>
                <w:color w:val="3E4E55"/>
                <w:sz w:val="17"/>
              </w:rPr>
              <w:t>Yes</w:t>
            </w:r>
          </w:p>
        </w:tc>
        <w:tc>
          <w:tcPr>
            <w:tcW w:type="dxa" w:w="2304"/>
          </w:tcPr>
          <w:p>
            <w:pPr>
              <w:spacing w:before="60" w:after="60"/>
            </w:pPr>
            <w:r/>
            <w:r>
              <w:rPr>
                <w:rFonts w:ascii="Segoe UI" w:hAnsi="Segoe UI"/>
                <w:b w:val="0"/>
                <w:color w:val="3E4E55"/>
                <w:sz w:val="17"/>
              </w:rPr>
              <w:t>72, 144, 288</w:t>
            </w:r>
          </w:p>
        </w:tc>
      </w:tr>
      <w:tr>
        <w:tc>
          <w:tcPr>
            <w:tcW w:type="dxa" w:w="3456"/>
          </w:tcPr>
          <w:p>
            <w:pPr>
              <w:spacing w:before="60" w:after="60"/>
            </w:pPr>
            <w:r/>
            <w:r>
              <w:rPr>
                <w:rFonts w:ascii="Segoe UI" w:hAnsi="Segoe UI"/>
                <w:b/>
                <w:color w:val="101A1E"/>
                <w:sz w:val="17"/>
              </w:rPr>
              <w:t>step_change_min_magnitude_c</w:t>
            </w:r>
          </w:p>
        </w:tc>
        <w:tc>
          <w:tcPr>
            <w:tcW w:type="dxa" w:w="2016"/>
          </w:tcPr>
          <w:p>
            <w:pPr>
              <w:spacing w:before="60" w:after="60"/>
            </w:pPr>
            <w:r/>
            <w:r>
              <w:rPr>
                <w:rFonts w:ascii="Segoe UI" w:hAnsi="Segoe UI"/>
                <w:b w:val="0"/>
                <w:color w:val="3E4E55"/>
                <w:sz w:val="17"/>
              </w:rPr>
              <w:t>5.0</w:t>
            </w:r>
          </w:p>
        </w:tc>
        <w:tc>
          <w:tcPr>
            <w:tcW w:type="dxa" w:w="1440"/>
          </w:tcPr>
          <w:p>
            <w:pPr>
              <w:spacing w:before="60" w:after="60"/>
            </w:pPr>
            <w:r/>
            <w:r>
              <w:rPr>
                <w:rFonts w:ascii="Segoe UI" w:hAnsi="Segoe UI"/>
                <w:b w:val="0"/>
                <w:color w:val="3E4E55"/>
                <w:sz w:val="17"/>
              </w:rPr>
              <w:t>Yes</w:t>
            </w:r>
          </w:p>
        </w:tc>
        <w:tc>
          <w:tcPr>
            <w:tcW w:type="dxa" w:w="2304"/>
          </w:tcPr>
          <w:p>
            <w:pPr>
              <w:spacing w:before="60" w:after="60"/>
            </w:pPr>
            <w:r/>
            <w:r>
              <w:rPr>
                <w:rFonts w:ascii="Segoe UI" w:hAnsi="Segoe UI"/>
                <w:b w:val="0"/>
                <w:color w:val="3E4E55"/>
                <w:sz w:val="17"/>
              </w:rPr>
              <w:t>2.5, 5.0, 10.0</w:t>
            </w:r>
          </w:p>
        </w:tc>
      </w:tr>
      <w:tr>
        <w:tc>
          <w:tcPr>
            <w:tcW w:type="dxa" w:w="3456"/>
          </w:tcPr>
          <w:p>
            <w:pPr>
              <w:spacing w:before="60" w:after="60"/>
            </w:pPr>
            <w:r/>
            <w:r>
              <w:rPr>
                <w:rFonts w:ascii="Segoe UI" w:hAnsi="Segoe UI"/>
                <w:b/>
                <w:color w:val="101A1E"/>
                <w:sz w:val="17"/>
              </w:rPr>
              <w:t>manual_exclusion_windows</w:t>
            </w:r>
          </w:p>
        </w:tc>
        <w:tc>
          <w:tcPr>
            <w:tcW w:type="dxa" w:w="2016"/>
          </w:tcPr>
          <w:p>
            <w:pPr>
              <w:spacing w:before="60" w:after="60"/>
            </w:pPr>
            <w:r/>
            <w:r>
              <w:rPr>
                <w:rFonts w:ascii="Segoe UI" w:hAnsi="Segoe UI"/>
                <w:b w:val="0"/>
                <w:color w:val="3E4E55"/>
                <w:sz w:val="17"/>
              </w:rPr>
              <w:t>3 named windows</w:t>
            </w:r>
          </w:p>
        </w:tc>
        <w:tc>
          <w:tcPr>
            <w:tcW w:type="dxa" w:w="1440"/>
          </w:tcPr>
          <w:p>
            <w:pPr>
              <w:spacing w:before="60" w:after="60"/>
            </w:pPr>
            <w:r/>
            <w:r>
              <w:rPr>
                <w:rFonts w:ascii="Segoe UI" w:hAnsi="Segoe UI"/>
                <w:b w:val="0"/>
                <w:color w:val="3E4E55"/>
                <w:sz w:val="17"/>
              </w:rPr>
              <w:t>No</w:t>
            </w:r>
          </w:p>
        </w:tc>
        <w:tc>
          <w:tcPr>
            <w:tcW w:type="dxa" w:w="2304"/>
          </w:tcPr>
          <w:p>
            <w:pPr>
              <w:spacing w:before="60" w:after="60"/>
            </w:pPr>
            <w:r/>
            <w:r>
              <w:rPr>
                <w:rFonts w:ascii="Segoe UI" w:hAnsi="Segoe UI"/>
                <w:b w:val="0"/>
                <w:color w:val="3E4E55"/>
                <w:sz w:val="17"/>
              </w:rPr>
              <w:t>—</w:t>
            </w:r>
          </w:p>
        </w:tc>
      </w:tr>
    </w:tbl>
    <w:p>
      <w:pPr>
        <w:spacing w:after="40"/>
      </w:pPr>
    </w:p>
    <w:p>
      <w:pPr>
        <w:pStyle w:val="H2x"/>
      </w:pPr>
      <w:r>
        <w:rPr>
          <w:b w:val="0"/>
          <w:i w:val="0"/>
        </w:rPr>
        <w:t>A.2  Model and tuning parameters</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3456"/>
            <w:shd w:val="clear" w:color="auto" w:fill="E7EDEF"/>
          </w:tcPr>
          <w:p>
            <w:pPr>
              <w:spacing w:before="60" w:after="60"/>
            </w:pPr>
            <w:r/>
            <w:r>
              <w:rPr>
                <w:rFonts w:ascii="Segoe UI" w:hAnsi="Segoe UI"/>
                <w:b/>
                <w:color w:val="101A1E"/>
                <w:sz w:val="17"/>
              </w:rPr>
              <w:t>Parameter</w:t>
            </w:r>
          </w:p>
        </w:tc>
        <w:tc>
          <w:tcPr>
            <w:tcW w:type="dxa" w:w="2664"/>
            <w:shd w:val="clear" w:color="auto" w:fill="E7EDEF"/>
          </w:tcPr>
          <w:p>
            <w:pPr>
              <w:spacing w:before="60" w:after="60"/>
            </w:pPr>
            <w:r/>
            <w:r>
              <w:rPr>
                <w:rFonts w:ascii="Segoe UI" w:hAnsi="Segoe UI"/>
                <w:b/>
                <w:color w:val="101A1E"/>
                <w:sz w:val="17"/>
              </w:rPr>
              <w:t>Value</w:t>
            </w:r>
          </w:p>
        </w:tc>
        <w:tc>
          <w:tcPr>
            <w:tcW w:type="dxa" w:w="1440"/>
            <w:shd w:val="clear" w:color="auto" w:fill="E7EDEF"/>
          </w:tcPr>
          <w:p>
            <w:pPr>
              <w:spacing w:before="60" w:after="60"/>
            </w:pPr>
            <w:r/>
            <w:r>
              <w:rPr>
                <w:rFonts w:ascii="Segoe UI" w:hAnsi="Segoe UI"/>
                <w:b/>
                <w:color w:val="101A1E"/>
                <w:sz w:val="17"/>
              </w:rPr>
              <w:t>Provisional?</w:t>
            </w:r>
          </w:p>
        </w:tc>
        <w:tc>
          <w:tcPr>
            <w:tcW w:type="dxa" w:w="1656"/>
            <w:shd w:val="clear" w:color="auto" w:fill="E7EDEF"/>
          </w:tcPr>
          <w:p>
            <w:pPr>
              <w:spacing w:before="60" w:after="60"/>
            </w:pPr>
            <w:r/>
            <w:r>
              <w:rPr>
                <w:rFonts w:ascii="Segoe UI" w:hAnsi="Segoe UI"/>
                <w:b/>
                <w:color w:val="101A1E"/>
                <w:sz w:val="17"/>
              </w:rPr>
              <w:t>Swept</w:t>
            </w:r>
          </w:p>
        </w:tc>
      </w:tr>
      <w:tr>
        <w:tc>
          <w:tcPr>
            <w:tcW w:type="dxa" w:w="3456"/>
          </w:tcPr>
          <w:p>
            <w:pPr>
              <w:spacing w:before="60" w:after="60"/>
            </w:pPr>
            <w:r/>
            <w:r>
              <w:rPr>
                <w:rFonts w:ascii="Segoe UI" w:hAnsi="Segoe UI"/>
                <w:b/>
                <w:color w:val="101A1E"/>
                <w:sz w:val="17"/>
              </w:rPr>
              <w:t>model.name</w:t>
            </w:r>
          </w:p>
        </w:tc>
        <w:tc>
          <w:tcPr>
            <w:tcW w:type="dxa" w:w="2664"/>
          </w:tcPr>
          <w:p>
            <w:pPr>
              <w:spacing w:before="60" w:after="60"/>
            </w:pPr>
            <w:r/>
            <w:r>
              <w:rPr>
                <w:rFonts w:ascii="Segoe UI" w:hAnsi="Segoe UI"/>
                <w:b w:val="0"/>
                <w:color w:val="3E4E55"/>
                <w:sz w:val="17"/>
              </w:rPr>
              <w:t>xgboost_multi_target</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model.multi_output</w:t>
            </w:r>
          </w:p>
        </w:tc>
        <w:tc>
          <w:tcPr>
            <w:tcW w:type="dxa" w:w="2664"/>
          </w:tcPr>
          <w:p>
            <w:pPr>
              <w:spacing w:before="60" w:after="60"/>
            </w:pPr>
            <w:r/>
            <w:r>
              <w:rPr>
                <w:rFonts w:ascii="Segoe UI" w:hAnsi="Segoe UI"/>
                <w:b w:val="0"/>
                <w:color w:val="3E4E55"/>
                <w:sz w:val="17"/>
              </w:rPr>
              <w:t>True</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model.include_baseline</w:t>
            </w:r>
          </w:p>
        </w:tc>
        <w:tc>
          <w:tcPr>
            <w:tcW w:type="dxa" w:w="2664"/>
          </w:tcPr>
          <w:p>
            <w:pPr>
              <w:spacing w:before="60" w:after="60"/>
            </w:pPr>
            <w:r/>
            <w:r>
              <w:rPr>
                <w:rFonts w:ascii="Segoe UI" w:hAnsi="Segoe UI"/>
                <w:b w:val="0"/>
                <w:color w:val="3E4E55"/>
                <w:sz w:val="17"/>
              </w:rPr>
              <w:t>True</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model.seed</w:t>
            </w:r>
          </w:p>
        </w:tc>
        <w:tc>
          <w:tcPr>
            <w:tcW w:type="dxa" w:w="2664"/>
          </w:tcPr>
          <w:p>
            <w:pPr>
              <w:spacing w:before="60" w:after="60"/>
            </w:pPr>
            <w:r/>
            <w:r>
              <w:rPr>
                <w:rFonts w:ascii="Segoe UI" w:hAnsi="Segoe UI"/>
                <w:b w:val="0"/>
                <w:color w:val="3E4E55"/>
                <w:sz w:val="17"/>
              </w:rPr>
              <w:t>42</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tuning.enabled</w:t>
            </w:r>
          </w:p>
        </w:tc>
        <w:tc>
          <w:tcPr>
            <w:tcW w:type="dxa" w:w="2664"/>
          </w:tcPr>
          <w:p>
            <w:pPr>
              <w:spacing w:before="60" w:after="60"/>
            </w:pPr>
            <w:r/>
            <w:r>
              <w:rPr>
                <w:rFonts w:ascii="Segoe UI" w:hAnsi="Segoe UI"/>
                <w:b w:val="0"/>
                <w:color w:val="3E4E55"/>
                <w:sz w:val="17"/>
              </w:rPr>
              <w:t>True</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tuning.max_depth_grid</w:t>
            </w:r>
          </w:p>
        </w:tc>
        <w:tc>
          <w:tcPr>
            <w:tcW w:type="dxa" w:w="2664"/>
          </w:tcPr>
          <w:p>
            <w:pPr>
              <w:spacing w:before="60" w:after="60"/>
            </w:pPr>
            <w:r/>
            <w:r>
              <w:rPr>
                <w:rFonts w:ascii="Segoe UI" w:hAnsi="Segoe UI"/>
                <w:b w:val="0"/>
                <w:color w:val="3E4E55"/>
                <w:sz w:val="17"/>
              </w:rPr>
              <w:t>(4, 6, 8)</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Grid itself</w:t>
            </w:r>
          </w:p>
        </w:tc>
      </w:tr>
      <w:tr>
        <w:tc>
          <w:tcPr>
            <w:tcW w:type="dxa" w:w="3456"/>
          </w:tcPr>
          <w:p>
            <w:pPr>
              <w:spacing w:before="60" w:after="60"/>
            </w:pPr>
            <w:r/>
            <w:r>
              <w:rPr>
                <w:rFonts w:ascii="Segoe UI" w:hAnsi="Segoe UI"/>
                <w:b/>
                <w:color w:val="101A1E"/>
                <w:sz w:val="17"/>
              </w:rPr>
              <w:t>tuning.learning_rate_grid</w:t>
            </w:r>
          </w:p>
        </w:tc>
        <w:tc>
          <w:tcPr>
            <w:tcW w:type="dxa" w:w="2664"/>
          </w:tcPr>
          <w:p>
            <w:pPr>
              <w:spacing w:before="60" w:after="60"/>
            </w:pPr>
            <w:r/>
            <w:r>
              <w:rPr>
                <w:rFonts w:ascii="Segoe UI" w:hAnsi="Segoe UI"/>
                <w:b w:val="0"/>
                <w:color w:val="3E4E55"/>
                <w:sz w:val="17"/>
              </w:rPr>
              <w:t>(0.03, 0.05)</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Grid itself</w:t>
            </w:r>
          </w:p>
        </w:tc>
      </w:tr>
      <w:tr>
        <w:tc>
          <w:tcPr>
            <w:tcW w:type="dxa" w:w="3456"/>
          </w:tcPr>
          <w:p>
            <w:pPr>
              <w:spacing w:before="60" w:after="60"/>
            </w:pPr>
            <w:r/>
            <w:r>
              <w:rPr>
                <w:rFonts w:ascii="Segoe UI" w:hAnsi="Segoe UI"/>
                <w:b/>
                <w:color w:val="101A1E"/>
                <w:sz w:val="17"/>
              </w:rPr>
              <w:t>tuning.subsample_grid</w:t>
            </w:r>
          </w:p>
        </w:tc>
        <w:tc>
          <w:tcPr>
            <w:tcW w:type="dxa" w:w="2664"/>
          </w:tcPr>
          <w:p>
            <w:pPr>
              <w:spacing w:before="60" w:after="60"/>
            </w:pPr>
            <w:r/>
            <w:r>
              <w:rPr>
                <w:rFonts w:ascii="Segoe UI" w:hAnsi="Segoe UI"/>
                <w:b w:val="0"/>
                <w:color w:val="3E4E55"/>
                <w:sz w:val="17"/>
              </w:rPr>
              <w:t>(0.8, 1.0)</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Grid itself</w:t>
            </w:r>
          </w:p>
        </w:tc>
      </w:tr>
      <w:tr>
        <w:tc>
          <w:tcPr>
            <w:tcW w:type="dxa" w:w="3456"/>
          </w:tcPr>
          <w:p>
            <w:pPr>
              <w:spacing w:before="60" w:after="60"/>
            </w:pPr>
            <w:r/>
            <w:r>
              <w:rPr>
                <w:rFonts w:ascii="Segoe UI" w:hAnsi="Segoe UI"/>
                <w:b/>
                <w:color w:val="101A1E"/>
                <w:sz w:val="17"/>
              </w:rPr>
              <w:t>tuning.n_estimators</w:t>
            </w:r>
          </w:p>
        </w:tc>
        <w:tc>
          <w:tcPr>
            <w:tcW w:type="dxa" w:w="2664"/>
          </w:tcPr>
          <w:p>
            <w:pPr>
              <w:spacing w:before="60" w:after="60"/>
            </w:pPr>
            <w:r/>
            <w:r>
              <w:rPr>
                <w:rFonts w:ascii="Segoe UI" w:hAnsi="Segoe UI"/>
                <w:b w:val="0"/>
                <w:color w:val="3E4E55"/>
                <w:sz w:val="17"/>
              </w:rPr>
              <w:t>600 (ceiling)</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tuning.early_stopping_rounds</w:t>
            </w:r>
          </w:p>
        </w:tc>
        <w:tc>
          <w:tcPr>
            <w:tcW w:type="dxa" w:w="2664"/>
          </w:tcPr>
          <w:p>
            <w:pPr>
              <w:spacing w:before="60" w:after="60"/>
            </w:pPr>
            <w:r/>
            <w:r>
              <w:rPr>
                <w:rFonts w:ascii="Segoe UI" w:hAnsi="Segoe UI"/>
                <w:b w:val="0"/>
                <w:color w:val="3E4E55"/>
                <w:sz w:val="17"/>
              </w:rPr>
              <w:t>50</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tuning.colsample_bytree</w:t>
            </w:r>
          </w:p>
        </w:tc>
        <w:tc>
          <w:tcPr>
            <w:tcW w:type="dxa" w:w="2664"/>
          </w:tcPr>
          <w:p>
            <w:pPr>
              <w:spacing w:before="60" w:after="60"/>
            </w:pPr>
            <w:r/>
            <w:r>
              <w:rPr>
                <w:rFonts w:ascii="Segoe UI" w:hAnsi="Segoe UI"/>
                <w:b w:val="0"/>
                <w:color w:val="3E4E55"/>
                <w:sz w:val="17"/>
              </w:rPr>
              <w:t>0.8</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tuning.selection</w:t>
            </w:r>
          </w:p>
        </w:tc>
        <w:tc>
          <w:tcPr>
            <w:tcW w:type="dxa" w:w="2664"/>
          </w:tcPr>
          <w:p>
            <w:pPr>
              <w:spacing w:before="60" w:after="60"/>
            </w:pPr>
            <w:r/>
            <w:r>
              <w:rPr>
                <w:rFonts w:ascii="Segoe UI" w:hAnsi="Segoe UI"/>
                <w:b w:val="0"/>
                <w:color w:val="3E4E55"/>
                <w:sz w:val="17"/>
              </w:rPr>
              <w:t>baseline_normalized_mean_rmse</w:t>
            </w:r>
          </w:p>
        </w:tc>
        <w:tc>
          <w:tcPr>
            <w:tcW w:type="dxa" w:w="1440"/>
          </w:tcPr>
          <w:p>
            <w:pPr>
              <w:spacing w:before="60" w:after="60"/>
            </w:pPr>
            <w:r/>
            <w:r>
              <w:rPr>
                <w:rFonts w:ascii="Segoe UI" w:hAnsi="Segoe UI"/>
                <w:b w:val="0"/>
                <w:color w:val="3E4E55"/>
                <w:sz w:val="17"/>
              </w:rPr>
              <w:t>No</w:t>
            </w:r>
          </w:p>
        </w:tc>
        <w:tc>
          <w:tcPr>
            <w:tcW w:type="dxa" w:w="1656"/>
          </w:tcPr>
          <w:p>
            <w:pPr>
              <w:spacing w:before="60" w:after="60"/>
            </w:pPr>
            <w:r/>
            <w:r>
              <w:rPr>
                <w:rFonts w:ascii="Segoe UI" w:hAnsi="Segoe UI"/>
                <w:b w:val="0"/>
                <w:color w:val="3E4E55"/>
                <w:sz w:val="17"/>
              </w:rPr>
              <w:t>—</w:t>
            </w:r>
          </w:p>
        </w:tc>
      </w:tr>
    </w:tbl>
    <w:p>
      <w:pPr>
        <w:spacing w:after="40"/>
      </w:pPr>
    </w:p>
    <w:p>
      <w:pPr>
        <w:pStyle w:val="H2x"/>
      </w:pPr>
      <w:r>
        <w:rPr>
          <w:b w:val="0"/>
          <w:i w:val="0"/>
        </w:rPr>
        <w:t>A.3  Residual and detection parameters</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3456"/>
            <w:shd w:val="clear" w:color="auto" w:fill="E7EDEF"/>
          </w:tcPr>
          <w:p>
            <w:pPr>
              <w:spacing w:before="60" w:after="60"/>
            </w:pPr>
            <w:r/>
            <w:r>
              <w:rPr>
                <w:rFonts w:ascii="Segoe UI" w:hAnsi="Segoe UI"/>
                <w:b/>
                <w:color w:val="101A1E"/>
                <w:sz w:val="17"/>
              </w:rPr>
              <w:t>Parameter</w:t>
            </w:r>
          </w:p>
        </w:tc>
        <w:tc>
          <w:tcPr>
            <w:tcW w:type="dxa" w:w="1944"/>
            <w:shd w:val="clear" w:color="auto" w:fill="E7EDEF"/>
          </w:tcPr>
          <w:p>
            <w:pPr>
              <w:spacing w:before="60" w:after="60"/>
            </w:pPr>
            <w:r/>
            <w:r>
              <w:rPr>
                <w:rFonts w:ascii="Segoe UI" w:hAnsi="Segoe UI"/>
                <w:b/>
                <w:color w:val="101A1E"/>
                <w:sz w:val="17"/>
              </w:rPr>
              <w:t>Value</w:t>
            </w:r>
          </w:p>
        </w:tc>
        <w:tc>
          <w:tcPr>
            <w:tcW w:type="dxa" w:w="2088"/>
            <w:shd w:val="clear" w:color="auto" w:fill="E7EDEF"/>
          </w:tcPr>
          <w:p>
            <w:pPr>
              <w:spacing w:before="60" w:after="60"/>
            </w:pPr>
            <w:r/>
            <w:r>
              <w:rPr>
                <w:rFonts w:ascii="Segoe UI" w:hAnsi="Segoe UI"/>
                <w:b/>
                <w:color w:val="101A1E"/>
                <w:sz w:val="17"/>
              </w:rPr>
              <w:t>Provisional?</w:t>
            </w:r>
          </w:p>
        </w:tc>
        <w:tc>
          <w:tcPr>
            <w:tcW w:type="dxa" w:w="1728"/>
            <w:shd w:val="clear" w:color="auto" w:fill="E7EDEF"/>
          </w:tcPr>
          <w:p>
            <w:pPr>
              <w:spacing w:before="60" w:after="60"/>
            </w:pPr>
            <w:r/>
            <w:r>
              <w:rPr>
                <w:rFonts w:ascii="Segoe UI" w:hAnsi="Segoe UI"/>
                <w:b/>
                <w:color w:val="101A1E"/>
                <w:sz w:val="17"/>
              </w:rPr>
              <w:t>Swept</w:t>
            </w:r>
          </w:p>
        </w:tc>
      </w:tr>
      <w:tr>
        <w:tc>
          <w:tcPr>
            <w:tcW w:type="dxa" w:w="3456"/>
          </w:tcPr>
          <w:p>
            <w:pPr>
              <w:spacing w:before="60" w:after="60"/>
            </w:pPr>
            <w:r/>
            <w:r>
              <w:rPr>
                <w:rFonts w:ascii="Segoe UI" w:hAnsi="Segoe UI"/>
                <w:b/>
                <w:color w:val="101A1E"/>
                <w:sz w:val="17"/>
              </w:rPr>
              <w:t>residual.normalization</w:t>
            </w:r>
          </w:p>
        </w:tc>
        <w:tc>
          <w:tcPr>
            <w:tcW w:type="dxa" w:w="1944"/>
          </w:tcPr>
          <w:p>
            <w:pPr>
              <w:spacing w:before="60" w:after="60"/>
            </w:pPr>
            <w:r/>
            <w:r>
              <w:rPr>
                <w:rFonts w:ascii="Segoe UI" w:hAnsi="Segoe UI"/>
                <w:b w:val="0"/>
                <w:color w:val="3E4E55"/>
                <w:sz w:val="17"/>
              </w:rPr>
              <w:t>mad</w:t>
            </w:r>
          </w:p>
        </w:tc>
        <w:tc>
          <w:tcPr>
            <w:tcW w:type="dxa" w:w="2088"/>
          </w:tcPr>
          <w:p>
            <w:pPr>
              <w:spacing w:before="60" w:after="60"/>
            </w:pPr>
            <w:r/>
            <w:r>
              <w:rPr>
                <w:rFonts w:ascii="Segoe UI" w:hAnsi="Segoe UI"/>
                <w:b w:val="0"/>
                <w:color w:val="3E4E55"/>
                <w:sz w:val="17"/>
              </w:rPr>
              <w:t>NO — see F-09</w:t>
            </w:r>
          </w:p>
        </w:tc>
        <w:tc>
          <w:tcPr>
            <w:tcW w:type="dxa" w:w="1728"/>
          </w:tcPr>
          <w:p>
            <w:pPr>
              <w:spacing w:before="60" w:after="60"/>
            </w:pPr>
            <w:r/>
            <w:r>
              <w:rPr>
                <w:rFonts w:ascii="Segoe UI" w:hAnsi="Segoe UI"/>
                <w:b w:val="0"/>
                <w:color w:val="3E4E55"/>
                <w:sz w:val="17"/>
              </w:rPr>
              <w:t>Not swept</w:t>
            </w:r>
          </w:p>
        </w:tc>
      </w:tr>
      <w:tr>
        <w:tc>
          <w:tcPr>
            <w:tcW w:type="dxa" w:w="3456"/>
          </w:tcPr>
          <w:p>
            <w:pPr>
              <w:spacing w:before="60" w:after="60"/>
            </w:pPr>
            <w:r/>
            <w:r>
              <w:rPr>
                <w:rFonts w:ascii="Segoe UI" w:hAnsi="Segoe UI"/>
                <w:b/>
                <w:color w:val="101A1E"/>
                <w:sz w:val="17"/>
              </w:rPr>
              <w:t>residual.threshold_stats_source</w:t>
            </w:r>
          </w:p>
        </w:tc>
        <w:tc>
          <w:tcPr>
            <w:tcW w:type="dxa" w:w="1944"/>
          </w:tcPr>
          <w:p>
            <w:pPr>
              <w:spacing w:before="60" w:after="60"/>
            </w:pPr>
            <w:r/>
            <w:r>
              <w:rPr>
                <w:rFonts w:ascii="Segoe UI" w:hAnsi="Segoe UI"/>
                <w:b w:val="0"/>
                <w:color w:val="3E4E55"/>
                <w:sz w:val="17"/>
              </w:rPr>
              <w:t>training</w:t>
            </w:r>
          </w:p>
        </w:tc>
        <w:tc>
          <w:tcPr>
            <w:tcW w:type="dxa" w:w="2088"/>
          </w:tcPr>
          <w:p>
            <w:pPr>
              <w:spacing w:before="60" w:after="60"/>
            </w:pPr>
            <w:r/>
            <w:r>
              <w:rPr>
                <w:rFonts w:ascii="Segoe UI" w:hAnsi="Segoe UI"/>
                <w:b w:val="0"/>
                <w:color w:val="3E4E55"/>
                <w:sz w:val="17"/>
              </w:rPr>
              <w:t>NO — see F-09</w:t>
            </w:r>
          </w:p>
        </w:tc>
        <w:tc>
          <w:tcPr>
            <w:tcW w:type="dxa" w:w="1728"/>
          </w:tcPr>
          <w:p>
            <w:pPr>
              <w:spacing w:before="60" w:after="60"/>
            </w:pPr>
            <w:r/>
            <w:r>
              <w:rPr>
                <w:rFonts w:ascii="Segoe UI" w:hAnsi="Segoe UI"/>
                <w:b w:val="0"/>
                <w:color w:val="3E4E55"/>
                <w:sz w:val="17"/>
              </w:rPr>
              <w:t>Not swept</w:t>
            </w:r>
          </w:p>
        </w:tc>
      </w:tr>
      <w:tr>
        <w:tc>
          <w:tcPr>
            <w:tcW w:type="dxa" w:w="3456"/>
          </w:tcPr>
          <w:p>
            <w:pPr>
              <w:spacing w:before="60" w:after="60"/>
            </w:pPr>
            <w:r/>
            <w:r>
              <w:rPr>
                <w:rFonts w:ascii="Segoe UI" w:hAnsi="Segoe UI"/>
                <w:b/>
                <w:color w:val="101A1E"/>
                <w:sz w:val="17"/>
              </w:rPr>
              <w:t>detection.method</w:t>
            </w:r>
          </w:p>
        </w:tc>
        <w:tc>
          <w:tcPr>
            <w:tcW w:type="dxa" w:w="1944"/>
          </w:tcPr>
          <w:p>
            <w:pPr>
              <w:spacing w:before="60" w:after="60"/>
            </w:pPr>
            <w:r/>
            <w:r>
              <w:rPr>
                <w:rFonts w:ascii="Segoe UI" w:hAnsi="Segoe UI"/>
                <w:b w:val="0"/>
                <w:color w:val="3E4E55"/>
                <w:sz w:val="17"/>
              </w:rPr>
              <w:t>ewma</w:t>
            </w:r>
          </w:p>
        </w:tc>
        <w:tc>
          <w:tcPr>
            <w:tcW w:type="dxa" w:w="2088"/>
          </w:tcPr>
          <w:p>
            <w:pPr>
              <w:spacing w:before="60" w:after="60"/>
            </w:pPr>
            <w:r/>
            <w:r>
              <w:rPr>
                <w:rFonts w:ascii="Segoe UI" w:hAnsi="Segoe UI"/>
                <w:b w:val="0"/>
                <w:color w:val="3E4E55"/>
                <w:sz w:val="17"/>
              </w:rPr>
              <w:t>No (only admissible value)</w:t>
            </w:r>
          </w:p>
        </w:tc>
        <w:tc>
          <w:tcPr>
            <w:tcW w:type="dxa" w:w="1728"/>
          </w:tcPr>
          <w:p>
            <w:pPr>
              <w:spacing w:before="60" w:after="60"/>
            </w:pPr>
            <w:r/>
            <w:r>
              <w:rPr>
                <w:rFonts w:ascii="Segoe UI" w:hAnsi="Segoe UI"/>
                <w:b w:val="0"/>
                <w:color w:val="3E4E55"/>
                <w:sz w:val="17"/>
              </w:rPr>
              <w:t>—</w:t>
            </w:r>
          </w:p>
        </w:tc>
      </w:tr>
      <w:tr>
        <w:tc>
          <w:tcPr>
            <w:tcW w:type="dxa" w:w="3456"/>
          </w:tcPr>
          <w:p>
            <w:pPr>
              <w:spacing w:before="60" w:after="60"/>
            </w:pPr>
            <w:r/>
            <w:r>
              <w:rPr>
                <w:rFonts w:ascii="Segoe UI" w:hAnsi="Segoe UI"/>
                <w:b/>
                <w:color w:val="101A1E"/>
                <w:sz w:val="17"/>
              </w:rPr>
              <w:t>detection.ewma_lambda</w:t>
            </w:r>
          </w:p>
        </w:tc>
        <w:tc>
          <w:tcPr>
            <w:tcW w:type="dxa" w:w="1944"/>
          </w:tcPr>
          <w:p>
            <w:pPr>
              <w:spacing w:before="60" w:after="60"/>
            </w:pPr>
            <w:r/>
            <w:r>
              <w:rPr>
                <w:rFonts w:ascii="Segoe UI" w:hAnsi="Segoe UI"/>
                <w:b w:val="0"/>
                <w:color w:val="3E4E55"/>
                <w:sz w:val="17"/>
              </w:rPr>
              <w:t>0.2</w:t>
            </w:r>
          </w:p>
        </w:tc>
        <w:tc>
          <w:tcPr>
            <w:tcW w:type="dxa" w:w="2088"/>
          </w:tcPr>
          <w:p>
            <w:pPr>
              <w:spacing w:before="60" w:after="60"/>
            </w:pPr>
            <w:r/>
            <w:r>
              <w:rPr>
                <w:rFonts w:ascii="Segoe UI" w:hAnsi="Segoe UI"/>
                <w:b w:val="0"/>
                <w:color w:val="3E4E55"/>
                <w:sz w:val="17"/>
              </w:rPr>
              <w:t>Yes</w:t>
            </w:r>
          </w:p>
        </w:tc>
        <w:tc>
          <w:tcPr>
            <w:tcW w:type="dxa" w:w="1728"/>
          </w:tcPr>
          <w:p>
            <w:pPr>
              <w:spacing w:before="60" w:after="60"/>
            </w:pPr>
            <w:r/>
            <w:r>
              <w:rPr>
                <w:rFonts w:ascii="Segoe UI" w:hAnsi="Segoe UI"/>
                <w:b w:val="0"/>
                <w:color w:val="3E4E55"/>
                <w:sz w:val="17"/>
              </w:rPr>
              <w:t>0.1, 0.2, 0.3</w:t>
            </w:r>
          </w:p>
        </w:tc>
      </w:tr>
      <w:tr>
        <w:tc>
          <w:tcPr>
            <w:tcW w:type="dxa" w:w="3456"/>
          </w:tcPr>
          <w:p>
            <w:pPr>
              <w:spacing w:before="60" w:after="60"/>
            </w:pPr>
            <w:r/>
            <w:r>
              <w:rPr>
                <w:rFonts w:ascii="Segoe UI" w:hAnsi="Segoe UI"/>
                <w:b/>
                <w:color w:val="101A1E"/>
                <w:sz w:val="17"/>
              </w:rPr>
              <w:t>detection.control_limit_sigma</w:t>
            </w:r>
          </w:p>
        </w:tc>
        <w:tc>
          <w:tcPr>
            <w:tcW w:type="dxa" w:w="1944"/>
          </w:tcPr>
          <w:p>
            <w:pPr>
              <w:spacing w:before="60" w:after="60"/>
            </w:pPr>
            <w:r/>
            <w:r>
              <w:rPr>
                <w:rFonts w:ascii="Segoe UI" w:hAnsi="Segoe UI"/>
                <w:b w:val="0"/>
                <w:color w:val="3E4E55"/>
                <w:sz w:val="17"/>
              </w:rPr>
              <w:t>3.0</w:t>
            </w:r>
          </w:p>
        </w:tc>
        <w:tc>
          <w:tcPr>
            <w:tcW w:type="dxa" w:w="2088"/>
          </w:tcPr>
          <w:p>
            <w:pPr>
              <w:spacing w:before="60" w:after="60"/>
            </w:pPr>
            <w:r/>
            <w:r>
              <w:rPr>
                <w:rFonts w:ascii="Segoe UI" w:hAnsi="Segoe UI"/>
                <w:b w:val="0"/>
                <w:color w:val="3E4E55"/>
                <w:sz w:val="17"/>
              </w:rPr>
              <w:t>Yes</w:t>
            </w:r>
          </w:p>
        </w:tc>
        <w:tc>
          <w:tcPr>
            <w:tcW w:type="dxa" w:w="1728"/>
          </w:tcPr>
          <w:p>
            <w:pPr>
              <w:spacing w:before="60" w:after="60"/>
            </w:pPr>
            <w:r/>
            <w:r>
              <w:rPr>
                <w:rFonts w:ascii="Segoe UI" w:hAnsi="Segoe UI"/>
                <w:b w:val="0"/>
                <w:color w:val="3E4E55"/>
                <w:sz w:val="17"/>
              </w:rPr>
              <w:t>2.0, 3.0, 4.0</w:t>
            </w:r>
          </w:p>
        </w:tc>
      </w:tr>
      <w:tr>
        <w:tc>
          <w:tcPr>
            <w:tcW w:type="dxa" w:w="3456"/>
          </w:tcPr>
          <w:p>
            <w:pPr>
              <w:spacing w:before="60" w:after="60"/>
            </w:pPr>
            <w:r/>
            <w:r>
              <w:rPr>
                <w:rFonts w:ascii="Segoe UI" w:hAnsi="Segoe UI"/>
                <w:b/>
                <w:color w:val="101A1E"/>
                <w:sz w:val="17"/>
              </w:rPr>
              <w:t>detection.control_limit_formulation</w:t>
            </w:r>
          </w:p>
        </w:tc>
        <w:tc>
          <w:tcPr>
            <w:tcW w:type="dxa" w:w="1944"/>
          </w:tcPr>
          <w:p>
            <w:pPr>
              <w:spacing w:before="60" w:after="60"/>
            </w:pPr>
            <w:r/>
            <w:r>
              <w:rPr>
                <w:rFonts w:ascii="Segoe UI" w:hAnsi="Segoe UI"/>
                <w:b w:val="0"/>
                <w:color w:val="3E4E55"/>
                <w:sz w:val="17"/>
              </w:rPr>
              <w:t>steady_state</w:t>
            </w:r>
          </w:p>
        </w:tc>
        <w:tc>
          <w:tcPr>
            <w:tcW w:type="dxa" w:w="2088"/>
          </w:tcPr>
          <w:p>
            <w:pPr>
              <w:spacing w:before="60" w:after="60"/>
            </w:pPr>
            <w:r/>
            <w:r>
              <w:rPr>
                <w:rFonts w:ascii="Segoe UI" w:hAnsi="Segoe UI"/>
                <w:b w:val="0"/>
                <w:color w:val="3E4E55"/>
                <w:sz w:val="17"/>
              </w:rPr>
              <w:t>No</w:t>
            </w:r>
          </w:p>
        </w:tc>
        <w:tc>
          <w:tcPr>
            <w:tcW w:type="dxa" w:w="1728"/>
          </w:tcPr>
          <w:p>
            <w:pPr>
              <w:spacing w:before="60" w:after="60"/>
            </w:pPr>
            <w:r/>
            <w:r>
              <w:rPr>
                <w:rFonts w:ascii="Segoe UI" w:hAnsi="Segoe UI"/>
                <w:b w:val="0"/>
                <w:color w:val="3E4E55"/>
                <w:sz w:val="17"/>
              </w:rPr>
              <w:t>Not swept</w:t>
            </w:r>
          </w:p>
        </w:tc>
      </w:tr>
      <w:tr>
        <w:tc>
          <w:tcPr>
            <w:tcW w:type="dxa" w:w="3456"/>
          </w:tcPr>
          <w:p>
            <w:pPr>
              <w:spacing w:before="60" w:after="60"/>
            </w:pPr>
            <w:r/>
            <w:r>
              <w:rPr>
                <w:rFonts w:ascii="Segoe UI" w:hAnsi="Segoe UI"/>
                <w:b/>
                <w:color w:val="101A1E"/>
                <w:sz w:val="17"/>
              </w:rPr>
              <w:t>detection.persistence_min_samples</w:t>
            </w:r>
          </w:p>
        </w:tc>
        <w:tc>
          <w:tcPr>
            <w:tcW w:type="dxa" w:w="1944"/>
          </w:tcPr>
          <w:p>
            <w:pPr>
              <w:spacing w:before="60" w:after="60"/>
            </w:pPr>
            <w:r/>
            <w:r>
              <w:rPr>
                <w:rFonts w:ascii="Segoe UI" w:hAnsi="Segoe UI"/>
                <w:b w:val="0"/>
                <w:color w:val="3E4E55"/>
                <w:sz w:val="17"/>
              </w:rPr>
              <w:t>3</w:t>
            </w:r>
          </w:p>
        </w:tc>
        <w:tc>
          <w:tcPr>
            <w:tcW w:type="dxa" w:w="2088"/>
          </w:tcPr>
          <w:p>
            <w:pPr>
              <w:spacing w:before="60" w:after="60"/>
            </w:pPr>
            <w:r/>
            <w:r>
              <w:rPr>
                <w:rFonts w:ascii="Segoe UI" w:hAnsi="Segoe UI"/>
                <w:b w:val="0"/>
                <w:color w:val="3E4E55"/>
                <w:sz w:val="17"/>
              </w:rPr>
              <w:t>Yes</w:t>
            </w:r>
          </w:p>
        </w:tc>
        <w:tc>
          <w:tcPr>
            <w:tcW w:type="dxa" w:w="1728"/>
          </w:tcPr>
          <w:p>
            <w:pPr>
              <w:spacing w:before="60" w:after="60"/>
            </w:pPr>
            <w:r/>
            <w:r>
              <w:rPr>
                <w:rFonts w:ascii="Segoe UI" w:hAnsi="Segoe UI"/>
                <w:b w:val="0"/>
                <w:color w:val="3E4E55"/>
                <w:sz w:val="17"/>
              </w:rPr>
              <w:t>2, 3, 6</w:t>
            </w:r>
          </w:p>
        </w:tc>
      </w:tr>
      <w:tr>
        <w:tc>
          <w:tcPr>
            <w:tcW w:type="dxa" w:w="3456"/>
          </w:tcPr>
          <w:p>
            <w:pPr>
              <w:spacing w:before="60" w:after="60"/>
            </w:pPr>
            <w:r/>
            <w:r>
              <w:rPr>
                <w:rFonts w:ascii="Segoe UI" w:hAnsi="Segoe UI"/>
                <w:b/>
                <w:color w:val="101A1E"/>
                <w:sz w:val="17"/>
              </w:rPr>
              <w:t>evaluation.event_match_window_days</w:t>
            </w:r>
          </w:p>
        </w:tc>
        <w:tc>
          <w:tcPr>
            <w:tcW w:type="dxa" w:w="1944"/>
          </w:tcPr>
          <w:p>
            <w:pPr>
              <w:spacing w:before="60" w:after="60"/>
            </w:pPr>
            <w:r/>
            <w:r>
              <w:rPr>
                <w:rFonts w:ascii="Segoe UI" w:hAnsi="Segoe UI"/>
                <w:b w:val="0"/>
                <w:color w:val="3E4E55"/>
                <w:sz w:val="17"/>
              </w:rPr>
              <w:t>14</w:t>
            </w:r>
          </w:p>
        </w:tc>
        <w:tc>
          <w:tcPr>
            <w:tcW w:type="dxa" w:w="2088"/>
          </w:tcPr>
          <w:p>
            <w:pPr>
              <w:spacing w:before="60" w:after="60"/>
            </w:pPr>
            <w:r/>
            <w:r>
              <w:rPr>
                <w:rFonts w:ascii="Segoe UI" w:hAnsi="Segoe UI"/>
                <w:b w:val="0"/>
                <w:color w:val="3E4E55"/>
                <w:sz w:val="17"/>
              </w:rPr>
              <w:t>Yes</w:t>
            </w:r>
          </w:p>
        </w:tc>
        <w:tc>
          <w:tcPr>
            <w:tcW w:type="dxa" w:w="1728"/>
          </w:tcPr>
          <w:p>
            <w:pPr>
              <w:spacing w:before="60" w:after="60"/>
            </w:pPr>
            <w:r/>
            <w:r>
              <w:rPr>
                <w:rFonts w:ascii="Segoe UI" w:hAnsi="Segoe UI"/>
                <w:b w:val="0"/>
                <w:color w:val="3E4E55"/>
                <w:sz w:val="17"/>
              </w:rPr>
              <w:t>7, 14, 30</w:t>
            </w:r>
          </w:p>
        </w:tc>
      </w:tr>
      <w:tr>
        <w:tc>
          <w:tcPr>
            <w:tcW w:type="dxa" w:w="3456"/>
          </w:tcPr>
          <w:p>
            <w:pPr>
              <w:spacing w:before="60" w:after="60"/>
            </w:pPr>
            <w:r/>
            <w:r>
              <w:rPr>
                <w:rFonts w:ascii="Segoe UI" w:hAnsi="Segoe UI"/>
                <w:b/>
                <w:color w:val="101A1E"/>
                <w:sz w:val="17"/>
              </w:rPr>
              <w:t>evaluation.min_events_for_inferential</w:t>
            </w:r>
          </w:p>
        </w:tc>
        <w:tc>
          <w:tcPr>
            <w:tcW w:type="dxa" w:w="1944"/>
          </w:tcPr>
          <w:p>
            <w:pPr>
              <w:spacing w:before="60" w:after="60"/>
            </w:pPr>
            <w:r/>
            <w:r>
              <w:rPr>
                <w:rFonts w:ascii="Segoe UI" w:hAnsi="Segoe UI"/>
                <w:b w:val="0"/>
                <w:color w:val="3E4E55"/>
                <w:sz w:val="17"/>
              </w:rPr>
              <w:t>2</w:t>
            </w:r>
          </w:p>
        </w:tc>
        <w:tc>
          <w:tcPr>
            <w:tcW w:type="dxa" w:w="2088"/>
          </w:tcPr>
          <w:p>
            <w:pPr>
              <w:spacing w:before="60" w:after="60"/>
            </w:pPr>
            <w:r/>
            <w:r>
              <w:rPr>
                <w:rFonts w:ascii="Segoe UI" w:hAnsi="Segoe UI"/>
                <w:b w:val="0"/>
                <w:color w:val="3E4E55"/>
                <w:sz w:val="17"/>
              </w:rPr>
              <w:t>No (rule is fixed)</w:t>
            </w:r>
          </w:p>
        </w:tc>
        <w:tc>
          <w:tcPr>
            <w:tcW w:type="dxa" w:w="1728"/>
          </w:tcPr>
          <w:p>
            <w:pPr>
              <w:spacing w:before="60" w:after="60"/>
            </w:pPr>
            <w:r/>
            <w:r>
              <w:rPr>
                <w:rFonts w:ascii="Segoe UI" w:hAnsi="Segoe UI"/>
                <w:b w:val="0"/>
                <w:color w:val="3E4E55"/>
                <w:sz w:val="17"/>
              </w:rPr>
              <w:t>—</w:t>
            </w:r>
          </w:p>
        </w:tc>
      </w:tr>
    </w:tbl>
    <w:p>
      <w:pPr>
        <w:spacing w:after="40"/>
      </w:pPr>
    </w:p>
    <w:p>
      <w:pPr>
        <w:pStyle w:val="H2x"/>
      </w:pPr>
      <w:r>
        <w:rPr>
          <w:b w:val="0"/>
          <w:i w:val="0"/>
        </w:rPr>
        <w:t>A.4  Constants outside the configuration system</w:t>
      </w:r>
    </w:p>
    <w:p>
      <w:r>
        <w:t>These are hard-coded and therefore invisible to the sensitivity coverage check — the structural gap the project itself recorded. Listed for completeness; the list is illustrative rather than exhaustive.</w:t>
      </w:r>
    </w:p>
    <w:tbl>
      <w:tblPr>
        <w:tblStyle w:val="TableGrid"/>
        <w:tblW w:type="auto" w:w="0"/>
        <w:jc w:val="left"/>
        <w:tblLook w:firstColumn="1" w:firstRow="1" w:lastColumn="0" w:lastRow="0" w:noHBand="0" w:noVBand="1" w:val="04A0"/>
      </w:tblPr>
      <w:tblGrid>
        <w:gridCol w:w="3072"/>
        <w:gridCol w:w="3072"/>
        <w:gridCol w:w="3072"/>
      </w:tblGrid>
      <w:tr>
        <w:tc>
          <w:tcPr>
            <w:tcW w:type="dxa" w:w="3168"/>
            <w:shd w:val="clear" w:color="auto" w:fill="E7EDEF"/>
          </w:tcPr>
          <w:p>
            <w:pPr>
              <w:spacing w:before="60" w:after="60"/>
            </w:pPr>
            <w:r/>
            <w:r>
              <w:rPr>
                <w:rFonts w:ascii="Segoe UI" w:hAnsi="Segoe UI"/>
                <w:b/>
                <w:color w:val="101A1E"/>
                <w:sz w:val="17"/>
              </w:rPr>
              <w:t>Constant</w:t>
            </w:r>
          </w:p>
        </w:tc>
        <w:tc>
          <w:tcPr>
            <w:tcW w:type="dxa" w:w="3168"/>
            <w:shd w:val="clear" w:color="auto" w:fill="E7EDEF"/>
          </w:tcPr>
          <w:p>
            <w:pPr>
              <w:spacing w:before="60" w:after="60"/>
            </w:pPr>
            <w:r/>
            <w:r>
              <w:rPr>
                <w:rFonts w:ascii="Segoe UI" w:hAnsi="Segoe UI"/>
                <w:b/>
                <w:color w:val="101A1E"/>
                <w:sz w:val="17"/>
              </w:rPr>
              <w:t>Value</w:t>
            </w:r>
          </w:p>
        </w:tc>
        <w:tc>
          <w:tcPr>
            <w:tcW w:type="dxa" w:w="2880"/>
            <w:shd w:val="clear" w:color="auto" w:fill="E7EDEF"/>
          </w:tcPr>
          <w:p>
            <w:pPr>
              <w:spacing w:before="60" w:after="60"/>
            </w:pPr>
            <w:r/>
            <w:r>
              <w:rPr>
                <w:rFonts w:ascii="Segoe UI" w:hAnsi="Segoe UI"/>
                <w:b/>
                <w:color w:val="101A1E"/>
                <w:sz w:val="17"/>
              </w:rPr>
              <w:t>Location</w:t>
            </w:r>
          </w:p>
        </w:tc>
      </w:tr>
      <w:tr>
        <w:tc>
          <w:tcPr>
            <w:tcW w:type="dxa" w:w="3168"/>
          </w:tcPr>
          <w:p>
            <w:pPr>
              <w:spacing w:before="60" w:after="60"/>
            </w:pPr>
            <w:r/>
            <w:r>
              <w:rPr>
                <w:rFonts w:ascii="Segoe UI" w:hAnsi="Segoe UI"/>
                <w:b/>
                <w:color w:val="101A1E"/>
                <w:sz w:val="17"/>
              </w:rPr>
              <w:t>material_inflation_threshold</w:t>
            </w:r>
          </w:p>
        </w:tc>
        <w:tc>
          <w:tcPr>
            <w:tcW w:type="dxa" w:w="3168"/>
          </w:tcPr>
          <w:p>
            <w:pPr>
              <w:spacing w:before="60" w:after="60"/>
            </w:pPr>
            <w:r/>
            <w:r>
              <w:rPr>
                <w:rFonts w:ascii="Segoe UI" w:hAnsi="Segoe UI"/>
                <w:b w:val="0"/>
                <w:color w:val="3E4E55"/>
                <w:sz w:val="17"/>
              </w:rPr>
              <w:t>2.0</w:t>
            </w:r>
          </w:p>
        </w:tc>
        <w:tc>
          <w:tcPr>
            <w:tcW w:type="dxa" w:w="2880"/>
          </w:tcPr>
          <w:p>
            <w:pPr>
              <w:spacing w:before="60" w:after="60"/>
            </w:pPr>
            <w:r/>
            <w:r>
              <w:rPr>
                <w:rFonts w:ascii="Segoe UI" w:hAnsi="Segoe UI"/>
                <w:b w:val="0"/>
                <w:color w:val="3E4E55"/>
                <w:sz w:val="17"/>
              </w:rPr>
              <w:t>EWMA detector constructor default</w:t>
            </w:r>
          </w:p>
        </w:tc>
      </w:tr>
      <w:tr>
        <w:tc>
          <w:tcPr>
            <w:tcW w:type="dxa" w:w="3168"/>
          </w:tcPr>
          <w:p>
            <w:pPr>
              <w:spacing w:before="60" w:after="60"/>
            </w:pPr>
            <w:r/>
            <w:r>
              <w:rPr>
                <w:rFonts w:ascii="Segoe UI" w:hAnsi="Segoe UI"/>
                <w:b/>
                <w:color w:val="101A1E"/>
                <w:sz w:val="17"/>
              </w:rPr>
              <w:t>BOOTSTRAP_REPLICATES</w:t>
            </w:r>
          </w:p>
        </w:tc>
        <w:tc>
          <w:tcPr>
            <w:tcW w:type="dxa" w:w="3168"/>
          </w:tcPr>
          <w:p>
            <w:pPr>
              <w:spacing w:before="60" w:after="60"/>
            </w:pPr>
            <w:r/>
            <w:r>
              <w:rPr>
                <w:rFonts w:ascii="Segoe UI" w:hAnsi="Segoe UI"/>
                <w:b w:val="0"/>
                <w:color w:val="3E4E55"/>
                <w:sz w:val="17"/>
              </w:rPr>
              <w:t>1000</w:t>
            </w:r>
          </w:p>
        </w:tc>
        <w:tc>
          <w:tcPr>
            <w:tcW w:type="dxa" w:w="2880"/>
          </w:tcPr>
          <w:p>
            <w:pPr>
              <w:spacing w:before="60" w:after="60"/>
            </w:pPr>
            <w:r/>
            <w:r>
              <w:rPr>
                <w:rFonts w:ascii="Segoe UI" w:hAnsi="Segoe UI"/>
                <w:b w:val="0"/>
                <w:color w:val="3E4E55"/>
                <w:sz w:val="17"/>
              </w:rPr>
              <w:t>Run script</w:t>
            </w:r>
          </w:p>
        </w:tc>
      </w:tr>
      <w:tr>
        <w:tc>
          <w:tcPr>
            <w:tcW w:type="dxa" w:w="3168"/>
          </w:tcPr>
          <w:p>
            <w:pPr>
              <w:spacing w:before="60" w:after="60"/>
            </w:pPr>
            <w:r/>
            <w:r>
              <w:rPr>
                <w:rFonts w:ascii="Segoe UI" w:hAnsi="Segoe UI"/>
                <w:b/>
                <w:color w:val="101A1E"/>
                <w:sz w:val="17"/>
              </w:rPr>
              <w:t>BOOTSTRAP_SEED</w:t>
            </w:r>
          </w:p>
        </w:tc>
        <w:tc>
          <w:tcPr>
            <w:tcW w:type="dxa" w:w="3168"/>
          </w:tcPr>
          <w:p>
            <w:pPr>
              <w:spacing w:before="60" w:after="60"/>
            </w:pPr>
            <w:r/>
            <w:r>
              <w:rPr>
                <w:rFonts w:ascii="Segoe UI" w:hAnsi="Segoe UI"/>
                <w:b w:val="0"/>
                <w:color w:val="3E4E55"/>
                <w:sz w:val="17"/>
              </w:rPr>
              <w:t>42</w:t>
            </w:r>
          </w:p>
        </w:tc>
        <w:tc>
          <w:tcPr>
            <w:tcW w:type="dxa" w:w="2880"/>
          </w:tcPr>
          <w:p>
            <w:pPr>
              <w:spacing w:before="60" w:after="60"/>
            </w:pPr>
            <w:r/>
            <w:r>
              <w:rPr>
                <w:rFonts w:ascii="Segoe UI" w:hAnsi="Segoe UI"/>
                <w:b w:val="0"/>
                <w:color w:val="3E4E55"/>
                <w:sz w:val="17"/>
              </w:rPr>
              <w:t>Run script</w:t>
            </w:r>
          </w:p>
        </w:tc>
      </w:tr>
      <w:tr>
        <w:tc>
          <w:tcPr>
            <w:tcW w:type="dxa" w:w="3168"/>
          </w:tcPr>
          <w:p>
            <w:pPr>
              <w:spacing w:before="60" w:after="60"/>
            </w:pPr>
            <w:r/>
            <w:r>
              <w:rPr>
                <w:rFonts w:ascii="Segoe UI" w:hAnsi="Segoe UI"/>
                <w:b/>
                <w:color w:val="101A1E"/>
                <w:sz w:val="17"/>
              </w:rPr>
              <w:t>MIN_RELIABLE_N (DM test)</w:t>
            </w:r>
          </w:p>
        </w:tc>
        <w:tc>
          <w:tcPr>
            <w:tcW w:type="dxa" w:w="3168"/>
          </w:tcPr>
          <w:p>
            <w:pPr>
              <w:spacing w:before="60" w:after="60"/>
            </w:pPr>
            <w:r/>
            <w:r>
              <w:rPr>
                <w:rFonts w:ascii="Segoe UI" w:hAnsi="Segoe UI"/>
                <w:b w:val="0"/>
                <w:color w:val="3E4E55"/>
                <w:sz w:val="17"/>
              </w:rPr>
              <w:t>30</w:t>
            </w:r>
          </w:p>
        </w:tc>
        <w:tc>
          <w:tcPr>
            <w:tcW w:type="dxa" w:w="2880"/>
          </w:tcPr>
          <w:p>
            <w:pPr>
              <w:spacing w:before="60" w:after="60"/>
            </w:pPr>
            <w:r/>
            <w:r>
              <w:rPr>
                <w:rFonts w:ascii="Segoe UI" w:hAnsi="Segoe UI"/>
                <w:b w:val="0"/>
                <w:color w:val="3E4E55"/>
                <w:sz w:val="17"/>
              </w:rPr>
              <w:t>DM test module</w:t>
            </w:r>
          </w:p>
        </w:tc>
      </w:tr>
      <w:tr>
        <w:tc>
          <w:tcPr>
            <w:tcW w:type="dxa" w:w="3168"/>
          </w:tcPr>
          <w:p>
            <w:pPr>
              <w:spacing w:before="60" w:after="60"/>
            </w:pPr>
            <w:r/>
            <w:r>
              <w:rPr>
                <w:rFonts w:ascii="Segoe UI" w:hAnsi="Segoe UI"/>
                <w:b/>
                <w:color w:val="101A1E"/>
                <w:sz w:val="17"/>
              </w:rPr>
              <w:t>MAD_SIGMA_CONSISTENCY</w:t>
            </w:r>
          </w:p>
        </w:tc>
        <w:tc>
          <w:tcPr>
            <w:tcW w:type="dxa" w:w="3168"/>
          </w:tcPr>
          <w:p>
            <w:pPr>
              <w:spacing w:before="60" w:after="60"/>
            </w:pPr>
            <w:r/>
            <w:r>
              <w:rPr>
                <w:rFonts w:ascii="Segoe UI" w:hAnsi="Segoe UI"/>
                <w:b w:val="0"/>
                <w:color w:val="3E4E55"/>
                <w:sz w:val="17"/>
              </w:rPr>
              <w:t>1.4826</w:t>
            </w:r>
          </w:p>
        </w:tc>
        <w:tc>
          <w:tcPr>
            <w:tcW w:type="dxa" w:w="2880"/>
          </w:tcPr>
          <w:p>
            <w:pPr>
              <w:spacing w:before="60" w:after="60"/>
            </w:pPr>
            <w:r/>
            <w:r>
              <w:rPr>
                <w:rFonts w:ascii="Segoe UI" w:hAnsi="Segoe UI"/>
                <w:b w:val="0"/>
                <w:color w:val="3E4E55"/>
                <w:sz w:val="17"/>
              </w:rPr>
              <w:t>Normalization module</w:t>
            </w:r>
          </w:p>
        </w:tc>
      </w:tr>
      <w:tr>
        <w:tc>
          <w:tcPr>
            <w:tcW w:type="dxa" w:w="3168"/>
          </w:tcPr>
          <w:p>
            <w:pPr>
              <w:spacing w:before="60" w:after="60"/>
            </w:pPr>
            <w:r/>
            <w:r>
              <w:rPr>
                <w:rFonts w:ascii="Segoe UI" w:hAnsi="Segoe UI"/>
                <w:b/>
                <w:color w:val="101A1E"/>
                <w:sz w:val="17"/>
              </w:rPr>
              <w:t>IQR_SIGMA_CONSISTENCY</w:t>
            </w:r>
          </w:p>
        </w:tc>
        <w:tc>
          <w:tcPr>
            <w:tcW w:type="dxa" w:w="3168"/>
          </w:tcPr>
          <w:p>
            <w:pPr>
              <w:spacing w:before="60" w:after="60"/>
            </w:pPr>
            <w:r/>
            <w:r>
              <w:rPr>
                <w:rFonts w:ascii="Segoe UI" w:hAnsi="Segoe UI"/>
                <w:b w:val="0"/>
                <w:color w:val="3E4E55"/>
                <w:sz w:val="17"/>
              </w:rPr>
              <w:t>1.349</w:t>
            </w:r>
          </w:p>
        </w:tc>
        <w:tc>
          <w:tcPr>
            <w:tcW w:type="dxa" w:w="2880"/>
          </w:tcPr>
          <w:p>
            <w:pPr>
              <w:spacing w:before="60" w:after="60"/>
            </w:pPr>
            <w:r/>
            <w:r>
              <w:rPr>
                <w:rFonts w:ascii="Segoe UI" w:hAnsi="Segoe UI"/>
                <w:b w:val="0"/>
                <w:color w:val="3E4E55"/>
                <w:sz w:val="17"/>
              </w:rPr>
              <w:t>Normalization module</w:t>
            </w:r>
          </w:p>
        </w:tc>
      </w:tr>
      <w:tr>
        <w:tc>
          <w:tcPr>
            <w:tcW w:type="dxa" w:w="3168"/>
          </w:tcPr>
          <w:p>
            <w:pPr>
              <w:spacing w:before="60" w:after="60"/>
            </w:pPr>
            <w:r/>
            <w:r>
              <w:rPr>
                <w:rFonts w:ascii="Segoe UI" w:hAnsi="Segoe UI"/>
                <w:b/>
                <w:color w:val="101A1E"/>
                <w:sz w:val="17"/>
              </w:rPr>
              <w:t>MIN_TRAINING_MONTHS</w:t>
            </w:r>
          </w:p>
        </w:tc>
        <w:tc>
          <w:tcPr>
            <w:tcW w:type="dxa" w:w="3168"/>
          </w:tcPr>
          <w:p>
            <w:pPr>
              <w:spacing w:before="60" w:after="60"/>
            </w:pPr>
            <w:r/>
            <w:r>
              <w:rPr>
                <w:rFonts w:ascii="Segoe UI" w:hAnsi="Segoe UI"/>
                <w:b w:val="0"/>
                <w:color w:val="3E4E55"/>
                <w:sz w:val="17"/>
              </w:rPr>
              <w:t>12</w:t>
            </w:r>
          </w:p>
        </w:tc>
        <w:tc>
          <w:tcPr>
            <w:tcW w:type="dxa" w:w="2880"/>
          </w:tcPr>
          <w:p>
            <w:pPr>
              <w:spacing w:before="60" w:after="60"/>
            </w:pPr>
            <w:r/>
            <w:r>
              <w:rPr>
                <w:rFonts w:ascii="Segoe UI" w:hAnsi="Segoe UI"/>
                <w:b w:val="0"/>
                <w:color w:val="3E4E55"/>
                <w:sz w:val="17"/>
              </w:rPr>
              <w:t>Splitting module</w:t>
            </w:r>
          </w:p>
        </w:tc>
      </w:tr>
      <w:tr>
        <w:tc>
          <w:tcPr>
            <w:tcW w:type="dxa" w:w="3168"/>
          </w:tcPr>
          <w:p>
            <w:pPr>
              <w:spacing w:before="60" w:after="60"/>
            </w:pPr>
            <w:r/>
            <w:r>
              <w:rPr>
                <w:rFonts w:ascii="Segoe UI" w:hAnsi="Segoe UI"/>
                <w:b/>
                <w:color w:val="101A1E"/>
                <w:sz w:val="17"/>
              </w:rPr>
              <w:t>GRID_MINUTES</w:t>
            </w:r>
          </w:p>
        </w:tc>
        <w:tc>
          <w:tcPr>
            <w:tcW w:type="dxa" w:w="3168"/>
          </w:tcPr>
          <w:p>
            <w:pPr>
              <w:spacing w:before="60" w:after="60"/>
            </w:pPr>
            <w:r/>
            <w:r>
              <w:rPr>
                <w:rFonts w:ascii="Segoe UI" w:hAnsi="Segoe UI"/>
                <w:b w:val="0"/>
                <w:color w:val="3E4E55"/>
                <w:sz w:val="17"/>
              </w:rPr>
              <w:t>10</w:t>
            </w:r>
          </w:p>
        </w:tc>
        <w:tc>
          <w:tcPr>
            <w:tcW w:type="dxa" w:w="2880"/>
          </w:tcPr>
          <w:p>
            <w:pPr>
              <w:spacing w:before="60" w:after="60"/>
            </w:pPr>
            <w:r/>
            <w:r>
              <w:rPr>
                <w:rFonts w:ascii="Segoe UI" w:hAnsi="Segoe UI"/>
                <w:b w:val="0"/>
                <w:color w:val="3E4E55"/>
                <w:sz w:val="17"/>
              </w:rPr>
              <w:t>Event evaluation module</w:t>
            </w:r>
          </w:p>
        </w:tc>
      </w:tr>
      <w:tr>
        <w:tc>
          <w:tcPr>
            <w:tcW w:type="dxa" w:w="3168"/>
          </w:tcPr>
          <w:p>
            <w:pPr>
              <w:spacing w:before="60" w:after="60"/>
            </w:pPr>
            <w:r/>
            <w:r>
              <w:rPr>
                <w:rFonts w:ascii="Segoe UI" w:hAnsi="Segoe UI"/>
                <w:b/>
                <w:color w:val="101A1E"/>
                <w:sz w:val="17"/>
              </w:rPr>
              <w:t>Multiplier sweep grid</w:t>
            </w:r>
          </w:p>
        </w:tc>
        <w:tc>
          <w:tcPr>
            <w:tcW w:type="dxa" w:w="3168"/>
          </w:tcPr>
          <w:p>
            <w:pPr>
              <w:spacing w:before="60" w:after="60"/>
            </w:pPr>
            <w:r/>
            <w:r>
              <w:rPr>
                <w:rFonts w:ascii="Segoe UI" w:hAnsi="Segoe UI"/>
                <w:b w:val="0"/>
                <w:color w:val="3E4E55"/>
                <w:sz w:val="17"/>
              </w:rPr>
              <w:t>2.0–12.0, extending to 20 or 40</w:t>
            </w:r>
          </w:p>
        </w:tc>
        <w:tc>
          <w:tcPr>
            <w:tcW w:type="dxa" w:w="2880"/>
          </w:tcPr>
          <w:p>
            <w:pPr>
              <w:spacing w:before="60" w:after="60"/>
            </w:pPr>
            <w:r/>
            <w:r>
              <w:rPr>
                <w:rFonts w:ascii="Segoe UI" w:hAnsi="Segoe UI"/>
                <w:b w:val="0"/>
                <w:color w:val="3E4E55"/>
                <w:sz w:val="17"/>
              </w:rPr>
              <w:t>Sweep script</w:t>
            </w:r>
          </w:p>
        </w:tc>
      </w:tr>
      <w:tr>
        <w:tc>
          <w:tcPr>
            <w:tcW w:type="dxa" w:w="3168"/>
          </w:tcPr>
          <w:p>
            <w:pPr>
              <w:spacing w:before="60" w:after="60"/>
            </w:pPr>
            <w:r/>
            <w:r>
              <w:rPr>
                <w:rFonts w:ascii="Segoe UI" w:hAnsi="Segoe UI"/>
                <w:b/>
                <w:color w:val="101A1E"/>
                <w:sz w:val="17"/>
              </w:rPr>
              <w:t>FPR target ladder</w:t>
            </w:r>
          </w:p>
        </w:tc>
        <w:tc>
          <w:tcPr>
            <w:tcW w:type="dxa" w:w="3168"/>
          </w:tcPr>
          <w:p>
            <w:pPr>
              <w:spacing w:before="60" w:after="60"/>
            </w:pPr>
            <w:r/>
            <w:r>
              <w:rPr>
                <w:rFonts w:ascii="Segoe UI" w:hAnsi="Segoe UI"/>
                <w:b w:val="0"/>
                <w:color w:val="3E4E55"/>
                <w:sz w:val="17"/>
              </w:rPr>
              <w:t>200, 100, 50, 20, 10, 5, 2, 1, 0.5 per turbine-year</w:t>
            </w:r>
          </w:p>
        </w:tc>
        <w:tc>
          <w:tcPr>
            <w:tcW w:type="dxa" w:w="2880"/>
          </w:tcPr>
          <w:p>
            <w:pPr>
              <w:spacing w:before="60" w:after="60"/>
            </w:pPr>
            <w:r/>
            <w:r>
              <w:rPr>
                <w:rFonts w:ascii="Segoe UI" w:hAnsi="Segoe UI"/>
                <w:b w:val="0"/>
                <w:color w:val="3E4E55"/>
                <w:sz w:val="17"/>
              </w:rPr>
              <w:t>Sweep script</w:t>
            </w:r>
          </w:p>
        </w:tc>
      </w:tr>
    </w:tbl>
    <w:p>
      <w:pPr>
        <w:spacing w:after="40"/>
      </w:pPr>
    </w:p>
    <w:p>
      <w:pPr>
        <w:pStyle w:val="PartHead"/>
      </w:pPr>
      <w:r>
        <w:rPr>
          <w:b w:val="0"/>
          <w:i w:val="0"/>
        </w:rPr>
        <w:t>Appendix B</w:t>
      </w:r>
    </w:p>
    <w:p>
      <w:pPr>
        <w:pStyle w:val="PartSub"/>
      </w:pPr>
      <w:r>
        <w:rPr>
          <w:b w:val="0"/>
          <w:i w:val="0"/>
        </w:rPr>
        <w:t>Findings excluded from this document's scope</w:t>
      </w:r>
    </w:p>
    <w:p>
      <w:r>
        <w:t>Five findings from the full audit are not reproduced here because they concern the knowledge-based interpretation layer, operator-facing output, or repository documentation rather than data-science or ML-engineering work. They are listed so nothing appears to have been dropped silently.</w:t>
      </w:r>
    </w:p>
    <w:tbl>
      <w:tblPr>
        <w:tblStyle w:val="TableGrid"/>
        <w:tblW w:type="auto" w:w="0"/>
        <w:jc w:val="left"/>
        <w:tblLook w:firstColumn="1" w:firstRow="1" w:lastColumn="0" w:lastRow="0" w:noHBand="0" w:noVBand="1" w:val="04A0"/>
      </w:tblPr>
      <w:tblGrid>
        <w:gridCol w:w="2304"/>
        <w:gridCol w:w="2304"/>
        <w:gridCol w:w="2304"/>
        <w:gridCol w:w="2304"/>
      </w:tblGrid>
      <w:tr>
        <w:tc>
          <w:tcPr>
            <w:tcW w:type="dxa" w:w="720"/>
            <w:shd w:val="clear" w:color="auto" w:fill="E7EDEF"/>
          </w:tcPr>
          <w:p>
            <w:pPr>
              <w:spacing w:before="60" w:after="60"/>
            </w:pPr>
            <w:r/>
            <w:r>
              <w:rPr>
                <w:rFonts w:ascii="Segoe UI" w:hAnsi="Segoe UI"/>
                <w:b/>
                <w:color w:val="101A1E"/>
                <w:sz w:val="17"/>
              </w:rPr>
              <w:t>ID</w:t>
            </w:r>
          </w:p>
        </w:tc>
        <w:tc>
          <w:tcPr>
            <w:tcW w:type="dxa" w:w="3960"/>
            <w:shd w:val="clear" w:color="auto" w:fill="E7EDEF"/>
          </w:tcPr>
          <w:p>
            <w:pPr>
              <w:spacing w:before="60" w:after="60"/>
            </w:pPr>
            <w:r/>
            <w:r>
              <w:rPr>
                <w:rFonts w:ascii="Segoe UI" w:hAnsi="Segoe UI"/>
                <w:b/>
                <w:color w:val="101A1E"/>
                <w:sz w:val="17"/>
              </w:rPr>
              <w:t>Finding</w:t>
            </w:r>
          </w:p>
        </w:tc>
        <w:tc>
          <w:tcPr>
            <w:tcW w:type="dxa" w:w="1224"/>
            <w:shd w:val="clear" w:color="auto" w:fill="E7EDEF"/>
          </w:tcPr>
          <w:p>
            <w:pPr>
              <w:spacing w:before="60" w:after="60"/>
            </w:pPr>
            <w:r/>
            <w:r>
              <w:rPr>
                <w:rFonts w:ascii="Segoe UI" w:hAnsi="Segoe UI"/>
                <w:b/>
                <w:color w:val="101A1E"/>
                <w:sz w:val="17"/>
              </w:rPr>
              <w:t>Severity</w:t>
            </w:r>
          </w:p>
        </w:tc>
        <w:tc>
          <w:tcPr>
            <w:tcW w:type="dxa" w:w="3312"/>
            <w:shd w:val="clear" w:color="auto" w:fill="E7EDEF"/>
          </w:tcPr>
          <w:p>
            <w:pPr>
              <w:spacing w:before="60" w:after="60"/>
            </w:pPr>
            <w:r/>
            <w:r>
              <w:rPr>
                <w:rFonts w:ascii="Segoe UI" w:hAnsi="Segoe UI"/>
                <w:b/>
                <w:color w:val="101A1E"/>
                <w:sz w:val="17"/>
              </w:rPr>
              <w:t>Why out of scope</w:t>
            </w:r>
          </w:p>
        </w:tc>
      </w:tr>
      <w:tr>
        <w:tc>
          <w:tcPr>
            <w:tcW w:type="dxa" w:w="720"/>
          </w:tcPr>
          <w:p>
            <w:pPr>
              <w:spacing w:before="60" w:after="60"/>
            </w:pPr>
            <w:r/>
            <w:r>
              <w:rPr>
                <w:rFonts w:ascii="Segoe UI" w:hAnsi="Segoe UI"/>
                <w:b/>
                <w:color w:val="101A1E"/>
                <w:sz w:val="17"/>
              </w:rPr>
              <w:t>F-07</w:t>
            </w:r>
          </w:p>
        </w:tc>
        <w:tc>
          <w:tcPr>
            <w:tcW w:type="dxa" w:w="3960"/>
          </w:tcPr>
          <w:p>
            <w:pPr>
              <w:spacing w:before="60" w:after="60"/>
            </w:pPr>
            <w:r/>
            <w:r>
              <w:rPr>
                <w:rFonts w:ascii="Segoe UI" w:hAnsi="Segoe UI"/>
                <w:b w:val="0"/>
                <w:color w:val="3E4E55"/>
                <w:sz w:val="17"/>
              </w:rPr>
              <w:t>The FMEA rule base cannot discriminate mechanisms — its distinguishing evidence (lead/lag ordering, load dependence) is carried as free text and never matched</w:t>
            </w:r>
          </w:p>
        </w:tc>
        <w:tc>
          <w:tcPr>
            <w:tcW w:type="dxa" w:w="1224"/>
          </w:tcPr>
          <w:p>
            <w:pPr>
              <w:spacing w:before="60" w:after="60"/>
            </w:pPr>
            <w:r/>
            <w:r>
              <w:rPr>
                <w:rFonts w:ascii="Segoe UI" w:hAnsi="Segoe UI"/>
                <w:b w:val="0"/>
                <w:color w:val="3E4E55"/>
                <w:sz w:val="17"/>
              </w:rPr>
              <w:t>HIGH</w:t>
            </w:r>
          </w:p>
        </w:tc>
        <w:tc>
          <w:tcPr>
            <w:tcW w:type="dxa" w:w="3312"/>
          </w:tcPr>
          <w:p>
            <w:pPr>
              <w:spacing w:before="60" w:after="60"/>
            </w:pPr>
            <w:r/>
            <w:r>
              <w:rPr>
                <w:rFonts w:ascii="Segoe UI" w:hAnsi="Segoe UI"/>
                <w:b w:val="0"/>
                <w:color w:val="3E4E55"/>
                <w:sz w:val="17"/>
              </w:rPr>
              <w:t>Knowledge/rule engineering. Note the ML connection: implementing it would require residual-derived lag and load-slope features</w:t>
            </w:r>
          </w:p>
        </w:tc>
      </w:tr>
      <w:tr>
        <w:tc>
          <w:tcPr>
            <w:tcW w:type="dxa" w:w="720"/>
          </w:tcPr>
          <w:p>
            <w:pPr>
              <w:spacing w:before="60" w:after="60"/>
            </w:pPr>
            <w:r/>
            <w:r>
              <w:rPr>
                <w:rFonts w:ascii="Segoe UI" w:hAnsi="Segoe UI"/>
                <w:b/>
                <w:color w:val="101A1E"/>
                <w:sz w:val="17"/>
              </w:rPr>
              <w:t>F-17</w:t>
            </w:r>
          </w:p>
        </w:tc>
        <w:tc>
          <w:tcPr>
            <w:tcW w:type="dxa" w:w="3960"/>
          </w:tcPr>
          <w:p>
            <w:pPr>
              <w:spacing w:before="60" w:after="60"/>
            </w:pPr>
            <w:r/>
            <w:r>
              <w:rPr>
                <w:rFonts w:ascii="Segoe UI" w:hAnsi="Segoe UI"/>
                <w:b w:val="0"/>
                <w:color w:val="3E4E55"/>
                <w:sz w:val="17"/>
              </w:rPr>
              <w:t>The interpreter emits one diagnostic event per 10-minute sample with no episode aggregation</w:t>
            </w:r>
          </w:p>
        </w:tc>
        <w:tc>
          <w:tcPr>
            <w:tcW w:type="dxa" w:w="1224"/>
          </w:tcPr>
          <w:p>
            <w:pPr>
              <w:spacing w:before="60" w:after="60"/>
            </w:pPr>
            <w:r/>
            <w:r>
              <w:rPr>
                <w:rFonts w:ascii="Segoe UI" w:hAnsi="Segoe UI"/>
                <w:b w:val="0"/>
                <w:color w:val="3E4E55"/>
                <w:sz w:val="17"/>
              </w:rPr>
              <w:t>MEDIUM</w:t>
            </w:r>
          </w:p>
        </w:tc>
        <w:tc>
          <w:tcPr>
            <w:tcW w:type="dxa" w:w="3312"/>
          </w:tcPr>
          <w:p>
            <w:pPr>
              <w:spacing w:before="60" w:after="60"/>
            </w:pPr>
            <w:r/>
            <w:r>
              <w:rPr>
                <w:rFonts w:ascii="Segoe UI" w:hAnsi="Segoe UI"/>
                <w:b w:val="0"/>
                <w:color w:val="3E4E55"/>
                <w:sz w:val="17"/>
              </w:rPr>
              <w:t>Output structure</w:t>
            </w:r>
          </w:p>
        </w:tc>
      </w:tr>
      <w:tr>
        <w:tc>
          <w:tcPr>
            <w:tcW w:type="dxa" w:w="720"/>
          </w:tcPr>
          <w:p>
            <w:pPr>
              <w:spacing w:before="60" w:after="60"/>
            </w:pPr>
            <w:r/>
            <w:r>
              <w:rPr>
                <w:rFonts w:ascii="Segoe UI" w:hAnsi="Segoe UI"/>
                <w:b/>
                <w:color w:val="101A1E"/>
                <w:sz w:val="17"/>
              </w:rPr>
              <w:t>F-18</w:t>
            </w:r>
          </w:p>
        </w:tc>
        <w:tc>
          <w:tcPr>
            <w:tcW w:type="dxa" w:w="3960"/>
          </w:tcPr>
          <w:p>
            <w:pPr>
              <w:spacing w:before="60" w:after="60"/>
            </w:pPr>
            <w:r/>
            <w:r>
              <w:rPr>
                <w:rFonts w:ascii="Segoe UI" w:hAnsi="Segoe UI"/>
                <w:b w:val="0"/>
                <w:color w:val="3E4E55"/>
                <w:sz w:val="17"/>
              </w:rPr>
              <w:t>Operator rendering reports severity in "sigma" units it is not expressed in</w:t>
            </w:r>
          </w:p>
        </w:tc>
        <w:tc>
          <w:tcPr>
            <w:tcW w:type="dxa" w:w="1224"/>
          </w:tcPr>
          <w:p>
            <w:pPr>
              <w:spacing w:before="60" w:after="60"/>
            </w:pPr>
            <w:r/>
            <w:r>
              <w:rPr>
                <w:rFonts w:ascii="Segoe UI" w:hAnsi="Segoe UI"/>
                <w:b w:val="0"/>
                <w:color w:val="3E4E55"/>
                <w:sz w:val="17"/>
              </w:rPr>
              <w:t>MEDIUM</w:t>
            </w:r>
          </w:p>
        </w:tc>
        <w:tc>
          <w:tcPr>
            <w:tcW w:type="dxa" w:w="3312"/>
          </w:tcPr>
          <w:p>
            <w:pPr>
              <w:spacing w:before="60" w:after="60"/>
            </w:pPr>
            <w:r/>
            <w:r>
              <w:rPr>
                <w:rFonts w:ascii="Segoe UI" w:hAnsi="Segoe UI"/>
                <w:b w:val="0"/>
                <w:color w:val="3E4E55"/>
                <w:sz w:val="17"/>
              </w:rPr>
              <w:t>Output labelling</w:t>
            </w:r>
          </w:p>
        </w:tc>
      </w:tr>
      <w:tr>
        <w:tc>
          <w:tcPr>
            <w:tcW w:type="dxa" w:w="720"/>
          </w:tcPr>
          <w:p>
            <w:pPr>
              <w:spacing w:before="60" w:after="60"/>
            </w:pPr>
            <w:r/>
            <w:r>
              <w:rPr>
                <w:rFonts w:ascii="Segoe UI" w:hAnsi="Segoe UI"/>
                <w:b/>
                <w:color w:val="101A1E"/>
                <w:sz w:val="17"/>
              </w:rPr>
              <w:t>F-23</w:t>
            </w:r>
          </w:p>
        </w:tc>
        <w:tc>
          <w:tcPr>
            <w:tcW w:type="dxa" w:w="3960"/>
          </w:tcPr>
          <w:p>
            <w:pPr>
              <w:spacing w:before="60" w:after="60"/>
            </w:pPr>
            <w:r/>
            <w:r>
              <w:rPr>
                <w:rFonts w:ascii="Segoe UI" w:hAnsi="Segoe UI"/>
                <w:b w:val="0"/>
                <w:color w:val="3E4E55"/>
                <w:sz w:val="17"/>
              </w:rPr>
              <w:t>Coverage is reported but not enforced — no failure threshold configured</w:t>
            </w:r>
          </w:p>
        </w:tc>
        <w:tc>
          <w:tcPr>
            <w:tcW w:type="dxa" w:w="1224"/>
          </w:tcPr>
          <w:p>
            <w:pPr>
              <w:spacing w:before="60" w:after="60"/>
            </w:pPr>
            <w:r/>
            <w:r>
              <w:rPr>
                <w:rFonts w:ascii="Segoe UI" w:hAnsi="Segoe UI"/>
                <w:b w:val="0"/>
                <w:color w:val="3E4E55"/>
                <w:sz w:val="17"/>
              </w:rPr>
              <w:t>LOW</w:t>
            </w:r>
          </w:p>
        </w:tc>
        <w:tc>
          <w:tcPr>
            <w:tcW w:type="dxa" w:w="3312"/>
          </w:tcPr>
          <w:p>
            <w:pPr>
              <w:spacing w:before="60" w:after="60"/>
            </w:pPr>
            <w:r/>
            <w:r>
              <w:rPr>
                <w:rFonts w:ascii="Segoe UI" w:hAnsi="Segoe UI"/>
                <w:b w:val="0"/>
                <w:color w:val="3E4E55"/>
                <w:sz w:val="17"/>
              </w:rPr>
              <w:t>CI configuration</w:t>
            </w:r>
          </w:p>
        </w:tc>
      </w:tr>
      <w:tr>
        <w:tc>
          <w:tcPr>
            <w:tcW w:type="dxa" w:w="720"/>
          </w:tcPr>
          <w:p>
            <w:pPr>
              <w:spacing w:before="60" w:after="60"/>
            </w:pPr>
            <w:r/>
            <w:r>
              <w:rPr>
                <w:rFonts w:ascii="Segoe UI" w:hAnsi="Segoe UI"/>
                <w:b/>
                <w:color w:val="101A1E"/>
                <w:sz w:val="17"/>
              </w:rPr>
              <w:t>F-24</w:t>
            </w:r>
          </w:p>
        </w:tc>
        <w:tc>
          <w:tcPr>
            <w:tcW w:type="dxa" w:w="3960"/>
          </w:tcPr>
          <w:p>
            <w:pPr>
              <w:spacing w:before="60" w:after="60"/>
            </w:pPr>
            <w:r/>
            <w:r>
              <w:rPr>
                <w:rFonts w:ascii="Segoe UI" w:hAnsi="Segoe UI"/>
                <w:b w:val="0"/>
                <w:color w:val="3E4E55"/>
                <w:sz w:val="17"/>
              </w:rPr>
              <w:t>The README describes a project state roughly thirty commits out of date</w:t>
            </w:r>
          </w:p>
        </w:tc>
        <w:tc>
          <w:tcPr>
            <w:tcW w:type="dxa" w:w="1224"/>
          </w:tcPr>
          <w:p>
            <w:pPr>
              <w:spacing w:before="60" w:after="60"/>
            </w:pPr>
            <w:r/>
            <w:r>
              <w:rPr>
                <w:rFonts w:ascii="Segoe UI" w:hAnsi="Segoe UI"/>
                <w:b w:val="0"/>
                <w:color w:val="3E4E55"/>
                <w:sz w:val="17"/>
              </w:rPr>
              <w:t>LOW</w:t>
            </w:r>
          </w:p>
        </w:tc>
        <w:tc>
          <w:tcPr>
            <w:tcW w:type="dxa" w:w="3312"/>
          </w:tcPr>
          <w:p>
            <w:pPr>
              <w:spacing w:before="60" w:after="60"/>
            </w:pPr>
            <w:r/>
            <w:r>
              <w:rPr>
                <w:rFonts w:ascii="Segoe UI" w:hAnsi="Segoe UI"/>
                <w:b w:val="0"/>
                <w:color w:val="3E4E55"/>
                <w:sz w:val="17"/>
              </w:rPr>
              <w:t>Documentation</w:t>
            </w:r>
          </w:p>
        </w:tc>
      </w:tr>
    </w:tbl>
    <w:p>
      <w:pPr>
        <w:spacing w:after="40"/>
      </w:pPr>
    </w:p>
    <w:p>
      <w:pPr>
        <w:pStyle w:val="H1x"/>
      </w:pPr>
      <w:r>
        <w:rPr>
          <w:b w:val="0"/>
          <w:i w:val="0"/>
        </w:rPr>
        <w:t>Closing note</w:t>
      </w:r>
    </w:p>
    <w:p>
      <w:r>
        <w:t>The engineering in this repository is better than the analysis, and both are better than the evidence base allows them to demonstrate. The data pipeline, guard architecture, provenance discipline and experiment management are of a standard well above typical research code, and several design decisions — the disjoint exclusion accounting, the write-once residual store, the fit chokepoint, the small-n gate that raises rather than returns — are worth copying. What needs correcting is a narrow band of measurement and statistical issues that change reported numbers, and all of them are addressable in days rather than weeks.</w:t>
      </w:r>
    </w:p>
    <w:sectPr w:rsidR="00FC693F" w:rsidRPr="0006063C" w:rsidSect="00034616">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mbria" w:hAnsi="Cambria"/>
      <w:color w:val="101A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Head">
    <w:name w:val="PartHead"/>
    <w:basedOn w:val="Normal"/>
    <w:pPr>
      <w:keepNext/>
      <w:spacing w:before="440" w:after="60"/>
    </w:pPr>
    <w:rPr>
      <w:rFonts w:ascii="Segoe UI" w:hAnsi="Segoe UI"/>
      <w:b/>
      <w:i w:val="0"/>
      <w:color w:val="0E6F79"/>
      <w:sz w:val="38"/>
    </w:rPr>
  </w:style>
  <w:style w:type="paragraph" w:customStyle="1" w:styleId="PartSub">
    <w:name w:val="PartSub"/>
    <w:basedOn w:val="Normal"/>
    <w:pPr>
      <w:keepNext/>
      <w:spacing w:before="0" w:after="280"/>
    </w:pPr>
    <w:rPr>
      <w:rFonts w:ascii="Segoe UI" w:hAnsi="Segoe UI"/>
      <w:b w:val="0"/>
      <w:i w:val="0"/>
      <w:color w:val="6B7C83"/>
      <w:sz w:val="20"/>
    </w:rPr>
  </w:style>
  <w:style w:type="paragraph" w:customStyle="1" w:styleId="H1x">
    <w:name w:val="H1x"/>
    <w:basedOn w:val="Normal"/>
    <w:pPr>
      <w:keepNext/>
      <w:spacing w:before="360" w:after="120"/>
    </w:pPr>
    <w:rPr>
      <w:rFonts w:ascii="Segoe UI" w:hAnsi="Segoe UI"/>
      <w:b/>
      <w:i w:val="0"/>
      <w:color w:val="101A1E"/>
      <w:sz w:val="29"/>
    </w:rPr>
  </w:style>
  <w:style w:type="paragraph" w:customStyle="1" w:styleId="H2x">
    <w:name w:val="H2x"/>
    <w:basedOn w:val="Normal"/>
    <w:pPr>
      <w:keepNext/>
      <w:spacing w:before="260" w:after="80"/>
    </w:pPr>
    <w:rPr>
      <w:rFonts w:ascii="Segoe UI" w:hAnsi="Segoe UI"/>
      <w:b/>
      <w:i w:val="0"/>
      <w:color w:val="101A1E"/>
      <w:sz w:val="23"/>
    </w:rPr>
  </w:style>
  <w:style w:type="paragraph" w:customStyle="1" w:styleId="Label">
    <w:name w:val="Label"/>
    <w:basedOn w:val="Normal"/>
    <w:pPr>
      <w:keepNext/>
      <w:spacing w:before="200" w:after="60"/>
    </w:pPr>
    <w:rPr>
      <w:rFonts w:ascii="Segoe UI" w:hAnsi="Segoe UI"/>
      <w:b/>
      <w:i w:val="0"/>
      <w:caps/>
      <w:color w:val="6B7C83"/>
      <w:sz w:val="17"/>
      <w:spacing w:val="24"/>
    </w:rPr>
  </w:style>
  <w:style w:type="paragraph" w:customStyle="1" w:styleId="FindHead">
    <w:name w:val="FindHead"/>
    <w:basedOn w:val="Normal"/>
    <w:pPr>
      <w:keepNext/>
      <w:spacing w:before="320" w:after="80"/>
    </w:pPr>
    <w:rPr>
      <w:rFonts w:ascii="Segoe UI" w:hAnsi="Segoe UI"/>
      <w:b/>
      <w:i w:val="0"/>
      <w:color w:val="101A1E"/>
      <w:sz w:val="24"/>
    </w:rPr>
  </w:style>
  <w:style w:type="paragraph" w:customStyle="1" w:styleId="Small">
    <w:name w:val="Small"/>
    <w:basedOn w:val="Normal"/>
    <w:pPr>
      <w:keepNext/>
      <w:spacing w:before="0" w:after="120"/>
    </w:pPr>
    <w:rPr>
      <w:rFonts w:ascii="Segoe UI" w:hAnsi="Segoe UI"/>
      <w:b w:val="0"/>
      <w:i w:val="0"/>
      <w:color w:val="3E4E55"/>
      <w:sz w:val="18"/>
    </w:rPr>
  </w:style>
  <w:style w:type="paragraph" w:customStyle="1" w:styleId="Mono">
    <w:name w:val="Mono"/>
    <w:basedOn w:val="Normal"/>
    <w:pPr>
      <w:keepNext/>
      <w:spacing w:before="0" w:after="120"/>
    </w:pPr>
    <w:rPr>
      <w:rFonts w:ascii="Consolas" w:hAnsi="Consolas"/>
      <w:b w:val="0"/>
      <w:i w:val="0"/>
      <w:color w:val="3E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