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QFLOW CONSULTING</w:t>
      </w:r>
    </w:p>
    <w:p>
      <w:pPr>
        <w:spacing w:after="300"/>
        <w:jc w:val="center"/>
      </w:pPr>
      <w:r>
        <w:rPr>
          <w:color w:val="595959"/>
          <w:sz w:val="20"/>
          <w:szCs w:val="20"/>
        </w:rPr>
        <w:t xml:space="preserve">ISO &amp; Quality Management Consulting — Abu Dhabi, UAE</w:t>
      </w:r>
    </w:p>
    <w:p>
      <w:pPr>
        <w:pStyle w:val="Title"/>
        <w:spacing w:after="240"/>
        <w:jc w:val="center"/>
      </w:pPr>
      <w:r>
        <w:rPr>
          <w:b/>
          <w:bCs/>
          <w:sz w:val="30"/>
          <w:szCs w:val="30"/>
        </w:rPr>
        <w:t xml:space="preserve">CONSULTING SERVICES AGREEMENT</w:t>
      </w:r>
    </w:p>
    <w:p>
      <w:pPr>
        <w:spacing w:after="120"/>
      </w:pPr>
      <w:r>
        <w:rPr>
          <w:sz w:val="21"/>
          <w:szCs w:val="21"/>
        </w:rPr>
        <w:t xml:space="preserve">This Consulting Services Agreement ("Agreement") is entered into on [Date] ("Effective Date") by and between: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CONSULTANT</w:t>
            </w:r>
          </w:p>
        </w:tc>
        <w:tc>
          <w:tcPr>
            <w:tcW w:type="dxa" w:w="468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Qflow Consulting [FZ-LLC / LLC — insert legal form]
Trade License No.: [•]
Address: [•], Abu Dhabi, United Arab Emirates
Represented by: [•], [Title]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[Client Legal Name]
Trade License No.: [•]
Address: [•]
Represented by: [•], [Title]</w:t>
            </w:r>
          </w:p>
        </w:tc>
      </w:tr>
    </w:tbl>
    <w:p>
      <w:pPr>
        <w:spacing w:after="120"/>
      </w:pPr>
      <w:r>
        <w:rPr>
          <w:i/>
          <w:iCs/>
          <w:sz w:val="21"/>
          <w:szCs w:val="21"/>
        </w:rPr>
        <w:t xml:space="preserve">(each a "Party", collectively the "Parties")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1. Scope of Services</w:t>
      </w:r>
    </w:p>
    <w:p>
      <w:pPr>
        <w:spacing w:after="120"/>
      </w:pPr>
      <w:r>
        <w:rPr>
          <w:sz w:val="21"/>
          <w:szCs w:val="21"/>
        </w:rPr>
        <w:t xml:space="preserve">The Consultant shall provide the following services ("Services") to the Client: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624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Readiness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Gap assessment, mock audit, corrective action plan prior to certification/surveillance audit.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Internal Audit Program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 of audit schedule, checklists, and execution of internal audits per agreed scope.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 Support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Root cause analysis facilitation and CAPA process design/review.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 &amp; Process Control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Development/review of procedures, work instructions, and document control system.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 Standard(s) in scope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[ISO 9001 / ISO 27001 / other — specify]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Other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[•]</w:t>
            </w:r>
          </w:p>
        </w:tc>
      </w:tr>
    </w:tbl>
    <w:p>
      <w:pPr>
        <w:spacing w:after="120"/>
      </w:pPr>
      <w:r>
        <w:rPr>
          <w:i/>
          <w:iCs/>
          <w:sz w:val="21"/>
          <w:szCs w:val="21"/>
        </w:rPr>
        <w:t xml:space="preserve">Any service not listed above requires a signed Change Order per Clause 8 before work begins.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2. Term</w:t>
      </w:r>
    </w:p>
    <w:p>
      <w:pPr>
        <w:spacing w:after="120"/>
      </w:pPr>
      <w:r>
        <w:rPr>
          <w:sz w:val="21"/>
          <w:szCs w:val="21"/>
        </w:rPr>
        <w:t xml:space="preserve">This Agreement commences on the Effective Date and continues until [completion of the Services / for a period of [•] months], unless terminated earlier under Clause 9.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3. Fees &amp;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 xml:space="preserve">Basis</w:t>
            </w:r>
          </w:p>
        </w:tc>
        <w:tc>
          <w:tcPr>
            <w:tcW w:type="dxa" w:w="3120"/>
            <w:shd w:fill="DCE6F1" w:val="clear"/>
          </w:tcPr>
          <w:p>
            <w:r>
              <w:rPr>
                <w:b/>
                <w:bCs/>
                <w:sz w:val="20"/>
                <w:szCs w:val="20"/>
              </w:rPr>
              <w:t xml:space="preserve">Amount (AED)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Professional Fee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[Fixed project fee / Monthly retainer / Daily rate]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[•]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VAT (5%)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applicable under UAE VAT law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[•]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Expenses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Reimbursed at cost, pre-approved, with receipts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 cost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 Terms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[•] % upon signature, balance on [milestone/net 15 days from invoice]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Invoices are payable within [15] days of the invoice date. Late payment accrues interest at [•]% per month on overdue amounts. Reasonable pre-approved expenses (travel, accommodation, third-party tools) are reimbursed at cost against receipts.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4. Client 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Provide timely access to relevant personnel, records, systems, and facilities required for the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Designate a single point of contact for day-to-day coordination.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Review and respond to Consultant deliverables within [5] business days, unless otherwise agreed.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Ensure the accuracy of information, documents, and data supplied to the Consultant.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5. Deliverables &amp; Acceptance</w:t>
      </w:r>
    </w:p>
    <w:p>
      <w:pPr>
        <w:spacing w:after="120"/>
      </w:pPr>
      <w:r>
        <w:rPr>
          <w:sz w:val="21"/>
          <w:szCs w:val="21"/>
        </w:rPr>
        <w:t xml:space="preserve">Deliverables are listed in Clause 1 / attached Statement of Work. A deliverable is deemed accepted if the Client raises no written objection within [10] business days of delivery.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6. Confidentiality</w:t>
      </w:r>
    </w:p>
    <w:p>
      <w:pPr>
        <w:spacing w:after="120"/>
      </w:pPr>
      <w:r>
        <w:rPr>
          <w:sz w:val="21"/>
          <w:szCs w:val="21"/>
        </w:rPr>
        <w:t xml:space="preserve">Each Party shall keep confidential all non-public information disclosed by the other Party in connection with this Agreement and use it solely to perform its obligations hereunder. This obligation survives termination of this Agreement for [3] years. This clause is supplemented, where executed, by a separate Non-Disclosure Agreement between the Parties.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7. Intellectual Property</w:t>
      </w:r>
    </w:p>
    <w:p>
      <w:pPr>
        <w:spacing w:after="120"/>
      </w:pPr>
      <w:r>
        <w:rPr>
          <w:sz w:val="21"/>
          <w:szCs w:val="21"/>
        </w:rPr>
        <w:t xml:space="preserve">Pre-existing Consultant materials (methodologies, templates, checklists, tools) remain the Consultant's property. Upon full payment, the Client receives a non-exclusive, perpetual license to use deliverables created specifically for the Client for its internal business purposes. The Consultant retains the right to reuse generic, non-client-identifying methodologies and know-how developed during the engagement.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8. Change Orders</w:t>
      </w:r>
    </w:p>
    <w:p>
      <w:pPr>
        <w:spacing w:after="120"/>
      </w:pPr>
      <w:r>
        <w:rPr>
          <w:sz w:val="21"/>
          <w:szCs w:val="21"/>
        </w:rPr>
        <w:t xml:space="preserve">Any change to scope, timeline, or fees must be documented in a written Change Order signed by both Parties before the change takes effect.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9. Term &amp; Termination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Either Party may terminate for convenience with [30] days' written notice.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Either Party may terminate immediately for material breach not cured within [15] days of written notice.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Upon termination, the Client pays for Services performed and expenses incurred up to the termination date.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10. Limitation of Liability</w:t>
      </w:r>
    </w:p>
    <w:p>
      <w:pPr>
        <w:spacing w:after="120"/>
      </w:pPr>
      <w:r>
        <w:rPr>
          <w:sz w:val="21"/>
          <w:szCs w:val="21"/>
        </w:rPr>
        <w:t xml:space="preserve">Neither Party's aggregate liability under this Agreement shall exceed the total fees paid by the Client in the [6] months preceding the claim. Neither Party is liable for indirect, incidental, or consequential damages. Nothing in this clause limits liability that cannot be limited under applicable law.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11. Independent Contractor</w:t>
      </w:r>
    </w:p>
    <w:p>
      <w:pPr>
        <w:spacing w:after="120"/>
      </w:pPr>
      <w:r>
        <w:rPr>
          <w:sz w:val="21"/>
          <w:szCs w:val="21"/>
        </w:rPr>
        <w:t xml:space="preserve">The Consultant performs the Services as an independent contractor, not as an employee, agent, or partner of the Client. Nothing in this Agreement creates a joint venture or partnership.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12. Governing Law &amp; Dispute Resolution</w:t>
      </w:r>
    </w:p>
    <w:p>
      <w:pPr>
        <w:spacing w:after="120"/>
      </w:pPr>
      <w:r>
        <w:rPr>
          <w:sz w:val="21"/>
          <w:szCs w:val="21"/>
        </w:rPr>
        <w:t xml:space="preserve">This Agreement is governed by the laws of the United Arab Emirates [/ DIFC, as applicable]. The Parties shall first attempt to resolve any dispute through good-faith negotiation; failing resolution within [30] days, the dispute shall be referred to [arbitration under the ADCCAC Rules seated in Abu Dhabi / the competent courts of Abu Dhabi], as elected by the Parties.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13. General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Notices shall be in writing and delivered to the addresses stated above (or by email with read confirmation).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This Agreement, together with any signed Statement of Work and NDA, constitutes the entire agreement between the Parties and supersedes all prior discussions.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If any provision is held invalid, the remaining provisions remain in full force.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This Agreement may be executed in counterparts, including electronic signature.</w:t>
      </w:r>
    </w:p>
    <w:p>
      <w:pPr>
        <w:spacing w:after="200" w:before="400"/>
      </w:pPr>
      <w:r>
        <w:rPr>
          <w:b/>
          <w:bCs/>
          <w:color w:val="1F3864"/>
          <w:sz w:val="22"/>
          <w:szCs w:val="22"/>
        </w:rPr>
        <w:t xml:space="preserve">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bCs/>
                <w:sz w:val="20"/>
                <w:szCs w:val="20"/>
              </w:rPr>
              <w:t xml:space="preserve">For and on behalf of Qflow Consulting</w:t>
            </w:r>
          </w:p>
        </w:tc>
        <w:tc>
          <w:tcPr>
            <w:tcW w:type="dxa" w:w="4680"/>
          </w:tcPr>
          <w:p>
            <w:r>
              <w:rPr>
                <w:b/>
                <w:bCs/>
                <w:sz w:val="20"/>
                <w:szCs w:val="20"/>
              </w:rPr>
              <w:t xml:space="preserve">For and on behalf of the Client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
Name: [•]
Title: [•]
Signature: ____________________
Date: [•]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
Name: [•]
Title: [•]
Signature: ____________________
Date: [•]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2026-09-23T23:56:44.434Z</dcterms:created>
  <dcterms:modified xsi:type="dcterms:W3CDTF">2026-09-23T23:56:44.436Z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