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before="0" w:line="360" w:lineRule="auto"/>
        <w:jc w:val="right"/>
        <w:pBdr>
          <w:bottom w:val="dashed" w:sz="4" w:space="1" w:color="999999"/>
          <w:top w:val="dashed" w:sz="4" w:space="1" w:color="999999"/>
        </w:pBdr>
      </w:pPr>
      <w:r>
        <w:rPr>
          <w:rFonts w:ascii="Tahoma" w:hAnsi="Tahoma" w:cs="Tahoma"/>
          <w:b/>
          <w:color w:val="999999"/>
          <w:sz w:val="26"/>
        </w:rPr>
        <w:t>مسودة — غير ملزم إلا بالتوقيع</w:t>
      </w:r>
    </w:p>
    <w:p>
      <w:pPr>
        <w:spacing w:after="40" w:before="0" w:line="360" w:lineRule="auto"/>
        <w:jc w:val="right"/>
      </w:pPr>
      <w:r>
        <w:rPr>
          <w:rFonts w:ascii="Tahoma" w:hAnsi="Tahoma" w:cs="Tahoma"/>
          <w:b/>
          <w:color w:val="2C3E50"/>
          <w:sz w:val="44"/>
        </w:rPr>
        <w:t>ملخص الصفقة التجارية</w:t>
      </w:r>
    </w:p>
    <w:p>
      <w:pPr>
        <w:spacing w:after="400" w:before="0" w:line="360" w:lineRule="auto"/>
        <w:jc w:val="right"/>
      </w:pPr>
      <w:r>
        <w:rPr>
          <w:rFonts w:ascii="Tahoma" w:hAnsi="Tahoma" w:cs="Tahoma"/>
          <w:b w:val="0"/>
          <w:color w:val="7F8C8D"/>
          <w:sz w:val="28"/>
        </w:rPr>
        <w:t>JAWLA — ترخيص برمجيات + صيانة + استضافة</w:t>
      </w:r>
    </w:p>
    <w:p>
      <w:pPr>
        <w:pBdr>
          <w:bottom w:val="single" w:sz="12" w:space="1" w:color="2C3E50"/>
        </w:pBdr>
      </w:pPr>
    </w:p>
    <w:p>
      <w:pPr>
        <w:spacing w:after="200" w:before="3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١. البيانات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رقم الصفقة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التاريخ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اسم العميل (الكيان القانوني)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عنوان العميل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البريد الإلكتروني للعميل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هاتف العميل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اسم المورد (الكيان القانوني)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عنوان المورد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البريد الإلكتروني للمورد</w:t>
            </w:r>
          </w:p>
        </w:tc>
        <w:tc>
          <w:tcPr>
            <w:tcW w:type="dxa" w:w="6803"/>
            <w:bidi w:val="1"/>
          </w:tcPr>
          <w:p>
            <w:r/>
          </w:p>
        </w:tc>
      </w:tr>
      <w:tr>
        <w:tc>
          <w:tcPr>
            <w:tcW w:type="dxa" w:w="3118"/>
            <w:shd w:fill="F8F9FA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هاتف المورد</w:t>
            </w:r>
          </w:p>
        </w:tc>
        <w:tc>
          <w:tcPr>
            <w:tcW w:type="dxa" w:w="6803"/>
            <w:bidi w:val="1"/>
          </w:tcPr>
          <w:p>
            <w:r/>
          </w:p>
        </w:tc>
      </w:tr>
    </w:tbl>
    <w:p>
      <w:pPr>
        <w:spacing w:after="200" w:before="4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٢. نطاق الترخيص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481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التفاصيل</w:t>
            </w:r>
          </w:p>
        </w:tc>
      </w:tr>
      <w:tr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نوع الترخيص</w:t>
            </w:r>
          </w:p>
        </w:tc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دائم (Perpetual) — غير محدود المدة</w:t>
            </w:r>
          </w:p>
        </w:tc>
      </w:tr>
      <w:tr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الإقليم المغطى</w:t>
            </w:r>
          </w:p>
        </w:tc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مصر + المملكة العربية السعودية فقط</w:t>
            </w:r>
          </w:p>
        </w:tc>
      </w:tr>
      <w:tr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عدد المستخدمين</w:t>
            </w:r>
          </w:p>
        </w:tc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غير محدود (Enterprise / Unlimited Seats)</w:t>
            </w:r>
          </w:p>
        </w:tc>
      </w:tr>
      <w:tr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نموذج النشر</w:t>
            </w:r>
          </w:p>
        </w:tc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استضافة المورد (SaaS Single-Tenant) — العميل يدفع تكلفة الاستضافة</w:t>
            </w:r>
          </w:p>
        </w:tc>
      </w:tr>
    </w:tbl>
    <w:p>
      <w:pPr>
        <w:spacing w:after="200" w:before="4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٣. الرسوم (بالجنيه المصري — ج.م)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2409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المبلغ (ج.م)</w:t>
            </w:r>
          </w:p>
        </w:tc>
        <w:tc>
          <w:tcPr>
            <w:tcW w:type="dxa" w:w="2409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التكرار</w:t>
            </w:r>
          </w:p>
        </w:tc>
        <w:tc>
          <w:tcPr>
            <w:tcW w:type="dxa" w:w="240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ملاحظات</w:t>
            </w:r>
          </w:p>
        </w:tc>
      </w:tr>
      <w:tr>
        <w:tc>
          <w:tcPr>
            <w:tcW w:type="dxa" w:w="240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رسوم الترخيص (License Fee)</w:t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مرة واحدة</w:t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رسوم الصيانة السنوية (Annual Maintenance)</w:t>
            </w:r>
          </w:p>
        </w:tc>
        <w:tc>
          <w:tcPr>
            <w:tcW w:type="dxa" w:w="2409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2409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سنوياً مقدماً</w:t>
            </w:r>
          </w:p>
        </w:tc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40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تكلفة الاستضافة التقديرية (Hosting Estimate)</w:t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شهرياً آجلاً</w:t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تمرير التكلفة الفعلية (VPS + Cloudflare)</w:t>
            </w:r>
          </w:p>
        </w:tc>
      </w:tr>
      <w:tr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الخدمات المهنية (Professional Services)</w:t>
            </w:r>
          </w:p>
        </w:tc>
        <w:tc>
          <w:tcPr>
            <w:tcW w:type="dxa" w:w="2409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2409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وفق مراحل (SOW)</w:t>
            </w:r>
          </w:p>
        </w:tc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40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أخرى</w:t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240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</w:tr>
      <w:tr>
        <w:tc>
          <w:tcPr>
            <w:tcW w:type="dxa" w:w="2409"/>
            <w:shd w:fill="E8F5E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الإجمالي التقديري للسنة الأولى</w:t>
            </w:r>
          </w:p>
        </w:tc>
        <w:tc>
          <w:tcPr>
            <w:tcW w:type="dxa" w:w="2409"/>
            <w:shd w:fill="E8F5E9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</w:r>
          </w:p>
        </w:tc>
        <w:tc>
          <w:tcPr>
            <w:tcW w:type="dxa" w:w="2409"/>
            <w:shd w:fill="E8F5E9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—</w:t>
            </w:r>
          </w:p>
        </w:tc>
        <w:tc>
          <w:tcPr>
            <w:tcW w:type="dxa" w:w="2409"/>
            <w:shd w:fill="E8F5E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</w:r>
          </w:p>
        </w:tc>
      </w:tr>
    </w:tbl>
    <w:p>
      <w:pPr>
        <w:spacing w:after="200" w:before="4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٤. جدول الدفعات (Milestone-Based)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المرحلة</w:t>
            </w:r>
          </w:p>
        </w:tc>
        <w:tc>
          <w:tcPr>
            <w:tcW w:type="dxa" w:w="1928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النسبة %</w:t>
            </w:r>
          </w:p>
        </w:tc>
        <w:tc>
          <w:tcPr>
            <w:tcW w:type="dxa" w:w="1928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المبلغ (ج.م)</w:t>
            </w:r>
          </w:p>
        </w:tc>
        <w:tc>
          <w:tcPr>
            <w:tcW w:type="dxa" w:w="1928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تاريخ الاستحقاق</w:t>
            </w:r>
          </w:p>
        </w:tc>
        <w:tc>
          <w:tcPr>
            <w:tcW w:type="dxa" w:w="1928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حالة الدفع</w:t>
            </w:r>
          </w:p>
        </w:tc>
      </w:tr>
      <w:tr>
        <w:tc>
          <w:tcPr>
            <w:tcW w:type="dxa" w:w="1928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عند التوقيع (Signing)</w:t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☐ مدفوع</w:t>
            </w:r>
          </w:p>
        </w:tc>
      </w:tr>
      <w:tr>
        <w:tc>
          <w:tcPr>
            <w:tcW w:type="dxa" w:w="1928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الإعداد والتكوين (Setup &amp; Configuration)</w:t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☐ مدفوع</w:t>
            </w:r>
          </w:p>
        </w:tc>
      </w:tr>
      <w:tr>
        <w:tc>
          <w:tcPr>
            <w:tcW w:type="dxa" w:w="1928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اختبار قبول المستخدم (UAT)</w:t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☐ مدفوع</w:t>
            </w:r>
          </w:p>
        </w:tc>
      </w:tr>
      <w:tr>
        <w:tc>
          <w:tcPr>
            <w:tcW w:type="dxa" w:w="1928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الإطلاق (Go-Live)</w:t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☐ مدفوع</w:t>
            </w:r>
          </w:p>
        </w:tc>
      </w:tr>
      <w:tr>
        <w:tc>
          <w:tcPr>
            <w:tcW w:type="dxa" w:w="1928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أخرى / دفعة نهائية</w:t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</w:r>
          </w:p>
        </w:tc>
        <w:tc>
          <w:tcPr>
            <w:tcW w:type="dxa" w:w="1928"/>
            <w:bidi w:val="1"/>
            <w:shd w:fill="F8F9FA"/>
          </w:tcPr>
          <w:p>
            <w:pPr>
              <w:jc w:val="center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☐ مدفوع</w:t>
            </w:r>
          </w:p>
        </w:tc>
      </w:tr>
    </w:tbl>
    <w:p>
      <w:pPr>
        <w:spacing w:after="200" w:before="4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٥. مستوى الدعم (Support Tier)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المستوى</w:t>
            </w:r>
          </w:p>
        </w:tc>
        <w:tc>
          <w:tcPr>
            <w:tcW w:type="dxa" w:w="240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القنوات</w:t>
            </w:r>
          </w:p>
        </w:tc>
        <w:tc>
          <w:tcPr>
            <w:tcW w:type="dxa" w:w="240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زمن الاستجابة (هدف)</w:t>
            </w:r>
          </w:p>
        </w:tc>
        <w:tc>
          <w:tcPr>
            <w:tcW w:type="dxa" w:w="2409"/>
            <w:shd w:fill="2C3E50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FFFFFF"/>
                <w:sz w:val="20"/>
              </w:rPr>
              <w:t>ساعات العمل</w:t>
            </w:r>
          </w:p>
        </w:tc>
      </w:tr>
      <w:tr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قياسي (Standard) — مشمول</w:t>
            </w:r>
          </w:p>
        </w:tc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البريد الإلكتروني + نظام التذاكر</w:t>
            </w:r>
          </w:p>
        </w:tc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حرج (P1): 4 ساعات عمل</w:t>
              <w:br/>
              <w:t>عاجل (P2): يوم عمل واحد</w:t>
              <w:br/>
              <w:t>عادي (P3): 3 أيام عمل</w:t>
            </w:r>
          </w:p>
        </w:tc>
        <w:tc>
          <w:tcPr>
            <w:tcW w:type="dxa" w:w="240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الأحد–الخميس، ٩ص–٥م (توقيت القاهرة)</w:t>
            </w:r>
          </w:p>
        </w:tc>
      </w:tr>
    </w:tbl>
    <w:p>
      <w:pPr>
        <w:spacing w:after="300" w:before="160" w:line="360" w:lineRule="auto"/>
        <w:jc w:val="right"/>
        <w:shd w:fill="FFF3CD" w:val="clear"/>
      </w:pPr>
      <w:r>
        <w:rPr>
          <w:rFonts w:ascii="Tahoma" w:hAnsi="Tahoma" w:cs="Tahoma"/>
          <w:b w:val="0"/>
          <w:color w:val="856404"/>
          <w:sz w:val="18"/>
        </w:rPr>
        <w:t>ملاحظة: لا يوجد SLA لوقت التشغيل (Uptime SLA) — جهد معقول (Best Effort). راجع اتفاقية المستوى الرئيسي للتفاصيل الكاملة.</w:t>
      </w:r>
    </w:p>
    <w:p>
      <w:pPr>
        <w:spacing w:after="200" w:before="3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٦. مدة الصيانة والتجديد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دورة الصيانة</w:t>
            </w:r>
          </w:p>
        </w:tc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سنة واحدة (تجديد تلقائي)</w:t>
            </w:r>
          </w:p>
        </w:tc>
      </w:tr>
      <w:tr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إشعار عدم التجديد</w:t>
            </w:r>
          </w:p>
        </w:tc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٦٠ يوماً قبل تاريخ التجديد (كتابةً)</w:t>
            </w:r>
          </w:p>
        </w:tc>
      </w:tr>
      <w:tr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تاريخ بداية الصيانة</w:t>
            </w:r>
          </w:p>
        </w:tc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تاريخ الإطلاق (Go-Live) — ______________________</w:t>
            </w:r>
          </w:p>
        </w:tc>
      </w:tr>
      <w:tr>
        <w:tc>
          <w:tcPr>
            <w:tcW w:type="dxa" w:w="4819"/>
            <w:bidi w:val="1"/>
            <w:shd w:fill="F8F9FA"/>
          </w:tcPr>
          <w:p>
            <w:pPr>
              <w:jc w:val="right"/>
            </w:pPr>
            <w:r/>
            <w:r>
              <w:rPr>
                <w:rFonts w:ascii="Tahoma" w:hAnsi="Tahoma" w:cs="Tahoma"/>
                <w:b/>
                <w:color w:val="1A1A1A"/>
                <w:sz w:val="20"/>
              </w:rPr>
              <w:t>تاريخ التجديد القادم</w:t>
            </w:r>
          </w:p>
        </w:tc>
        <w:tc>
          <w:tcPr>
            <w:tcW w:type="dxa" w:w="4819"/>
            <w:bidi w:val="1"/>
          </w:tcPr>
          <w:p>
            <w:pPr>
              <w:jc w:val="right"/>
            </w:pPr>
            <w:r/>
            <w:r>
              <w:rPr>
                <w:rFonts w:ascii="Tahoma" w:hAnsi="Tahoma" w:cs="Tahoma"/>
                <w:b w:val="0"/>
                <w:color w:val="1A1A1A"/>
                <w:sz w:val="20"/>
              </w:rPr>
              <w:t>______________________</w:t>
            </w:r>
          </w:p>
        </w:tc>
      </w:tr>
    </w:tbl>
    <w:p>
      <w:pPr>
        <w:spacing w:after="200" w:before="4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٧. بنود خاصة / ملاحظات إضافية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bidi w:val="1"/>
          </w:tcPr>
          <w:p>
            <w:r/>
          </w:p>
          <w:p>
            <w:pPr>
              <w:spacing w:after="240" w:line="360" w:lineRule="auto"/>
            </w:pPr>
          </w:p>
          <w:p>
            <w:pPr>
              <w:spacing w:after="240" w:line="360" w:lineRule="auto"/>
            </w:pPr>
          </w:p>
          <w:p>
            <w:pPr>
              <w:spacing w:after="240" w:line="360" w:lineRule="auto"/>
            </w:pPr>
          </w:p>
          <w:p>
            <w:pPr>
              <w:spacing w:after="240" w:line="360" w:lineRule="auto"/>
            </w:pPr>
          </w:p>
          <w:p>
            <w:pPr>
              <w:spacing w:after="240" w:line="360" w:lineRule="auto"/>
            </w:pPr>
          </w:p>
          <w:p>
            <w:pPr>
              <w:spacing w:after="240" w:line="360" w:lineRule="auto"/>
            </w:pPr>
          </w:p>
        </w:tc>
      </w:tr>
    </w:tbl>
    <w:p>
      <w:pPr>
        <w:spacing w:after="300" w:before="500" w:line="360" w:lineRule="auto"/>
        <w:jc w:val="right"/>
      </w:pPr>
      <w:r>
        <w:rPr>
          <w:rFonts w:ascii="Tahoma" w:hAnsi="Tahoma" w:cs="Tahoma"/>
          <w:b/>
          <w:color w:val="2C3E50"/>
          <w:sz w:val="28"/>
        </w:rPr>
        <w:t>٨. التوقيعات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2"/>
              </w:rPr>
              <w:t>المورد (Provider)</w:t>
            </w:r>
          </w:p>
        </w:tc>
        <w:tc>
          <w:tcPr>
            <w:tcW w:type="dxa" w:w="4819"/>
            <w:shd w:fill="2C3E50"/>
            <w:bidi w:val="1"/>
          </w:tcPr>
          <w:p>
            <w:pPr>
              <w:jc w:val="center"/>
            </w:pPr>
            <w:r/>
            <w:r>
              <w:rPr>
                <w:rFonts w:ascii="Tahoma" w:hAnsi="Tahoma" w:cs="Tahoma"/>
                <w:b/>
                <w:color w:val="FFFFFF"/>
                <w:sz w:val="22"/>
              </w:rPr>
              <w:t>العميل (Customer)</w:t>
            </w:r>
          </w:p>
        </w:tc>
      </w:tr>
      <w:tr>
        <w:tc>
          <w:tcPr>
            <w:tcW w:type="dxa" w:w="4819"/>
            <w:bidi w:val="1"/>
          </w:tcPr>
          <w:p>
            <w:r/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الاسم: ___________________________________</w:t>
            </w:r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الصفة/المنصب: ___________________________________</w:t>
            </w:r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التاريخ: ___________________________________</w:t>
            </w:r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التوقيع: ___________________________________</w:t>
            </w:r>
          </w:p>
        </w:tc>
        <w:tc>
          <w:tcPr>
            <w:tcW w:type="dxa" w:w="4819"/>
            <w:bidi w:val="1"/>
          </w:tcPr>
          <w:p>
            <w:r/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الاسم: ___________________________________</w:t>
            </w:r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الصفة/المنصب: ___________________________________</w:t>
            </w:r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التاريخ: ___________________________________</w:t>
            </w:r>
          </w:p>
          <w:p>
            <w:pPr>
              <w:spacing w:after="240" w:line="360" w:lineRule="auto"/>
              <w:jc w:val="right"/>
            </w:pPr>
            <w:r>
              <w:rPr>
                <w:rFonts w:ascii="Tahoma" w:hAnsi="Tahoma" w:cs="Tahoma"/>
                <w:color w:val="1A1A1A"/>
                <w:sz w:val="20"/>
              </w:rPr>
              <w:t>التوقيع: ___________________________________</w:t>
            </w:r>
          </w:p>
        </w:tc>
      </w:tr>
    </w:tbl>
    <w:p>
      <w:pPr>
        <w:spacing w:after="120" w:before="600" w:line="360" w:lineRule="auto"/>
        <w:jc w:val="center"/>
      </w:pPr>
      <w:r>
        <w:rPr>
          <w:rFonts w:ascii="Tahoma" w:hAnsi="Tahoma" w:cs="Tahoma"/>
          <w:b w:val="0"/>
          <w:color w:val="999999"/>
          <w:sz w:val="18"/>
        </w:rPr>
        <w:t>هذه الوثيقة ملخص للصفقة فقط. الاتفاقية الملزمة هي "اتفاقية ترخيص برمجيات JAWLA" الموقعة من الطرفين.</w:t>
      </w:r>
    </w:p>
    <w:p>
      <w:pPr>
        <w:spacing w:after="120" w:before="0" w:line="360" w:lineRule="auto"/>
        <w:jc w:val="center"/>
      </w:pPr>
      <w:r>
        <w:rPr>
          <w:rFonts w:ascii="Tahoma" w:hAnsi="Tahoma" w:cs="Tahoma"/>
          <w:b w:val="0"/>
          <w:color w:val="999999"/>
          <w:sz w:val="16"/>
        </w:rPr>
        <w:t>JAWLA Software License Agreement — Deal Summary Template v1.0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ahoma" w:hAnsi="Tahom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