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Biweekly Reports Group P06</w:t>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b w:val="1"/>
          <w:rtl w:val="0"/>
        </w:rPr>
        <w:t xml:space="preserve">Week 1 and Week 2 (12th-September 2023 - 25th September 2023):</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All our group members explored various databases for CRUD including UnQlite, Polodb and ejdb. We ran benchmarks on each of the reads and writes of all the databases and decided to finalize EJDB (an embedded NoSql Database) for our project.</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We also completed our deliverable for System Requirements this same week.</w:t>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Week 3 and Week 4 (26th-September 2023 - 8th-October 2023):</w:t>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held 2 meetings to discuss the SRS document and decided all the classes and methods. And we completed our Requirements Specification document for submission.</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Week 5 (9th October 2023 - 15th-October 2023):</w:t>
      </w:r>
    </w:p>
    <w:p w:rsidR="00000000" w:rsidDel="00000000" w:rsidP="00000000" w:rsidRDefault="00000000" w:rsidRPr="00000000" w14:paraId="0000000F">
      <w:pPr>
        <w:jc w:val="left"/>
        <w:rPr>
          <w:b w:val="1"/>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We held an online meeting and discussed the architectural document and it’s requirements. We discussed the components of the Architecture Diagram and the design patterns for it.</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We completed our High Level Architecture Diagram and submitted it on the 15th of October 2023.</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