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B5E"/>
          <w:sz w:val="52"/>
          <w:szCs w:val="52"/>
        </w:rPr>
        <w:t xml:space="preserve">دليل بناء البراند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7A8099"/>
          <w:sz w:val="28"/>
          <w:szCs w:val="28"/>
        </w:rPr>
        <w:t xml:space="preserve">Brand Building Guide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F0A500"/>
          <w:sz w:val="24"/>
          <w:szCs w:val="24"/>
        </w:rPr>
        <w:t xml:space="preserve">٨ خطوات عملية ومفصلة لبناء براند ناجح من الصفر</w:t>
      </w:r>
    </w:p>
    <w:p>
      <w:pPr>
        <w:pStyle w:val="Heading1"/>
        <w:shd w:fill="1B2B5E" w:val="clear"/>
        <w:spacing w:after="120" w:before="320"/>
        <w:ind w:left="200"/>
      </w:pPr>
      <w:r>
        <w:rPr>
          <w:rFonts w:ascii="Arial" w:cs="Arial" w:eastAsia="Arial" w:hAnsi="Arial"/>
          <w:b/>
          <w:bCs/>
          <w:color w:val="FFFFFF"/>
        </w:rPr>
        <w:t xml:space="preserve">محتويات الدليل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01</w:t>
            </w:r>
          </w:p>
        </w:tc>
        <w:tc>
          <w:tcPr>
            <w:tcW w:type="dxa" w:w="5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حدد أساس البراند</w:t>
            </w:r>
          </w:p>
        </w:tc>
        <w:tc>
          <w:tcPr>
            <w:tcW w:type="dxa" w:w="3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Core Foundation</w:t>
            </w:r>
          </w:p>
        </w:tc>
      </w:tr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EEF1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02</w:t>
            </w:r>
          </w:p>
        </w:tc>
        <w:tc>
          <w:tcPr>
            <w:tcW w:type="dxa" w:w="5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اعرف جمهورك المستهدف</w:t>
            </w:r>
          </w:p>
        </w:tc>
        <w:tc>
          <w:tcPr>
            <w:tcW w:type="dxa" w:w="3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Know Your Audience</w:t>
            </w:r>
          </w:p>
        </w:tc>
      </w:tr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03</w:t>
            </w:r>
          </w:p>
        </w:tc>
        <w:tc>
          <w:tcPr>
            <w:tcW w:type="dxa" w:w="5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بنِ الهوية البصرية</w:t>
            </w:r>
          </w:p>
        </w:tc>
        <w:tc>
          <w:tcPr>
            <w:tcW w:type="dxa" w:w="3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Visual Identity</w:t>
            </w:r>
          </w:p>
        </w:tc>
      </w:tr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EEF1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04</w:t>
            </w:r>
          </w:p>
        </w:tc>
        <w:tc>
          <w:tcPr>
            <w:tcW w:type="dxa" w:w="5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حدد صوت ونبرة البراند</w:t>
            </w:r>
          </w:p>
        </w:tc>
        <w:tc>
          <w:tcPr>
            <w:tcW w:type="dxa" w:w="3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Brand Voice &amp; Tone</w:t>
            </w:r>
          </w:p>
        </w:tc>
      </w:tr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05</w:t>
            </w:r>
          </w:p>
        </w:tc>
        <w:tc>
          <w:tcPr>
            <w:tcW w:type="dxa" w:w="5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ضع استراتيجية البراند</w:t>
            </w:r>
          </w:p>
        </w:tc>
        <w:tc>
          <w:tcPr>
            <w:tcW w:type="dxa" w:w="3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Brand Strategy</w:t>
            </w:r>
          </w:p>
        </w:tc>
      </w:tr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EEF1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06</w:t>
            </w:r>
          </w:p>
        </w:tc>
        <w:tc>
          <w:tcPr>
            <w:tcW w:type="dxa" w:w="5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اشتغل على البراند الأونلاين</w:t>
            </w:r>
          </w:p>
        </w:tc>
        <w:tc>
          <w:tcPr>
            <w:tcW w:type="dxa" w:w="3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Online Branding</w:t>
            </w:r>
          </w:p>
        </w:tc>
      </w:tr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07</w:t>
            </w:r>
          </w:p>
        </w:tc>
        <w:tc>
          <w:tcPr>
            <w:tcW w:type="dxa" w:w="5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احمِ براندك قانونياً</w:t>
            </w:r>
          </w:p>
        </w:tc>
        <w:tc>
          <w:tcPr>
            <w:tcW w:type="dxa" w:w="3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Brand Protection</w:t>
            </w:r>
          </w:p>
        </w:tc>
      </w:tr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EEF1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08</w:t>
            </w:r>
          </w:p>
        </w:tc>
        <w:tc>
          <w:tcPr>
            <w:tcW w:type="dxa" w:w="5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قيّم وطور باستمرار</w:t>
            </w:r>
          </w:p>
        </w:tc>
        <w:tc>
          <w:tcPr>
            <w:tcW w:type="dxa" w:w="3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4F6FB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Audit &amp; Refine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8"/>
                <w:szCs w:val="28"/>
              </w:rPr>
              <w:t xml:space="preserve">01</w:t>
            </w:r>
          </w:p>
        </w:tc>
        <w:tc>
          <w:tcPr>
            <w:tcW w:type="dxa" w:w="8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1B2B5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حدد أساس البراند  </w:t>
            </w:r>
            <w:r>
              <w:rPr>
                <w:rFonts w:ascii="Arial" w:cs="Arial" w:eastAsia="Arial" w:hAnsi="Arial"/>
                <w:b w:val="false"/>
                <w:bCs w:val="false"/>
                <w:color w:val="B0BCDF"/>
                <w:sz w:val="22"/>
                <w:szCs w:val="22"/>
              </w:rPr>
              <w:t xml:space="preserve">| Core Foundation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البداية الحقيقية لأي براند ناجح هي فهم سبب وجوده. قبل ما تفكر في الألوان أو اللوجو، لازم تحدد الـ WHY بتاعك.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التعليمات التفصيلية: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اكتب جملة واحدة تلخص سبب وجود شركتك (Mission Statement)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حدد الرؤية المستقبلية (أين تريد أن تكون بعد 5-10 سنوات؟)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اكتب 3-5 قيم جوهرية تحكم قراراتك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اصنع Unique Value Proposition (UVP) واضح ومختصر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حقول البيانات — يُملأ من قِبلك: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الـ WHY / Mission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الرؤية المستقبلية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القيم الجوهرية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الـ UVP (ما يميزك)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جوهر البراند (كلمتان)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thick" w:color="F0A500" w:sz="12"/>
              <w:bottom w:val="single" w:color="F0A500" w:sz="2"/>
              <w:right w:val="single" w:color="F0A500" w:sz="2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20"/>
                <w:szCs w:val="20"/>
              </w:rPr>
              <w:t xml:space="preserve">💡 استلهم من Golden Circle: ابدأ بالـ WHY مش الـ WHAT. مثال: Apple لا تبيع كمبيوترات — تحدى التفكير التقليدي.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8"/>
                <w:szCs w:val="28"/>
              </w:rPr>
              <w:t xml:space="preserve">02</w:t>
            </w:r>
          </w:p>
        </w:tc>
        <w:tc>
          <w:tcPr>
            <w:tcW w:type="dxa" w:w="8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1B2B5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اعرف جمهورك المستهدف  </w:t>
            </w:r>
            <w:r>
              <w:rPr>
                <w:rFonts w:ascii="Arial" w:cs="Arial" w:eastAsia="Arial" w:hAnsi="Arial"/>
                <w:b w:val="false"/>
                <w:bCs w:val="false"/>
                <w:color w:val="B0BCDF"/>
                <w:sz w:val="22"/>
                <w:szCs w:val="22"/>
              </w:rPr>
              <w:t xml:space="preserve">| Know Your Audience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البراند الناجح بيتكلم مع شخص محدد، مش مع الكل. كلما كنت أدق في تحديد جمهورك، كان تأثيرك أقوى.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التعليمات التفصيلية: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ابحث في الإنترنت والسوق عن عملائك المحتملين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اعمل Customer Persona مفصلة لكل شريحة عملاء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حدد الاحتياجات والمشكلات اللي بيعاني منها جمهورك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فكر في التأثير العاطفي المطلوب (تشعره بأيه؟)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حقول البيانات — يُملأ من قِبلك: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الفئة العمرية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الاهتمامات والهوايات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المشكلات والاحتياجات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قنوات التواصل المفضلة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التأثير العاطفي المطلوب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thick" w:color="F0A500" w:sz="12"/>
              <w:bottom w:val="single" w:color="F0A500" w:sz="2"/>
              <w:right w:val="single" w:color="F0A500" w:sz="2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20"/>
                <w:szCs w:val="20"/>
              </w:rPr>
              <w:t xml:space="preserve">💡 الفرق بين المنتج والبراند: المنتج هو ما يحتاجه العميل (Need)، والبراند هو ما يريده (Want). مثال: ماء عادي vs مياه Perrier.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8"/>
                <w:szCs w:val="28"/>
              </w:rPr>
              <w:t xml:space="preserve">03</w:t>
            </w:r>
          </w:p>
        </w:tc>
        <w:tc>
          <w:tcPr>
            <w:tcW w:type="dxa" w:w="8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1B2B5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بنِ الهوية البصرية  </w:t>
            </w:r>
            <w:r>
              <w:rPr>
                <w:rFonts w:ascii="Arial" w:cs="Arial" w:eastAsia="Arial" w:hAnsi="Arial"/>
                <w:b w:val="false"/>
                <w:bCs w:val="false"/>
                <w:color w:val="B0BCDF"/>
                <w:sz w:val="22"/>
                <w:szCs w:val="22"/>
              </w:rPr>
              <w:t xml:space="preserve">| Visual Identity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الهوية البصرية هي 'وجه' براندك. اللوجو والألوان والخطوط هي أول ما يراه العميل وآخر ما ينساه.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التعليمات التفصيلية: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اختار اسم مميز سهل النطق والتذكر (راجع 6 أنواع أسماء البراند)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صمم لوجو بسيط يشتغل بكل الأحجام وبالأبيض والأسود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حدد Color Palette (2-3 ألوان أساسية + ألوان داعمة)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اختار Typography مناسب لشخصية البراند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حقول البيانات — يُملأ من قِبلك: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اسم البراند ونوعه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نوع اللوجو (Wordmark/Icon/Combo)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الألوان الأساسية (كود Hex)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الخطوط المختارة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الشكل/التغليف (إن وُجد)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thick" w:color="F0A500" w:sz="12"/>
              <w:bottom w:val="single" w:color="F0A500" w:sz="2"/>
              <w:right w:val="single" w:color="F0A500" w:sz="2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20"/>
                <w:szCs w:val="20"/>
              </w:rPr>
              <w:t xml:space="preserve">💡 Nike Swoosh = السرعة والحركة. FedEx = سهم خفي بين E و X يرمز للسرعة. الرموز البصرية الناجحة دايما بتحكي قصة.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8"/>
                <w:szCs w:val="28"/>
              </w:rPr>
              <w:t xml:space="preserve">04</w:t>
            </w:r>
          </w:p>
        </w:tc>
        <w:tc>
          <w:tcPr>
            <w:tcW w:type="dxa" w:w="8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1B2B5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حدد صوت ونبرة البراند  </w:t>
            </w:r>
            <w:r>
              <w:rPr>
                <w:rFonts w:ascii="Arial" w:cs="Arial" w:eastAsia="Arial" w:hAnsi="Arial"/>
                <w:b w:val="false"/>
                <w:bCs w:val="false"/>
                <w:color w:val="B0BCDF"/>
                <w:sz w:val="22"/>
                <w:szCs w:val="22"/>
              </w:rPr>
              <w:t xml:space="preserve">| Brand Voice &amp; Tone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الصوت (Voice) ثابت يمثل شخصيتك، والنبرة (Tone) تتغير حسب السياق. الاثنين مع بعض بيحددوا كيف يتكلم براندك مع الناس.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التعليمات التفصيلية: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حدد شخصية البراند (من بين: Sincerity, Excitement, Competence, Sophistication, Ruggedness)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اكتب Brand Story مقنعة تبين الـ WHY بطريقة إنسانية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حدد الـ Voice: رسمي أم ودود؟ مرح أم جاد؟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اكتب Brand Mantra (3-5 كلمات داخلية للفريق)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حقول البيانات — يُملأ من قِبلك: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شخصية البراند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الـ Brand Story (ملخص)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الـ Voice (وصف الطريقة)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Brand Mantra (جملة قصيرة)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الـ Tagline الخارجي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thick" w:color="F0A500" w:sz="12"/>
              <w:bottom w:val="single" w:color="F0A500" w:sz="2"/>
              <w:right w:val="single" w:color="F0A500" w:sz="2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20"/>
                <w:szCs w:val="20"/>
              </w:rPr>
              <w:t xml:space="preserve">💡 مثال: Nike Voice = قوي وملهم. Mailchimp Voice = ودود ومبسط. Apple Voice = واضح وأنيق. الـ Voice يبقى ثابت، الـ Tone بيتغير.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8"/>
                <w:szCs w:val="28"/>
              </w:rPr>
              <w:t xml:space="preserve">05</w:t>
            </w:r>
          </w:p>
        </w:tc>
        <w:tc>
          <w:tcPr>
            <w:tcW w:type="dxa" w:w="8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1B2B5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ضع استراتيجية البراند  </w:t>
            </w:r>
            <w:r>
              <w:rPr>
                <w:rFonts w:ascii="Arial" w:cs="Arial" w:eastAsia="Arial" w:hAnsi="Arial"/>
                <w:b w:val="false"/>
                <w:bCs w:val="false"/>
                <w:color w:val="B0BCDF"/>
                <w:sz w:val="22"/>
                <w:szCs w:val="22"/>
              </w:rPr>
              <w:t xml:space="preserve">| Brand Strategy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استراتيجية البراند هي خطتك لكيفية توصيل رسالتك وتوزيعها على الجمهور المناسب في المكان والوقت الصح.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التعليمات التفصيلية: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حدد نوع استراتيجية البراند (Line Extension / Brand Extension / Multi-branding / New Brand)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حدد قنوات التوزيع والتسويق المناسبة لجمهورك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ضع Brand Positioning واضح في ذهن العميل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قرر Family Branding أم Individual Branding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حقول البيانات — يُملأ من قِبلك: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نوع الاستراتيجية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قنوات التوزيع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Brand Positioning (كيف تريد أن يتذكرك؟)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هيكل البراند (Family/Individual)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المنافسون الرئيسيون وكيف تتميز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thick" w:color="F0A500" w:sz="12"/>
              <w:bottom w:val="single" w:color="F0A500" w:sz="2"/>
              <w:right w:val="single" w:color="F0A500" w:sz="2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20"/>
                <w:szCs w:val="20"/>
              </w:rPr>
              <w:t xml:space="preserve">💡 مثال Virgin: بدأوا بالموسيقى ثم الطيران والاتصالات والبنوك — Brand Extension ناجح بسبب قيمة البراند الأصلية.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8"/>
                <w:szCs w:val="28"/>
              </w:rPr>
              <w:t xml:space="preserve">06</w:t>
            </w:r>
          </w:p>
        </w:tc>
        <w:tc>
          <w:tcPr>
            <w:tcW w:type="dxa" w:w="8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1B2B5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اشتغل على البراند الأونلاين  </w:t>
            </w:r>
            <w:r>
              <w:rPr>
                <w:rFonts w:ascii="Arial" w:cs="Arial" w:eastAsia="Arial" w:hAnsi="Arial"/>
                <w:b w:val="false"/>
                <w:bCs w:val="false"/>
                <w:color w:val="B0BCDF"/>
                <w:sz w:val="22"/>
                <w:szCs w:val="22"/>
              </w:rPr>
              <w:t xml:space="preserve">| Online Branding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الأونلاين هو المكان اللي فيه جمهورك الآن. الحضور الرقمي المتسق والقوي هو امتداد طبيعي لهويتك الكاملة.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التعليمات التفصيلية: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أنشئ موقع إلكتروني يعكس هوية البراند بالكامل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حدد المنصات الأنسب لجمهورك (Instagram, LinkedIn, TikTok...)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ضع خطة محتوى منتظمة لمشاركة قصة البراند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شجع User-Generated Content وطور Influencer Network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حقول البيانات — يُملأ من قِبلك: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المنصات المختارة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نوع المحتوى المخطط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استراتيجية UGC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قائمة Influencers المستهدفين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نظام مكافأة العملاء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thick" w:color="F0A500" w:sz="12"/>
              <w:bottom w:val="single" w:color="F0A500" w:sz="2"/>
              <w:right w:val="single" w:color="F0A500" w:sz="2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20"/>
                <w:szCs w:val="20"/>
              </w:rPr>
              <w:t xml:space="preserve">💡 التناسق الأونلاين مع الأوفلاين ضروري: نفس الألوان، نفس الخطوط، نفس النبرة في كل مكان — الموقع، السوشيال، الفروع.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8"/>
                <w:szCs w:val="28"/>
              </w:rPr>
              <w:t xml:space="preserve">07</w:t>
            </w:r>
          </w:p>
        </w:tc>
        <w:tc>
          <w:tcPr>
            <w:tcW w:type="dxa" w:w="8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1B2B5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احمِ براندك قانونياً  </w:t>
            </w:r>
            <w:r>
              <w:rPr>
                <w:rFonts w:ascii="Arial" w:cs="Arial" w:eastAsia="Arial" w:hAnsi="Arial"/>
                <w:b w:val="false"/>
                <w:bCs w:val="false"/>
                <w:color w:val="B0BCDF"/>
                <w:sz w:val="22"/>
                <w:szCs w:val="22"/>
              </w:rPr>
              <w:t xml:space="preserve">| Brand Protection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براندك الناجح معرض للتقليد. الحماية القانونية المبكرة توفر عليك خسائر ضخمة مستقبلاً.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التعليمات التفصيلية: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سجل Trademark للاسم واللوجو لدى الجهات الرسمية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احصل على حقوق الملكية الفكرية للمحتوى الإبداعي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أنشئ Patent للاختراعات والعمليات الفريدة (إن وُجد)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راقب السوق بانتظام وتابع أي تقليد أو انتهاك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حقول البيانات — يُملأ من قِبلك: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Trademark (مسجل / قيد التسجيل)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حقوق النشر المطلوبة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Patents (إن وُجدت)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الجهة الرسمية للتسجيل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خطة المراقبة والتصدي للتقليد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thick" w:color="F0A500" w:sz="12"/>
              <w:bottom w:val="single" w:color="F0A500" w:sz="2"/>
              <w:right w:val="single" w:color="F0A500" w:sz="2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20"/>
                <w:szCs w:val="20"/>
              </w:rPr>
              <w:t xml:space="preserve">💡 المنتجات المقلدة تضر بالسمعة لأن العميل يحكم على البراند الأصلي بناءً على جودة المنتج المقلد. التسجيل المبكر ضروري.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5E"/>
                <w:sz w:val="28"/>
                <w:szCs w:val="28"/>
              </w:rPr>
              <w:t xml:space="preserve">08</w:t>
            </w:r>
          </w:p>
        </w:tc>
        <w:tc>
          <w:tcPr>
            <w:tcW w:type="dxa" w:w="83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1B2B5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قيّم وطور باستمرار  </w:t>
            </w:r>
            <w:r>
              <w:rPr>
                <w:rFonts w:ascii="Arial" w:cs="Arial" w:eastAsia="Arial" w:hAnsi="Arial"/>
                <w:b w:val="false"/>
                <w:bCs w:val="false"/>
                <w:color w:val="B0BCDF"/>
                <w:sz w:val="22"/>
                <w:szCs w:val="22"/>
              </w:rPr>
              <w:t xml:space="preserve">| Audit &amp; Refine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البراند الناجح مش ثابت — يتطور مع الوقت والسوق والجمهور. التقييم المنتظم هو سر الاستدامة.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التعليمات التفصيلية: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اعمل SWOT Analysis كامل لبراندك بانتظام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اجمع Feedback من العملاء والموظفين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قيس Brand Equity: الوعي، الولاء، الجودة المدركة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تأكد من Consistency في كل نقاط التواصل مع العميل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B5E"/>
        </w:rPr>
        <w:t xml:space="preserve">حقول البيانات — يُملأ من قِبلك: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نقاط القوة (Strengths)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نقاط الضعف (Weaknesses)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الفرص (Opportunities)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التهديدات (Threats)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shd w:fill="D8DE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مؤشرات Brand Equity للمتابعة</w:t>
            </w:r>
          </w:p>
        </w:tc>
        <w:tc>
          <w:tcPr>
            <w:tcW w:type="dxa" w:w="6960"/>
            <w:tcBorders>
              <w:top w:val="single" w:color="C8D0E8" w:sz="1"/>
              <w:left w:val="single" w:color="C8D0E8" w:sz="1"/>
              <w:bottom w:val="single" w:color="C8D0E8" w:sz="1"/>
              <w:right w:val="single" w:color="C8D0E8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thick" w:color="F0A500" w:sz="12"/>
              <w:bottom w:val="single" w:color="F0A500" w:sz="2"/>
              <w:right w:val="single" w:color="F0A500" w:sz="2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20"/>
                <w:szCs w:val="20"/>
              </w:rPr>
              <w:t xml:space="preserve">💡 Pepsi طورت اللوجو أكثر من 10 مرات مع الحفاظ على جوهر البراند. التطوير لا يعني التغيير الكامل — بل التحسين المستمر.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2B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2026-05-12T09:06:45.501Z</dcterms:created>
  <dcterms:modified xsi:type="dcterms:W3CDTF">2026-05-12T09:06:45.501Z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