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rPr>
          <w:rFonts w:ascii="Arial" w:hAnsi="Arial"/>
          <w:b/>
          <w:color w:val="22703F"/>
          <w:sz w:val="48"/>
        </w:rPr>
        <w:t>Zar3a Agricultural Platform</w:t>
      </w:r>
    </w:p>
    <w:p>
      <w:pPr>
        <w:spacing w:after="720"/>
        <w:jc w:val="center"/>
      </w:pPr>
      <w:r>
        <w:rPr>
          <w:rFonts w:ascii="Arial" w:hAnsi="Arial"/>
          <w:i/>
          <w:color w:val="505050"/>
          <w:sz w:val="28"/>
        </w:rPr>
        <w:t>System Design &amp; Specifications (Sections 1.6 - 1.10)</w:t>
      </w:r>
    </w:p>
    <w:p>
      <w:pPr>
        <w:keepNext/>
        <w:spacing w:before="480" w:after="160"/>
      </w:pPr>
      <w:r>
        <w:rPr>
          <w:rFonts w:ascii="Arial" w:hAnsi="Arial"/>
          <w:b/>
          <w:color w:val="22703F"/>
          <w:sz w:val="36"/>
        </w:rPr>
        <w:t>1.6 Project Contribution</w:t>
      </w:r>
    </w:p>
    <w:p>
      <w:pPr>
        <w:spacing w:after="160" w:line="276" w:lineRule="auto"/>
      </w:pPr>
      <w:r>
        <w:rPr>
          <w:rFonts w:ascii="Arial" w:hAnsi="Arial"/>
          <w:color w:val="333333"/>
          <w:sz w:val="22"/>
        </w:rPr>
        <w:t>The Zar3a (Arabic for 'Crop' or 'Plant') platform is a pioneer digital agricultural ecosystem that solves the fragmentation present in contemporary agritech applications. Traditional platforms separate grain and crop trading, supply purchase, expert agricultural consultation, and AI automated diagnostics. By unifying these components, Zar3a introduces the following innovations:</w:t>
      </w:r>
    </w:p>
    <w:p>
      <w:pPr>
        <w:pStyle w:val="ListBullet"/>
        <w:spacing w:after="80" w:line="276" w:lineRule="auto"/>
      </w:pPr>
      <w:r>
        <w:rPr>
          <w:rFonts w:ascii="Arial" w:hAnsi="Arial"/>
          <w:b/>
          <w:color w:val="333333"/>
          <w:sz w:val="22"/>
        </w:rPr>
        <w:t>Unified Market Hub:</w:t>
      </w:r>
      <w:r>
        <w:rPr>
          <w:rFonts w:ascii="Arial" w:hAnsi="Arial"/>
          <w:color w:val="333333"/>
          <w:sz w:val="22"/>
        </w:rPr>
        <w:t xml:space="preserve"> A central marketplace connecting farmers directly to retail and wholesale buyers (for crop selling) and directly to machinery/raw-material suppliers (for buying farming inputs like seeds and fertilizer). This removes middle-agents and improves financial margins for local producers.</w:t>
      </w:r>
    </w:p>
    <w:p>
      <w:pPr>
        <w:pStyle w:val="ListBullet"/>
        <w:spacing w:after="80" w:line="276" w:lineRule="auto"/>
      </w:pPr>
      <w:r>
        <w:rPr>
          <w:rFonts w:ascii="Arial" w:hAnsi="Arial"/>
          <w:b/>
          <w:color w:val="333333"/>
          <w:sz w:val="22"/>
        </w:rPr>
        <w:t>Groq AI-Driven Diagnostics:</w:t>
      </w:r>
      <w:r>
        <w:rPr>
          <w:rFonts w:ascii="Arial" w:hAnsi="Arial"/>
          <w:color w:val="333333"/>
          <w:sz w:val="22"/>
        </w:rPr>
        <w:t xml:space="preserve"> An interactive chat system connected directly to Groq LLaMA models. It answers agricultural queries, diagnoses crop diseases, and suggests precise fertilization/watering schedules. The client-side is designed with an intelligent fallback offline response mode to ensure consistent reliability in areas with spotty network coverage.</w:t>
      </w:r>
    </w:p>
    <w:p>
      <w:pPr>
        <w:pStyle w:val="ListBullet"/>
        <w:spacing w:after="80" w:line="276" w:lineRule="auto"/>
      </w:pPr>
      <w:r>
        <w:rPr>
          <w:rFonts w:ascii="Arial" w:hAnsi="Arial"/>
          <w:b/>
          <w:color w:val="333333"/>
          <w:sz w:val="22"/>
        </w:rPr>
        <w:t>Strict Role-Based Gating &amp; Quality Assurance:</w:t>
      </w:r>
      <w:r>
        <w:rPr>
          <w:rFonts w:ascii="Arial" w:hAnsi="Arial"/>
          <w:color w:val="333333"/>
          <w:sz w:val="22"/>
        </w:rPr>
        <w:t xml:space="preserve"> Protection mechanisms requiring administrative verification of licenses (Suppliers) and academic credentials/CVs (Agro-Experts) prior to service deployment. This maintains high quality standards and mitigates fraud.</w:t>
      </w:r>
    </w:p>
    <w:p>
      <w:pPr>
        <w:pStyle w:val="ListBullet"/>
        <w:spacing w:after="80" w:line="276" w:lineRule="auto"/>
      </w:pPr>
      <w:r>
        <w:rPr>
          <w:rFonts w:ascii="Arial" w:hAnsi="Arial"/>
          <w:b/>
          <w:color w:val="333333"/>
          <w:sz w:val="22"/>
        </w:rPr>
        <w:t>Data-Driven Analytics:</w:t>
      </w:r>
      <w:r>
        <w:rPr>
          <w:rFonts w:ascii="Arial" w:hAnsi="Arial"/>
          <w:color w:val="333333"/>
          <w:sz w:val="22"/>
        </w:rPr>
        <w:t xml:space="preserve"> Interactive dashboards using Recharts to present sales curves, yield volumes, and consultation metrics, giving users clear insights into their farming business activities.</w:t>
      </w:r>
    </w:p>
    <w:p>
      <w:pPr>
        <w:keepNext/>
        <w:spacing w:before="480" w:after="160"/>
      </w:pPr>
      <w:r>
        <w:rPr>
          <w:rFonts w:ascii="Arial" w:hAnsi="Arial"/>
          <w:b/>
          <w:color w:val="22703F"/>
          <w:sz w:val="36"/>
        </w:rPr>
        <w:t>1.7 System Features</w:t>
      </w:r>
    </w:p>
    <w:p>
      <w:pPr>
        <w:spacing w:after="160" w:line="276" w:lineRule="auto"/>
      </w:pPr>
      <w:r>
        <w:rPr>
          <w:rFonts w:ascii="Arial" w:hAnsi="Arial"/>
          <w:color w:val="333333"/>
          <w:sz w:val="22"/>
        </w:rPr>
        <w:t>Zar3a is built around several core operational modules, offering specialized functionalities tailored to distinct agricultural profiles:</w:t>
      </w:r>
    </w:p>
    <w:p>
      <w:pPr>
        <w:keepNext/>
        <w:spacing w:before="320" w:after="120"/>
      </w:pPr>
      <w:r>
        <w:rPr>
          <w:rFonts w:ascii="Arial" w:hAnsi="Arial"/>
          <w:b/>
          <w:color w:val="22703F"/>
          <w:sz w:val="26"/>
        </w:rPr>
        <w:t>1. Access Security &amp; Authentication</w:t>
      </w:r>
    </w:p>
    <w:p>
      <w:pPr>
        <w:pStyle w:val="ListBullet"/>
        <w:spacing w:after="80" w:line="276" w:lineRule="auto"/>
      </w:pPr>
      <w:r>
        <w:rPr>
          <w:rFonts w:ascii="Arial" w:hAnsi="Arial"/>
          <w:color w:val="333333"/>
          <w:sz w:val="22"/>
        </w:rPr>
        <w:t>Standard registration and login backed by bcrypt hashing and secure JWT authentication sessions.</w:t>
      </w:r>
    </w:p>
    <w:p>
      <w:pPr>
        <w:pStyle w:val="ListBullet"/>
        <w:spacing w:after="80" w:line="276" w:lineRule="auto"/>
      </w:pPr>
      <w:r>
        <w:rPr>
          <w:rFonts w:ascii="Arial" w:hAnsi="Arial"/>
          <w:color w:val="333333"/>
          <w:sz w:val="22"/>
        </w:rPr>
        <w:t>Dynamic route shielding: Buyer users are automatically restricted from accessing farm/supplier dashboard tabs in the UI.</w:t>
      </w:r>
    </w:p>
    <w:p>
      <w:pPr>
        <w:pStyle w:val="ListBullet"/>
        <w:spacing w:after="80" w:line="276" w:lineRule="auto"/>
      </w:pPr>
      <w:r>
        <w:rPr>
          <w:rFonts w:ascii="Arial" w:hAnsi="Arial"/>
          <w:color w:val="333333"/>
          <w:sz w:val="22"/>
        </w:rPr>
        <w:t>Status verification flags: Unapproved experts or suppliers remain in a pending state until administrators approve them.</w:t>
      </w:r>
    </w:p>
    <w:p>
      <w:pPr>
        <w:keepNext/>
        <w:spacing w:before="320" w:after="120"/>
      </w:pPr>
      <w:r>
        <w:rPr>
          <w:rFonts w:ascii="Arial" w:hAnsi="Arial"/>
          <w:b/>
          <w:color w:val="22703F"/>
          <w:sz w:val="26"/>
        </w:rPr>
        <w:t>2. Multi-Tier Agricultural Marketplace</w:t>
      </w:r>
    </w:p>
    <w:p>
      <w:pPr>
        <w:pStyle w:val="ListBullet"/>
        <w:spacing w:after="80" w:line="276" w:lineRule="auto"/>
      </w:pPr>
      <w:r>
        <w:rPr>
          <w:rFonts w:ascii="Arial" w:hAnsi="Arial"/>
          <w:color w:val="333333"/>
          <w:sz w:val="22"/>
        </w:rPr>
        <w:t>Dual catalog indexing: A marketplace for retail buyers to purchase crop yields and another for farmers to buy agricultural inputs.</w:t>
      </w:r>
    </w:p>
    <w:p>
      <w:pPr>
        <w:pStyle w:val="ListBullet"/>
        <w:spacing w:after="80" w:line="276" w:lineRule="auto"/>
      </w:pPr>
      <w:r>
        <w:rPr>
          <w:rFonts w:ascii="Arial" w:hAnsi="Arial"/>
          <w:color w:val="333333"/>
          <w:sz w:val="22"/>
        </w:rPr>
        <w:t>Shopping Cart &amp; Checkout: Integrates full product search, dynamic filtering, active cart structures, and safe Stripe credit card payments.</w:t>
      </w:r>
    </w:p>
    <w:p>
      <w:pPr>
        <w:keepNext/>
        <w:spacing w:before="320" w:after="120"/>
      </w:pPr>
      <w:r>
        <w:rPr>
          <w:rFonts w:ascii="Arial" w:hAnsi="Arial"/>
          <w:b/>
          <w:color w:val="22703F"/>
          <w:sz w:val="26"/>
        </w:rPr>
        <w:t>3. Professional Consultations &amp; Chat</w:t>
      </w:r>
    </w:p>
    <w:p>
      <w:pPr>
        <w:pStyle w:val="ListBullet"/>
        <w:spacing w:after="80" w:line="276" w:lineRule="auto"/>
      </w:pPr>
      <w:r>
        <w:rPr>
          <w:rFonts w:ascii="Arial" w:hAnsi="Arial"/>
          <w:color w:val="333333"/>
          <w:sz w:val="22"/>
        </w:rPr>
        <w:t>Active directory displaying expert qualification cards (years of experience, degree, pricing) directly synchronized with the database.</w:t>
      </w:r>
    </w:p>
    <w:p>
      <w:pPr>
        <w:pStyle w:val="ListBullet"/>
        <w:spacing w:after="80" w:line="276" w:lineRule="auto"/>
      </w:pPr>
      <w:r>
        <w:rPr>
          <w:rFonts w:ascii="Arial" w:hAnsi="Arial"/>
          <w:color w:val="333333"/>
          <w:sz w:val="22"/>
        </w:rPr>
        <w:t>Integrated peer-to-peer text chat client letting users get instant answers or schedule crop visits.</w:t>
      </w:r>
    </w:p>
    <w:p>
      <w:pPr>
        <w:keepNext/>
        <w:spacing w:before="320" w:after="120"/>
      </w:pPr>
      <w:r>
        <w:rPr>
          <w:rFonts w:ascii="Arial" w:hAnsi="Arial"/>
          <w:b/>
          <w:color w:val="22703F"/>
          <w:sz w:val="26"/>
        </w:rPr>
        <w:t>4. AI Smart Assistant</w:t>
      </w:r>
    </w:p>
    <w:p>
      <w:pPr>
        <w:pStyle w:val="ListBullet"/>
        <w:spacing w:after="80" w:line="276" w:lineRule="auto"/>
      </w:pPr>
      <w:r>
        <w:rPr>
          <w:rFonts w:ascii="Arial" w:hAnsi="Arial"/>
          <w:color w:val="333333"/>
          <w:sz w:val="22"/>
        </w:rPr>
        <w:t>Chat module rendering formatted Markdown instructions with rich bullet points, headers, and organized advice lists.</w:t>
      </w:r>
    </w:p>
    <w:p>
      <w:pPr>
        <w:pStyle w:val="ListBullet"/>
        <w:spacing w:after="80" w:line="276" w:lineRule="auto"/>
      </w:pPr>
      <w:r>
        <w:rPr>
          <w:rFonts w:ascii="Arial" w:hAnsi="Arial"/>
          <w:color w:val="333333"/>
          <w:sz w:val="22"/>
        </w:rPr>
        <w:t>Localized advice supporting natural Arabic and English queries for common regional crops (e.g. tomatoes, potatoes, citrus).</w:t>
      </w:r>
    </w:p>
    <w:p>
      <w:pPr>
        <w:keepNext/>
        <w:spacing w:before="320" w:after="120"/>
      </w:pPr>
      <w:r>
        <w:rPr>
          <w:rFonts w:ascii="Arial" w:hAnsi="Arial"/>
          <w:b/>
          <w:color w:val="22703F"/>
          <w:sz w:val="26"/>
        </w:rPr>
        <w:t>5. Order Tracking &amp; Logistics</w:t>
      </w:r>
    </w:p>
    <w:p>
      <w:pPr>
        <w:pStyle w:val="ListBullet"/>
        <w:spacing w:after="80" w:line="276" w:lineRule="auto"/>
      </w:pPr>
      <w:r>
        <w:rPr>
          <w:rFonts w:ascii="Arial" w:hAnsi="Arial"/>
          <w:color w:val="333333"/>
          <w:sz w:val="22"/>
        </w:rPr>
        <w:t>Live tracking of fulfillment status, transitioning from Pending -&gt; Processed -&gt; Shipped -&gt; Delivered.</w:t>
      </w:r>
    </w:p>
    <w:p>
      <w:pPr>
        <w:keepNext/>
        <w:spacing w:before="480" w:after="160"/>
      </w:pPr>
      <w:r>
        <w:rPr>
          <w:rFonts w:ascii="Arial" w:hAnsi="Arial"/>
          <w:b/>
          <w:color w:val="22703F"/>
          <w:sz w:val="36"/>
        </w:rPr>
        <w:t>1.8 System Requirements</w:t>
      </w:r>
    </w:p>
    <w:p>
      <w:pPr>
        <w:spacing w:after="160" w:line="276" w:lineRule="auto"/>
      </w:pPr>
      <w:r>
        <w:rPr>
          <w:rFonts w:ascii="Arial" w:hAnsi="Arial"/>
          <w:color w:val="333333"/>
          <w:sz w:val="22"/>
        </w:rPr>
        <w:t>The following requirements outline the functional actions and performance qualities the platform must enforce:</w:t>
      </w:r>
    </w:p>
    <w:p>
      <w:pPr>
        <w:keepNext/>
        <w:spacing w:before="320" w:after="120"/>
      </w:pPr>
      <w:r>
        <w:rPr>
          <w:rFonts w:ascii="Arial" w:hAnsi="Arial"/>
          <w:b/>
          <w:color w:val="22703F"/>
          <w:sz w:val="26"/>
        </w:rPr>
        <w:t>1. Functional Requirements (FR)</w:t>
      </w:r>
    </w:p>
    <w:tbl>
      <w:tblPr>
        <w:tblW w:type="auto" w:w="0"/>
        <w:jc w:val="center"/>
        <w:tblLook w:firstColumn="1" w:firstRow="1" w:lastColumn="0" w:lastRow="0" w:noHBand="0" w:noVBand="1" w:val="04A0"/>
        <w:tblBorders>
          <w:top w:val="single" w:sz="4" w:space="0" w:color="CCCCCC"/>
          <w:bottom w:val="single" w:sz="6" w:space="0" w:color="22703F"/>
          <w:left w:val="none"/>
          <w:right w:val="none"/>
          <w:insideH w:val="single" w:sz="4" w:space="0" w:color="CCCCCC"/>
          <w:insideV w:val="none"/>
        </w:tblBorders>
      </w:tblPr>
      <w:tblGrid>
        <w:gridCol w:w="3120"/>
        <w:gridCol w:w="3120"/>
        <w:gridCol w:w="3120"/>
      </w:tblGrid>
      <w:tr>
        <w:tc>
          <w:tcPr>
            <w:tcW w:type="dxa" w:w="1152"/>
            <w:shd w:fill="22703F"/>
            <w:tcMar>
              <w:top w:w="120" w:type="dxa"/>
              <w:bottom w:w="120" w:type="dxa"/>
              <w:left w:w="150" w:type="dxa"/>
              <w:right w:w="150" w:type="dxa"/>
            </w:tcMar>
          </w:tcPr>
          <w:p>
            <w:r>
              <w:rPr>
                <w:rFonts w:ascii="Arial" w:hAnsi="Arial"/>
                <w:b/>
                <w:color w:val="FFFFFF"/>
                <w:sz w:val="21"/>
              </w:rPr>
              <w:t>ID</w:t>
            </w:r>
          </w:p>
        </w:tc>
        <w:tc>
          <w:tcPr>
            <w:tcW w:type="dxa" w:w="2592"/>
            <w:shd w:fill="22703F"/>
            <w:tcMar>
              <w:top w:w="120" w:type="dxa"/>
              <w:bottom w:w="120" w:type="dxa"/>
              <w:left w:w="150" w:type="dxa"/>
              <w:right w:w="150" w:type="dxa"/>
            </w:tcMar>
          </w:tcPr>
          <w:p>
            <w:r>
              <w:rPr>
                <w:rFonts w:ascii="Arial" w:hAnsi="Arial"/>
                <w:b/>
                <w:color w:val="FFFFFF"/>
                <w:sz w:val="21"/>
              </w:rPr>
              <w:t>Requirement Module</w:t>
            </w:r>
          </w:p>
        </w:tc>
        <w:tc>
          <w:tcPr>
            <w:tcW w:type="dxa" w:w="5616"/>
            <w:shd w:fill="22703F"/>
            <w:tcMar>
              <w:top w:w="120" w:type="dxa"/>
              <w:bottom w:w="120" w:type="dxa"/>
              <w:left w:w="150" w:type="dxa"/>
              <w:right w:w="150" w:type="dxa"/>
            </w:tcMar>
          </w:tcPr>
          <w:p>
            <w:r>
              <w:rPr>
                <w:rFonts w:ascii="Arial" w:hAnsi="Arial"/>
                <w:b/>
                <w:color w:val="FFFFFF"/>
                <w:sz w:val="21"/>
              </w:rPr>
              <w:t>Functional Specification Description</w:t>
            </w:r>
          </w:p>
        </w:tc>
      </w:tr>
      <w:tr>
        <w:tc>
          <w:tcPr>
            <w:tcW w:type="dxa" w:w="1152"/>
            <w:shd w:fill="F4F9F5"/>
            <w:tcMar>
              <w:top w:w="100" w:type="dxa"/>
              <w:bottom w:w="100" w:type="dxa"/>
              <w:left w:w="150" w:type="dxa"/>
              <w:right w:w="150" w:type="dxa"/>
            </w:tcMar>
          </w:tcPr>
          <w:p>
            <w:r>
              <w:rPr>
                <w:rFonts w:ascii="Arial" w:hAnsi="Arial"/>
                <w:color w:val="333333"/>
                <w:sz w:val="19"/>
              </w:rPr>
              <w:t>FR-1</w:t>
            </w:r>
          </w:p>
        </w:tc>
        <w:tc>
          <w:tcPr>
            <w:tcW w:type="dxa" w:w="2592"/>
            <w:shd w:fill="F4F9F5"/>
            <w:tcMar>
              <w:top w:w="100" w:type="dxa"/>
              <w:bottom w:w="100" w:type="dxa"/>
              <w:left w:w="150" w:type="dxa"/>
              <w:right w:w="150" w:type="dxa"/>
            </w:tcMar>
          </w:tcPr>
          <w:p>
            <w:r>
              <w:rPr>
                <w:rFonts w:ascii="Arial" w:hAnsi="Arial"/>
                <w:color w:val="333333"/>
                <w:sz w:val="19"/>
              </w:rPr>
              <w:t>Authentication &amp; Security</w:t>
            </w:r>
          </w:p>
        </w:tc>
        <w:tc>
          <w:tcPr>
            <w:tcW w:type="dxa" w:w="5616"/>
            <w:shd w:fill="F4F9F5"/>
            <w:tcMar>
              <w:top w:w="100" w:type="dxa"/>
              <w:bottom w:w="100" w:type="dxa"/>
              <w:left w:w="150" w:type="dxa"/>
              <w:right w:w="150" w:type="dxa"/>
            </w:tcMar>
          </w:tcPr>
          <w:p>
            <w:r>
              <w:rPr>
                <w:rFonts w:ascii="Arial" w:hAnsi="Arial"/>
                <w:color w:val="333333"/>
                <w:sz w:val="19"/>
              </w:rPr>
              <w:t>The system must authenticate users via JWT and restrict page navigation and sidebar options based on assigned user roles.</w:t>
            </w:r>
          </w:p>
        </w:tc>
      </w:tr>
      <w:tr>
        <w:tc>
          <w:tcPr>
            <w:tcW w:type="dxa" w:w="1152"/>
            <w:shd w:fill="FFFFFF"/>
            <w:tcMar>
              <w:top w:w="100" w:type="dxa"/>
              <w:bottom w:w="100" w:type="dxa"/>
              <w:left w:w="150" w:type="dxa"/>
              <w:right w:w="150" w:type="dxa"/>
            </w:tcMar>
          </w:tcPr>
          <w:p>
            <w:r>
              <w:rPr>
                <w:rFonts w:ascii="Arial" w:hAnsi="Arial"/>
                <w:color w:val="333333"/>
                <w:sz w:val="19"/>
              </w:rPr>
              <w:t>FR-2</w:t>
            </w:r>
          </w:p>
        </w:tc>
        <w:tc>
          <w:tcPr>
            <w:tcW w:type="dxa" w:w="2592"/>
            <w:shd w:fill="FFFFFF"/>
            <w:tcMar>
              <w:top w:w="100" w:type="dxa"/>
              <w:bottom w:w="100" w:type="dxa"/>
              <w:left w:w="150" w:type="dxa"/>
              <w:right w:w="150" w:type="dxa"/>
            </w:tcMar>
          </w:tcPr>
          <w:p>
            <w:r>
              <w:rPr>
                <w:rFonts w:ascii="Arial" w:hAnsi="Arial"/>
                <w:color w:val="333333"/>
                <w:sz w:val="19"/>
              </w:rPr>
              <w:t>Product Listing Management</w:t>
            </w:r>
          </w:p>
        </w:tc>
        <w:tc>
          <w:tcPr>
            <w:tcW w:type="dxa" w:w="5616"/>
            <w:shd w:fill="FFFFFF"/>
            <w:tcMar>
              <w:top w:w="100" w:type="dxa"/>
              <w:bottom w:w="100" w:type="dxa"/>
              <w:left w:w="150" w:type="dxa"/>
              <w:right w:w="150" w:type="dxa"/>
            </w:tcMar>
          </w:tcPr>
          <w:p>
            <w:r>
              <w:rPr>
                <w:rFonts w:ascii="Arial" w:hAnsi="Arial"/>
                <w:color w:val="333333"/>
                <w:sz w:val="19"/>
              </w:rPr>
              <w:t>Farmers and Suppliers must be able to create, edit, and delete their respective crop or equipment listings in the marketplace.</w:t>
            </w:r>
          </w:p>
        </w:tc>
      </w:tr>
      <w:tr>
        <w:tc>
          <w:tcPr>
            <w:tcW w:type="dxa" w:w="1152"/>
            <w:shd w:fill="F4F9F5"/>
            <w:tcMar>
              <w:top w:w="100" w:type="dxa"/>
              <w:bottom w:w="100" w:type="dxa"/>
              <w:left w:w="150" w:type="dxa"/>
              <w:right w:w="150" w:type="dxa"/>
            </w:tcMar>
          </w:tcPr>
          <w:p>
            <w:r>
              <w:rPr>
                <w:rFonts w:ascii="Arial" w:hAnsi="Arial"/>
                <w:color w:val="333333"/>
                <w:sz w:val="19"/>
              </w:rPr>
              <w:t>FR-3</w:t>
            </w:r>
          </w:p>
        </w:tc>
        <w:tc>
          <w:tcPr>
            <w:tcW w:type="dxa" w:w="2592"/>
            <w:shd w:fill="F4F9F5"/>
            <w:tcMar>
              <w:top w:w="100" w:type="dxa"/>
              <w:bottom w:w="100" w:type="dxa"/>
              <w:left w:w="150" w:type="dxa"/>
              <w:right w:w="150" w:type="dxa"/>
            </w:tcMar>
          </w:tcPr>
          <w:p>
            <w:r>
              <w:rPr>
                <w:rFonts w:ascii="Arial" w:hAnsi="Arial"/>
                <w:color w:val="333333"/>
                <w:sz w:val="19"/>
              </w:rPr>
              <w:t>Cart and Payment Processing</w:t>
            </w:r>
          </w:p>
        </w:tc>
        <w:tc>
          <w:tcPr>
            <w:tcW w:type="dxa" w:w="5616"/>
            <w:shd w:fill="F4F9F5"/>
            <w:tcMar>
              <w:top w:w="100" w:type="dxa"/>
              <w:bottom w:w="100" w:type="dxa"/>
              <w:left w:w="150" w:type="dxa"/>
              <w:right w:w="150" w:type="dxa"/>
            </w:tcMar>
          </w:tcPr>
          <w:p>
            <w:r>
              <w:rPr>
                <w:rFonts w:ascii="Arial" w:hAnsi="Arial"/>
                <w:color w:val="333333"/>
                <w:sz w:val="19"/>
              </w:rPr>
              <w:t>Buyers and Farmers must be able to add catalog items to a cart and execute secure checkouts integrated with the Stripe payment gateway.</w:t>
            </w:r>
          </w:p>
        </w:tc>
      </w:tr>
      <w:tr>
        <w:tc>
          <w:tcPr>
            <w:tcW w:type="dxa" w:w="1152"/>
            <w:shd w:fill="FFFFFF"/>
            <w:tcMar>
              <w:top w:w="100" w:type="dxa"/>
              <w:bottom w:w="100" w:type="dxa"/>
              <w:left w:w="150" w:type="dxa"/>
              <w:right w:w="150" w:type="dxa"/>
            </w:tcMar>
          </w:tcPr>
          <w:p>
            <w:r>
              <w:rPr>
                <w:rFonts w:ascii="Arial" w:hAnsi="Arial"/>
                <w:color w:val="333333"/>
                <w:sz w:val="19"/>
              </w:rPr>
              <w:t>FR-4</w:t>
            </w:r>
          </w:p>
        </w:tc>
        <w:tc>
          <w:tcPr>
            <w:tcW w:type="dxa" w:w="2592"/>
            <w:shd w:fill="FFFFFF"/>
            <w:tcMar>
              <w:top w:w="100" w:type="dxa"/>
              <w:bottom w:w="100" w:type="dxa"/>
              <w:left w:w="150" w:type="dxa"/>
              <w:right w:w="150" w:type="dxa"/>
            </w:tcMar>
          </w:tcPr>
          <w:p>
            <w:r>
              <w:rPr>
                <w:rFonts w:ascii="Arial" w:hAnsi="Arial"/>
                <w:color w:val="333333"/>
                <w:sz w:val="19"/>
              </w:rPr>
              <w:t>Expert Directory Listings</w:t>
            </w:r>
          </w:p>
        </w:tc>
        <w:tc>
          <w:tcPr>
            <w:tcW w:type="dxa" w:w="5616"/>
            <w:shd w:fill="FFFFFF"/>
            <w:tcMar>
              <w:top w:w="100" w:type="dxa"/>
              <w:bottom w:w="100" w:type="dxa"/>
              <w:left w:w="150" w:type="dxa"/>
              <w:right w:w="150" w:type="dxa"/>
            </w:tcMar>
          </w:tcPr>
          <w:p>
            <w:r>
              <w:rPr>
                <w:rFonts w:ascii="Arial" w:hAnsi="Arial"/>
                <w:color w:val="333333"/>
                <w:sz w:val="19"/>
              </w:rPr>
              <w:t>The platform must dynamically render and display all verified expert cards from the database, eliminating hardcoded placeholders.</w:t>
            </w:r>
          </w:p>
        </w:tc>
      </w:tr>
      <w:tr>
        <w:tc>
          <w:tcPr>
            <w:tcW w:type="dxa" w:w="1152"/>
            <w:shd w:fill="F4F9F5"/>
            <w:tcMar>
              <w:top w:w="100" w:type="dxa"/>
              <w:bottom w:w="100" w:type="dxa"/>
              <w:left w:w="150" w:type="dxa"/>
              <w:right w:w="150" w:type="dxa"/>
            </w:tcMar>
          </w:tcPr>
          <w:p>
            <w:r>
              <w:rPr>
                <w:rFonts w:ascii="Arial" w:hAnsi="Arial"/>
                <w:color w:val="333333"/>
                <w:sz w:val="19"/>
              </w:rPr>
              <w:t>FR-5</w:t>
            </w:r>
          </w:p>
        </w:tc>
        <w:tc>
          <w:tcPr>
            <w:tcW w:type="dxa" w:w="2592"/>
            <w:shd w:fill="F4F9F5"/>
            <w:tcMar>
              <w:top w:w="100" w:type="dxa"/>
              <w:bottom w:w="100" w:type="dxa"/>
              <w:left w:w="150" w:type="dxa"/>
              <w:right w:w="150" w:type="dxa"/>
            </w:tcMar>
          </w:tcPr>
          <w:p>
            <w:r>
              <w:rPr>
                <w:rFonts w:ascii="Arial" w:hAnsi="Arial"/>
                <w:color w:val="333333"/>
                <w:sz w:val="19"/>
              </w:rPr>
              <w:t>Credential Verification Audits</w:t>
            </w:r>
          </w:p>
        </w:tc>
        <w:tc>
          <w:tcPr>
            <w:tcW w:type="dxa" w:w="5616"/>
            <w:shd w:fill="F4F9F5"/>
            <w:tcMar>
              <w:top w:w="100" w:type="dxa"/>
              <w:bottom w:w="100" w:type="dxa"/>
              <w:left w:w="150" w:type="dxa"/>
              <w:right w:w="150" w:type="dxa"/>
            </w:tcMar>
          </w:tcPr>
          <w:p>
            <w:r>
              <w:rPr>
                <w:rFonts w:ascii="Arial" w:hAnsi="Arial"/>
                <w:color w:val="333333"/>
                <w:sz w:val="19"/>
              </w:rPr>
              <w:t>The Admin panel must allow operators to inspect uploaded CVs and trade licenses to approve or reject pending role applications.</w:t>
            </w:r>
          </w:p>
        </w:tc>
      </w:tr>
      <w:tr>
        <w:tc>
          <w:tcPr>
            <w:tcW w:type="dxa" w:w="1152"/>
            <w:shd w:fill="FFFFFF"/>
            <w:tcMar>
              <w:top w:w="100" w:type="dxa"/>
              <w:bottom w:w="100" w:type="dxa"/>
              <w:left w:w="150" w:type="dxa"/>
              <w:right w:w="150" w:type="dxa"/>
            </w:tcMar>
          </w:tcPr>
          <w:p>
            <w:r>
              <w:rPr>
                <w:rFonts w:ascii="Arial" w:hAnsi="Arial"/>
                <w:color w:val="333333"/>
                <w:sz w:val="19"/>
              </w:rPr>
              <w:t>FR-6</w:t>
            </w:r>
          </w:p>
        </w:tc>
        <w:tc>
          <w:tcPr>
            <w:tcW w:type="dxa" w:w="2592"/>
            <w:shd w:fill="FFFFFF"/>
            <w:tcMar>
              <w:top w:w="100" w:type="dxa"/>
              <w:bottom w:w="100" w:type="dxa"/>
              <w:left w:w="150" w:type="dxa"/>
              <w:right w:w="150" w:type="dxa"/>
            </w:tcMar>
          </w:tcPr>
          <w:p>
            <w:r>
              <w:rPr>
                <w:rFonts w:ascii="Arial" w:hAnsi="Arial"/>
                <w:color w:val="333333"/>
                <w:sz w:val="19"/>
              </w:rPr>
              <w:t>Peer-to-Peer Communication</w:t>
            </w:r>
          </w:p>
        </w:tc>
        <w:tc>
          <w:tcPr>
            <w:tcW w:type="dxa" w:w="5616"/>
            <w:shd w:fill="FFFFFF"/>
            <w:tcMar>
              <w:top w:w="100" w:type="dxa"/>
              <w:bottom w:w="100" w:type="dxa"/>
              <w:left w:w="150" w:type="dxa"/>
              <w:right w:w="150" w:type="dxa"/>
            </w:tcMar>
          </w:tcPr>
          <w:p>
            <w:r>
              <w:rPr>
                <w:rFonts w:ascii="Arial" w:hAnsi="Arial"/>
                <w:color w:val="333333"/>
                <w:sz w:val="19"/>
              </w:rPr>
              <w:t>Users must be able to initiate real-time text chat sessions with product sellers and agricultural consultants.</w:t>
            </w:r>
          </w:p>
        </w:tc>
      </w:tr>
      <w:tr>
        <w:tc>
          <w:tcPr>
            <w:tcW w:type="dxa" w:w="1152"/>
            <w:shd w:fill="F4F9F5"/>
            <w:tcMar>
              <w:top w:w="100" w:type="dxa"/>
              <w:bottom w:w="100" w:type="dxa"/>
              <w:left w:w="150" w:type="dxa"/>
              <w:right w:w="150" w:type="dxa"/>
            </w:tcMar>
          </w:tcPr>
          <w:p>
            <w:r>
              <w:rPr>
                <w:rFonts w:ascii="Arial" w:hAnsi="Arial"/>
                <w:color w:val="333333"/>
                <w:sz w:val="19"/>
              </w:rPr>
              <w:t>FR-7</w:t>
            </w:r>
          </w:p>
        </w:tc>
        <w:tc>
          <w:tcPr>
            <w:tcW w:type="dxa" w:w="2592"/>
            <w:shd w:fill="F4F9F5"/>
            <w:tcMar>
              <w:top w:w="100" w:type="dxa"/>
              <w:bottom w:w="100" w:type="dxa"/>
              <w:left w:w="150" w:type="dxa"/>
              <w:right w:w="150" w:type="dxa"/>
            </w:tcMar>
          </w:tcPr>
          <w:p>
            <w:r>
              <w:rPr>
                <w:rFonts w:ascii="Arial" w:hAnsi="Arial"/>
                <w:color w:val="333333"/>
                <w:sz w:val="19"/>
              </w:rPr>
              <w:t>AI Consultation Engine</w:t>
            </w:r>
          </w:p>
        </w:tc>
        <w:tc>
          <w:tcPr>
            <w:tcW w:type="dxa" w:w="5616"/>
            <w:shd w:fill="F4F9F5"/>
            <w:tcMar>
              <w:top w:w="100" w:type="dxa"/>
              <w:bottom w:w="100" w:type="dxa"/>
              <w:left w:w="150" w:type="dxa"/>
              <w:right w:w="150" w:type="dxa"/>
            </w:tcMar>
          </w:tcPr>
          <w:p>
            <w:r>
              <w:rPr>
                <w:rFonts w:ascii="Arial" w:hAnsi="Arial"/>
                <w:color w:val="333333"/>
                <w:sz w:val="19"/>
              </w:rPr>
              <w:t>The AI interface must process crop health queries using the Groq AI API and format answers in styled markdown headers and lists.</w:t>
            </w:r>
          </w:p>
        </w:tc>
      </w:tr>
      <w:tr>
        <w:tc>
          <w:tcPr>
            <w:tcW w:type="dxa" w:w="1152"/>
            <w:shd w:fill="FFFFFF"/>
            <w:tcMar>
              <w:top w:w="100" w:type="dxa"/>
              <w:bottom w:w="100" w:type="dxa"/>
              <w:left w:w="150" w:type="dxa"/>
              <w:right w:w="150" w:type="dxa"/>
            </w:tcMar>
          </w:tcPr>
          <w:p>
            <w:r>
              <w:rPr>
                <w:rFonts w:ascii="Arial" w:hAnsi="Arial"/>
                <w:color w:val="333333"/>
                <w:sz w:val="19"/>
              </w:rPr>
              <w:t>FR-8</w:t>
            </w:r>
          </w:p>
        </w:tc>
        <w:tc>
          <w:tcPr>
            <w:tcW w:type="dxa" w:w="2592"/>
            <w:shd w:fill="FFFFFF"/>
            <w:tcMar>
              <w:top w:w="100" w:type="dxa"/>
              <w:bottom w:w="100" w:type="dxa"/>
              <w:left w:w="150" w:type="dxa"/>
              <w:right w:w="150" w:type="dxa"/>
            </w:tcMar>
          </w:tcPr>
          <w:p>
            <w:r>
              <w:rPr>
                <w:rFonts w:ascii="Arial" w:hAnsi="Arial"/>
                <w:color w:val="333333"/>
                <w:sz w:val="19"/>
              </w:rPr>
              <w:t>Order Lifecycle Tracking</w:t>
            </w:r>
          </w:p>
        </w:tc>
        <w:tc>
          <w:tcPr>
            <w:tcW w:type="dxa" w:w="5616"/>
            <w:shd w:fill="FFFFFF"/>
            <w:tcMar>
              <w:top w:w="100" w:type="dxa"/>
              <w:bottom w:w="100" w:type="dxa"/>
              <w:left w:w="150" w:type="dxa"/>
              <w:right w:w="150" w:type="dxa"/>
            </w:tcMar>
          </w:tcPr>
          <w:p>
            <w:r>
              <w:rPr>
                <w:rFonts w:ascii="Arial" w:hAnsi="Arial"/>
                <w:color w:val="333333"/>
                <w:sz w:val="19"/>
              </w:rPr>
              <w:t>The system must track order states and show a step-by-step progress visualizer to both the purchaser and the seller.</w:t>
            </w:r>
          </w:p>
        </w:tc>
      </w:tr>
    </w:tbl>
    <w:p>
      <w:pPr>
        <w:spacing w:before="240"/>
      </w:pPr>
    </w:p>
    <w:p>
      <w:pPr>
        <w:keepNext/>
        <w:spacing w:before="320" w:after="120"/>
      </w:pPr>
      <w:r>
        <w:rPr>
          <w:rFonts w:ascii="Arial" w:hAnsi="Arial"/>
          <w:b/>
          <w:color w:val="22703F"/>
          <w:sz w:val="26"/>
        </w:rPr>
        <w:t>2. Non-Functional Requirements (NFR)</w:t>
      </w:r>
    </w:p>
    <w:p>
      <w:pPr>
        <w:pStyle w:val="ListBullet"/>
        <w:spacing w:after="80" w:line="276" w:lineRule="auto"/>
      </w:pPr>
      <w:r>
        <w:rPr>
          <w:rFonts w:ascii="Arial" w:hAnsi="Arial"/>
          <w:b/>
          <w:color w:val="333333"/>
          <w:sz w:val="22"/>
        </w:rPr>
        <w:t>Security &amp; Data Isolation:</w:t>
      </w:r>
      <w:r>
        <w:rPr>
          <w:rFonts w:ascii="Arial" w:hAnsi="Arial"/>
          <w:color w:val="333333"/>
          <w:sz w:val="22"/>
        </w:rPr>
        <w:t xml:space="preserve"> Passwords must be encrypted using bcrypt (10 rounds). API endpoints must validate user authorization tokens. Environment variables (API tokens, Stripe keys) must be hidden from the client bundles.</w:t>
      </w:r>
    </w:p>
    <w:p>
      <w:pPr>
        <w:pStyle w:val="ListBullet"/>
        <w:spacing w:after="80" w:line="276" w:lineRule="auto"/>
      </w:pPr>
      <w:r>
        <w:rPr>
          <w:rFonts w:ascii="Arial" w:hAnsi="Arial"/>
          <w:b/>
          <w:color w:val="333333"/>
          <w:sz w:val="22"/>
        </w:rPr>
        <w:t>Performance &amp; Responsive Flow:</w:t>
      </w:r>
      <w:r>
        <w:rPr>
          <w:rFonts w:ascii="Arial" w:hAnsi="Arial"/>
          <w:color w:val="333333"/>
          <w:sz w:val="22"/>
        </w:rPr>
        <w:t xml:space="preserve"> All client pages must load rapidly using Vite's bundling pipeline. Global route transitions must automatically reset scroll focus to the top of the viewport.</w:t>
      </w:r>
    </w:p>
    <w:p>
      <w:pPr>
        <w:pStyle w:val="ListBullet"/>
        <w:spacing w:after="80" w:line="276" w:lineRule="auto"/>
      </w:pPr>
      <w:r>
        <w:rPr>
          <w:rFonts w:ascii="Arial" w:hAnsi="Arial"/>
          <w:b/>
          <w:color w:val="333333"/>
          <w:sz w:val="22"/>
        </w:rPr>
        <w:t>Usability &amp; Responsive Layouts:</w:t>
      </w:r>
      <w:r>
        <w:rPr>
          <w:rFonts w:ascii="Arial" w:hAnsi="Arial"/>
          <w:color w:val="333333"/>
          <w:sz w:val="22"/>
        </w:rPr>
        <w:t xml:space="preserve"> The platform must automatically adapt to mobile, tablet, and desktop viewports via Tailwind CSS responsive grid systems.</w:t>
      </w:r>
    </w:p>
    <w:p>
      <w:pPr>
        <w:pStyle w:val="ListBullet"/>
        <w:spacing w:after="80" w:line="276" w:lineRule="auto"/>
      </w:pPr>
      <w:r>
        <w:rPr>
          <w:rFonts w:ascii="Arial" w:hAnsi="Arial"/>
          <w:b/>
          <w:color w:val="333333"/>
          <w:sz w:val="22"/>
        </w:rPr>
        <w:t>Fault-Tolerance &amp; Availability:</w:t>
      </w:r>
      <w:r>
        <w:rPr>
          <w:rFonts w:ascii="Arial" w:hAnsi="Arial"/>
          <w:color w:val="333333"/>
          <w:sz w:val="22"/>
        </w:rPr>
        <w:t xml:space="preserve"> If the external Groq API is unavailable, the AI Assistant must route queries to an offline mock processor capable of outputting contextual crop advice in Arabic and English based on input keywords.</w:t>
      </w:r>
    </w:p>
    <w:p>
      <w:pPr>
        <w:keepNext/>
        <w:spacing w:before="480" w:after="160"/>
      </w:pPr>
      <w:r>
        <w:rPr>
          <w:rFonts w:ascii="Arial" w:hAnsi="Arial"/>
          <w:b/>
          <w:color w:val="22703F"/>
          <w:sz w:val="36"/>
        </w:rPr>
        <w:t>1.9 System Users</w:t>
      </w:r>
    </w:p>
    <w:p>
      <w:pPr>
        <w:spacing w:after="160" w:line="276" w:lineRule="auto"/>
      </w:pPr>
      <w:r>
        <w:rPr>
          <w:rFonts w:ascii="Arial" w:hAnsi="Arial"/>
          <w:color w:val="333333"/>
          <w:sz w:val="22"/>
        </w:rPr>
        <w:t>Zar3a is structured with 5 major user archetypes, each possessing distinct operational permissions and access rights:</w:t>
      </w:r>
    </w:p>
    <w:p>
      <w:pPr>
        <w:pStyle w:val="ListBullet"/>
        <w:spacing w:after="80" w:line="276" w:lineRule="auto"/>
      </w:pPr>
      <w:r>
        <w:rPr>
          <w:rFonts w:ascii="Arial" w:hAnsi="Arial"/>
          <w:b/>
          <w:color w:val="333333"/>
          <w:sz w:val="22"/>
        </w:rPr>
        <w:t>System Administrator (ADMIN):</w:t>
      </w:r>
      <w:r>
        <w:rPr>
          <w:rFonts w:ascii="Arial" w:hAnsi="Arial"/>
          <w:color w:val="333333"/>
          <w:sz w:val="22"/>
        </w:rPr>
        <w:t xml:space="preserve"> The highest administration level. Responsible for verifying incoming expert degrees/resumes and supplier trade licenses, supervising listing compliance, managing platform configurations, and managing user ban lists.</w:t>
      </w:r>
    </w:p>
    <w:p>
      <w:pPr>
        <w:pStyle w:val="ListBullet"/>
        <w:spacing w:after="80" w:line="276" w:lineRule="auto"/>
      </w:pPr>
      <w:r>
        <w:rPr>
          <w:rFonts w:ascii="Arial" w:hAnsi="Arial"/>
          <w:b/>
          <w:color w:val="333333"/>
          <w:sz w:val="22"/>
        </w:rPr>
        <w:t>Farmer (FARMER):</w:t>
      </w:r>
      <w:r>
        <w:rPr>
          <w:rFonts w:ascii="Arial" w:hAnsi="Arial"/>
          <w:color w:val="333333"/>
          <w:sz w:val="22"/>
        </w:rPr>
        <w:t xml:space="preserve"> The primary agricultural producer. Allowed to post crop products for sale in the marketplace, purchase agricultural inputs (seeds, fertilizers), hire agro-experts, chat with experts, and consult the AI Assistant for crop diagnosis.</w:t>
      </w:r>
    </w:p>
    <w:p>
      <w:pPr>
        <w:pStyle w:val="ListBullet"/>
        <w:spacing w:after="80" w:line="276" w:lineRule="auto"/>
      </w:pPr>
      <w:r>
        <w:rPr>
          <w:rFonts w:ascii="Arial" w:hAnsi="Arial"/>
          <w:b/>
          <w:color w:val="333333"/>
          <w:sz w:val="22"/>
        </w:rPr>
        <w:t>Agro-Expert (AGRO_EXPERT):</w:t>
      </w:r>
      <w:r>
        <w:rPr>
          <w:rFonts w:ascii="Arial" w:hAnsi="Arial"/>
          <w:color w:val="333333"/>
          <w:sz w:val="22"/>
        </w:rPr>
        <w:t xml:space="preserve"> Qualified agricultural engineers and scientists. Allowed to publish professional consultation listings, check farmer inquiry forms, inspect crop details via P2P chats, and write diagnostic guidelines.</w:t>
      </w:r>
    </w:p>
    <w:p>
      <w:pPr>
        <w:pStyle w:val="ListBullet"/>
        <w:spacing w:after="80" w:line="276" w:lineRule="auto"/>
      </w:pPr>
      <w:r>
        <w:rPr>
          <w:rFonts w:ascii="Arial" w:hAnsi="Arial"/>
          <w:b/>
          <w:color w:val="333333"/>
          <w:sz w:val="22"/>
        </w:rPr>
        <w:t>Supplier (SUPPLIER):</w:t>
      </w:r>
      <w:r>
        <w:rPr>
          <w:rFonts w:ascii="Arial" w:hAnsi="Arial"/>
          <w:color w:val="333333"/>
          <w:sz w:val="22"/>
        </w:rPr>
        <w:t xml:space="preserve"> Commercial vendors of agricultural inputs. Allowed to list seeds, machinery, and fertilizers, track orders, and review inventory statistics through custom charts.</w:t>
      </w:r>
    </w:p>
    <w:p>
      <w:pPr>
        <w:pStyle w:val="ListBullet"/>
        <w:spacing w:after="80" w:line="276" w:lineRule="auto"/>
      </w:pPr>
      <w:r>
        <w:rPr>
          <w:rFonts w:ascii="Arial" w:hAnsi="Arial"/>
          <w:b/>
          <w:color w:val="333333"/>
          <w:sz w:val="22"/>
        </w:rPr>
        <w:t>Buyer (BUYER):</w:t>
      </w:r>
      <w:r>
        <w:rPr>
          <w:rFonts w:ascii="Arial" w:hAnsi="Arial"/>
          <w:color w:val="333333"/>
          <w:sz w:val="22"/>
        </w:rPr>
        <w:t xml:space="preserve"> End consumers and wholesalers. Allowed to browse crop catalogs, maintain a shopping cart, perform credit card checkouts, and track active order shipments. Buyers are restricted from accessing system analytics to keep the interface focused.</w:t>
      </w:r>
    </w:p>
    <w:p>
      <w:pPr>
        <w:keepNext/>
        <w:spacing w:before="480" w:after="160"/>
      </w:pPr>
      <w:r>
        <w:rPr>
          <w:rFonts w:ascii="Arial" w:hAnsi="Arial"/>
          <w:b/>
          <w:color w:val="22703F"/>
          <w:sz w:val="36"/>
        </w:rPr>
        <w:t>1.10 System Tools and Language</w:t>
      </w:r>
    </w:p>
    <w:p>
      <w:pPr>
        <w:spacing w:after="160" w:line="276" w:lineRule="auto"/>
      </w:pPr>
      <w:r>
        <w:rPr>
          <w:rFonts w:ascii="Arial" w:hAnsi="Arial"/>
          <w:color w:val="333333"/>
          <w:sz w:val="22"/>
        </w:rPr>
        <w:t>The following tables outline the specific tools, libraries, databases, and frameworks utilized to construct the Zar3a ecosystem:</w:t>
      </w:r>
    </w:p>
    <w:tbl>
      <w:tblPr>
        <w:tblW w:type="auto" w:w="0"/>
        <w:jc w:val="center"/>
        <w:tblLook w:firstColumn="1" w:firstRow="1" w:lastColumn="0" w:lastRow="0" w:noHBand="0" w:noVBand="1" w:val="04A0"/>
        <w:tblBorders>
          <w:top w:val="single" w:sz="4" w:space="0" w:color="CCCCCC"/>
          <w:bottom w:val="single" w:sz="6" w:space="0" w:color="22703F"/>
          <w:left w:val="none"/>
          <w:right w:val="none"/>
          <w:insideH w:val="single" w:sz="4" w:space="0" w:color="CCCCCC"/>
          <w:insideV w:val="none"/>
        </w:tblBorders>
      </w:tblPr>
      <w:tblGrid>
        <w:gridCol w:w="3120"/>
        <w:gridCol w:w="3120"/>
        <w:gridCol w:w="3120"/>
      </w:tblGrid>
      <w:tr>
        <w:tc>
          <w:tcPr>
            <w:tcW w:type="dxa" w:w="2160"/>
            <w:shd w:fill="22703F"/>
            <w:tcMar>
              <w:top w:w="120" w:type="dxa"/>
              <w:bottom w:w="120" w:type="dxa"/>
              <w:left w:w="150" w:type="dxa"/>
              <w:right w:w="150" w:type="dxa"/>
            </w:tcMar>
          </w:tcPr>
          <w:p>
            <w:r>
              <w:rPr>
                <w:rFonts w:ascii="Arial" w:hAnsi="Arial"/>
                <w:b/>
                <w:color w:val="FFFFFF"/>
                <w:sz w:val="21"/>
              </w:rPr>
              <w:t>Stack Layer</w:t>
            </w:r>
          </w:p>
        </w:tc>
        <w:tc>
          <w:tcPr>
            <w:tcW w:type="dxa" w:w="3168"/>
            <w:shd w:fill="22703F"/>
            <w:tcMar>
              <w:top w:w="120" w:type="dxa"/>
              <w:bottom w:w="120" w:type="dxa"/>
              <w:left w:w="150" w:type="dxa"/>
              <w:right w:w="150" w:type="dxa"/>
            </w:tcMar>
          </w:tcPr>
          <w:p>
            <w:r>
              <w:rPr>
                <w:rFonts w:ascii="Arial" w:hAnsi="Arial"/>
                <w:b/>
                <w:color w:val="FFFFFF"/>
                <w:sz w:val="21"/>
              </w:rPr>
              <w:t>Technologies Used</w:t>
            </w:r>
          </w:p>
        </w:tc>
        <w:tc>
          <w:tcPr>
            <w:tcW w:type="dxa" w:w="4032"/>
            <w:shd w:fill="22703F"/>
            <w:tcMar>
              <w:top w:w="120" w:type="dxa"/>
              <w:bottom w:w="120" w:type="dxa"/>
              <w:left w:w="150" w:type="dxa"/>
              <w:right w:w="150" w:type="dxa"/>
            </w:tcMar>
          </w:tcPr>
          <w:p>
            <w:r>
              <w:rPr>
                <w:rFonts w:ascii="Arial" w:hAnsi="Arial"/>
                <w:b/>
                <w:color w:val="FFFFFF"/>
                <w:sz w:val="21"/>
              </w:rPr>
              <w:t>Purpose &amp; Functionality</w:t>
            </w:r>
          </w:p>
        </w:tc>
      </w:tr>
      <w:tr>
        <w:tc>
          <w:tcPr>
            <w:tcW w:type="dxa" w:w="2160"/>
            <w:shd w:fill="F4F9F5"/>
            <w:tcMar>
              <w:top w:w="100" w:type="dxa"/>
              <w:bottom w:w="100" w:type="dxa"/>
              <w:left w:w="150" w:type="dxa"/>
              <w:right w:w="150" w:type="dxa"/>
            </w:tcMar>
          </w:tcPr>
          <w:p>
            <w:r>
              <w:rPr>
                <w:rFonts w:ascii="Arial" w:hAnsi="Arial"/>
                <w:color w:val="333333"/>
                <w:sz w:val="19"/>
              </w:rPr>
              <w:t>Languages</w:t>
            </w:r>
          </w:p>
        </w:tc>
        <w:tc>
          <w:tcPr>
            <w:tcW w:type="dxa" w:w="3168"/>
            <w:shd w:fill="F4F9F5"/>
            <w:tcMar>
              <w:top w:w="100" w:type="dxa"/>
              <w:bottom w:w="100" w:type="dxa"/>
              <w:left w:w="150" w:type="dxa"/>
              <w:right w:w="150" w:type="dxa"/>
            </w:tcMar>
          </w:tcPr>
          <w:p>
            <w:r>
              <w:rPr>
                <w:rFonts w:ascii="Arial" w:hAnsi="Arial"/>
                <w:color w:val="333333"/>
                <w:sz w:val="19"/>
              </w:rPr>
              <w:t>JavaScript (ES6+), HTML5, CSS3, SQL</w:t>
            </w:r>
          </w:p>
        </w:tc>
        <w:tc>
          <w:tcPr>
            <w:tcW w:type="dxa" w:w="4032"/>
            <w:shd w:fill="F4F9F5"/>
            <w:tcMar>
              <w:top w:w="100" w:type="dxa"/>
              <w:bottom w:w="100" w:type="dxa"/>
              <w:left w:w="150" w:type="dxa"/>
              <w:right w:w="150" w:type="dxa"/>
            </w:tcMar>
          </w:tcPr>
          <w:p>
            <w:r>
              <w:rPr>
                <w:rFonts w:ascii="Arial" w:hAnsi="Arial"/>
                <w:color w:val="333333"/>
                <w:sz w:val="19"/>
              </w:rPr>
              <w:t>Primary languages for building client views, server logic, styling rules, and database schema updates.</w:t>
            </w:r>
          </w:p>
        </w:tc>
      </w:tr>
      <w:tr>
        <w:tc>
          <w:tcPr>
            <w:tcW w:type="dxa" w:w="2160"/>
            <w:shd w:fill="FFFFFF"/>
            <w:tcMar>
              <w:top w:w="100" w:type="dxa"/>
              <w:bottom w:w="100" w:type="dxa"/>
              <w:left w:w="150" w:type="dxa"/>
              <w:right w:w="150" w:type="dxa"/>
            </w:tcMar>
          </w:tcPr>
          <w:p>
            <w:r>
              <w:rPr>
                <w:rFonts w:ascii="Arial" w:hAnsi="Arial"/>
                <w:color w:val="333333"/>
                <w:sz w:val="19"/>
              </w:rPr>
              <w:t>Frontend Core</w:t>
            </w:r>
          </w:p>
        </w:tc>
        <w:tc>
          <w:tcPr>
            <w:tcW w:type="dxa" w:w="3168"/>
            <w:shd w:fill="FFFFFF"/>
            <w:tcMar>
              <w:top w:w="100" w:type="dxa"/>
              <w:bottom w:w="100" w:type="dxa"/>
              <w:left w:w="150" w:type="dxa"/>
              <w:right w:w="150" w:type="dxa"/>
            </w:tcMar>
          </w:tcPr>
          <w:p>
            <w:r>
              <w:rPr>
                <w:rFonts w:ascii="Arial" w:hAnsi="Arial"/>
                <w:color w:val="333333"/>
                <w:sz w:val="19"/>
              </w:rPr>
              <w:t>React 19, Vite, React Router DOM v7</w:t>
            </w:r>
          </w:p>
        </w:tc>
        <w:tc>
          <w:tcPr>
            <w:tcW w:type="dxa" w:w="4032"/>
            <w:shd w:fill="FFFFFF"/>
            <w:tcMar>
              <w:top w:w="100" w:type="dxa"/>
              <w:bottom w:w="100" w:type="dxa"/>
              <w:left w:w="150" w:type="dxa"/>
              <w:right w:w="150" w:type="dxa"/>
            </w:tcMar>
          </w:tcPr>
          <w:p>
            <w:r>
              <w:rPr>
                <w:rFonts w:ascii="Arial" w:hAnsi="Arial"/>
                <w:color w:val="333333"/>
                <w:sz w:val="19"/>
              </w:rPr>
              <w:t>Core single-page application framework, high-speed build manager, and client-side page routing.</w:t>
            </w:r>
          </w:p>
        </w:tc>
      </w:tr>
      <w:tr>
        <w:tc>
          <w:tcPr>
            <w:tcW w:type="dxa" w:w="2160"/>
            <w:shd w:fill="F4F9F5"/>
            <w:tcMar>
              <w:top w:w="100" w:type="dxa"/>
              <w:bottom w:w="100" w:type="dxa"/>
              <w:left w:w="150" w:type="dxa"/>
              <w:right w:w="150" w:type="dxa"/>
            </w:tcMar>
          </w:tcPr>
          <w:p>
            <w:r>
              <w:rPr>
                <w:rFonts w:ascii="Arial" w:hAnsi="Arial"/>
                <w:color w:val="333333"/>
                <w:sz w:val="19"/>
              </w:rPr>
              <w:t>Frontend Design</w:t>
            </w:r>
          </w:p>
        </w:tc>
        <w:tc>
          <w:tcPr>
            <w:tcW w:type="dxa" w:w="3168"/>
            <w:shd w:fill="F4F9F5"/>
            <w:tcMar>
              <w:top w:w="100" w:type="dxa"/>
              <w:bottom w:w="100" w:type="dxa"/>
              <w:left w:w="150" w:type="dxa"/>
              <w:right w:w="150" w:type="dxa"/>
            </w:tcMar>
          </w:tcPr>
          <w:p>
            <w:r>
              <w:rPr>
                <w:rFonts w:ascii="Arial" w:hAnsi="Arial"/>
                <w:color w:val="333333"/>
                <w:sz w:val="19"/>
              </w:rPr>
              <w:t>Tailwind CSS v4, Framer Motion v12, React Icons</w:t>
            </w:r>
          </w:p>
        </w:tc>
        <w:tc>
          <w:tcPr>
            <w:tcW w:type="dxa" w:w="4032"/>
            <w:shd w:fill="F4F9F5"/>
            <w:tcMar>
              <w:top w:w="100" w:type="dxa"/>
              <w:bottom w:w="100" w:type="dxa"/>
              <w:left w:w="150" w:type="dxa"/>
              <w:right w:w="150" w:type="dxa"/>
            </w:tcMar>
          </w:tcPr>
          <w:p>
            <w:r>
              <w:rPr>
                <w:rFonts w:ascii="Arial" w:hAnsi="Arial"/>
                <w:color w:val="333333"/>
                <w:sz w:val="19"/>
              </w:rPr>
              <w:t>Utility-first design styling, clean UI animations, and modular icon library sets.</w:t>
            </w:r>
          </w:p>
        </w:tc>
      </w:tr>
      <w:tr>
        <w:tc>
          <w:tcPr>
            <w:tcW w:type="dxa" w:w="2160"/>
            <w:shd w:fill="FFFFFF"/>
            <w:tcMar>
              <w:top w:w="100" w:type="dxa"/>
              <w:bottom w:w="100" w:type="dxa"/>
              <w:left w:w="150" w:type="dxa"/>
              <w:right w:w="150" w:type="dxa"/>
            </w:tcMar>
          </w:tcPr>
          <w:p>
            <w:r>
              <w:rPr>
                <w:rFonts w:ascii="Arial" w:hAnsi="Arial"/>
                <w:color w:val="333333"/>
                <w:sz w:val="19"/>
              </w:rPr>
              <w:t>Frontend Logic</w:t>
            </w:r>
          </w:p>
        </w:tc>
        <w:tc>
          <w:tcPr>
            <w:tcW w:type="dxa" w:w="3168"/>
            <w:shd w:fill="FFFFFF"/>
            <w:tcMar>
              <w:top w:w="100" w:type="dxa"/>
              <w:bottom w:w="100" w:type="dxa"/>
              <w:left w:w="150" w:type="dxa"/>
              <w:right w:w="150" w:type="dxa"/>
            </w:tcMar>
          </w:tcPr>
          <w:p>
            <w:r>
              <w:rPr>
                <w:rFonts w:ascii="Arial" w:hAnsi="Arial"/>
                <w:color w:val="333333"/>
                <w:sz w:val="19"/>
              </w:rPr>
              <w:t>Axios, React Hook Form, Recharts, React Markdown</w:t>
            </w:r>
          </w:p>
        </w:tc>
        <w:tc>
          <w:tcPr>
            <w:tcW w:type="dxa" w:w="4032"/>
            <w:shd w:fill="FFFFFF"/>
            <w:tcMar>
              <w:top w:w="100" w:type="dxa"/>
              <w:bottom w:w="100" w:type="dxa"/>
              <w:left w:w="150" w:type="dxa"/>
              <w:right w:w="150" w:type="dxa"/>
            </w:tcMar>
          </w:tcPr>
          <w:p>
            <w:r>
              <w:rPr>
                <w:rFonts w:ascii="Arial" w:hAnsi="Arial"/>
                <w:color w:val="333333"/>
                <w:sz w:val="19"/>
              </w:rPr>
              <w:t>HTTP call engine, dynamic client form validation, dashboard visualization, and markdown content parser.</w:t>
            </w:r>
          </w:p>
        </w:tc>
      </w:tr>
      <w:tr>
        <w:tc>
          <w:tcPr>
            <w:tcW w:type="dxa" w:w="2160"/>
            <w:shd w:fill="F4F9F5"/>
            <w:tcMar>
              <w:top w:w="100" w:type="dxa"/>
              <w:bottom w:w="100" w:type="dxa"/>
              <w:left w:w="150" w:type="dxa"/>
              <w:right w:w="150" w:type="dxa"/>
            </w:tcMar>
          </w:tcPr>
          <w:p>
            <w:r>
              <w:rPr>
                <w:rFonts w:ascii="Arial" w:hAnsi="Arial"/>
                <w:color w:val="333333"/>
                <w:sz w:val="19"/>
              </w:rPr>
              <w:t>Backend Core</w:t>
            </w:r>
          </w:p>
        </w:tc>
        <w:tc>
          <w:tcPr>
            <w:tcW w:type="dxa" w:w="3168"/>
            <w:shd w:fill="F4F9F5"/>
            <w:tcMar>
              <w:top w:w="100" w:type="dxa"/>
              <w:bottom w:w="100" w:type="dxa"/>
              <w:left w:w="150" w:type="dxa"/>
              <w:right w:w="150" w:type="dxa"/>
            </w:tcMar>
          </w:tcPr>
          <w:p>
            <w:r>
              <w:rPr>
                <w:rFonts w:ascii="Arial" w:hAnsi="Arial"/>
                <w:color w:val="333333"/>
                <w:sz w:val="19"/>
              </w:rPr>
              <w:t>Node.js, Express.js</w:t>
            </w:r>
          </w:p>
        </w:tc>
        <w:tc>
          <w:tcPr>
            <w:tcW w:type="dxa" w:w="4032"/>
            <w:shd w:fill="F4F9F5"/>
            <w:tcMar>
              <w:top w:w="100" w:type="dxa"/>
              <w:bottom w:w="100" w:type="dxa"/>
              <w:left w:w="150" w:type="dxa"/>
              <w:right w:w="150" w:type="dxa"/>
            </w:tcMar>
          </w:tcPr>
          <w:p>
            <w:r>
              <w:rPr>
                <w:rFonts w:ascii="Arial" w:hAnsi="Arial"/>
                <w:color w:val="333333"/>
                <w:sz w:val="19"/>
              </w:rPr>
              <w:t>Server runtime environment and lightweight RESTful routing controller framework.</w:t>
            </w:r>
          </w:p>
        </w:tc>
      </w:tr>
      <w:tr>
        <w:tc>
          <w:tcPr>
            <w:tcW w:type="dxa" w:w="2160"/>
            <w:shd w:fill="FFFFFF"/>
            <w:tcMar>
              <w:top w:w="100" w:type="dxa"/>
              <w:bottom w:w="100" w:type="dxa"/>
              <w:left w:w="150" w:type="dxa"/>
              <w:right w:w="150" w:type="dxa"/>
            </w:tcMar>
          </w:tcPr>
          <w:p>
            <w:r>
              <w:rPr>
                <w:rFonts w:ascii="Arial" w:hAnsi="Arial"/>
                <w:color w:val="333333"/>
                <w:sz w:val="19"/>
              </w:rPr>
              <w:t>Database &amp; ORM</w:t>
            </w:r>
          </w:p>
        </w:tc>
        <w:tc>
          <w:tcPr>
            <w:tcW w:type="dxa" w:w="3168"/>
            <w:shd w:fill="FFFFFF"/>
            <w:tcMar>
              <w:top w:w="100" w:type="dxa"/>
              <w:bottom w:w="100" w:type="dxa"/>
              <w:left w:w="150" w:type="dxa"/>
              <w:right w:w="150" w:type="dxa"/>
            </w:tcMar>
          </w:tcPr>
          <w:p>
            <w:r>
              <w:rPr>
                <w:rFonts w:ascii="Arial" w:hAnsi="Arial"/>
                <w:color w:val="333333"/>
                <w:sz w:val="19"/>
              </w:rPr>
              <w:t>MySQL, Sequelize, Prisma Schema</w:t>
            </w:r>
          </w:p>
        </w:tc>
        <w:tc>
          <w:tcPr>
            <w:tcW w:type="dxa" w:w="4032"/>
            <w:shd w:fill="FFFFFF"/>
            <w:tcMar>
              <w:top w:w="100" w:type="dxa"/>
              <w:bottom w:w="100" w:type="dxa"/>
              <w:left w:w="150" w:type="dxa"/>
              <w:right w:w="150" w:type="dxa"/>
            </w:tcMar>
          </w:tcPr>
          <w:p>
            <w:r>
              <w:rPr>
                <w:rFonts w:ascii="Arial" w:hAnsi="Arial"/>
                <w:color w:val="333333"/>
                <w:sz w:val="19"/>
              </w:rPr>
              <w:t>Relational database server, object-relational mapper for backend controllers, and database migration manager.</w:t>
            </w:r>
          </w:p>
        </w:tc>
      </w:tr>
      <w:tr>
        <w:tc>
          <w:tcPr>
            <w:tcW w:type="dxa" w:w="2160"/>
            <w:shd w:fill="F4F9F5"/>
            <w:tcMar>
              <w:top w:w="100" w:type="dxa"/>
              <w:bottom w:w="100" w:type="dxa"/>
              <w:left w:w="150" w:type="dxa"/>
              <w:right w:w="150" w:type="dxa"/>
            </w:tcMar>
          </w:tcPr>
          <w:p>
            <w:r>
              <w:rPr>
                <w:rFonts w:ascii="Arial" w:hAnsi="Arial"/>
                <w:color w:val="333333"/>
                <w:sz w:val="19"/>
              </w:rPr>
              <w:t>External Integrations</w:t>
            </w:r>
          </w:p>
        </w:tc>
        <w:tc>
          <w:tcPr>
            <w:tcW w:type="dxa" w:w="3168"/>
            <w:shd w:fill="F4F9F5"/>
            <w:tcMar>
              <w:top w:w="100" w:type="dxa"/>
              <w:bottom w:w="100" w:type="dxa"/>
              <w:left w:w="150" w:type="dxa"/>
              <w:right w:w="150" w:type="dxa"/>
            </w:tcMar>
          </w:tcPr>
          <w:p>
            <w:r>
              <w:rPr>
                <w:rFonts w:ascii="Arial" w:hAnsi="Arial"/>
                <w:color w:val="333333"/>
                <w:sz w:val="19"/>
              </w:rPr>
              <w:t>Groq SDK, Stripe API, Nodemailer, Multer</w:t>
            </w:r>
          </w:p>
        </w:tc>
        <w:tc>
          <w:tcPr>
            <w:tcW w:type="dxa" w:w="4032"/>
            <w:shd w:fill="F4F9F5"/>
            <w:tcMar>
              <w:top w:w="100" w:type="dxa"/>
              <w:bottom w:w="100" w:type="dxa"/>
              <w:left w:w="150" w:type="dxa"/>
              <w:right w:w="150" w:type="dxa"/>
            </w:tcMar>
          </w:tcPr>
          <w:p>
            <w:r>
              <w:rPr>
                <w:rFonts w:ascii="Arial" w:hAnsi="Arial"/>
                <w:color w:val="333333"/>
                <w:sz w:val="19"/>
              </w:rPr>
              <w:t>AI diagnostic integration (LLaMA-3 models), credit-card payments, transaction emails, and file uploads.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