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100"/>
        <w:jc w:val="center"/>
      </w:pPr>
      <w:r>
        <w:rPr>
          <w:rFonts w:ascii="Tahoma" w:cs="Tahoma" w:eastAsia="Tahoma" w:hAnsi="Tahoma"/>
          <w:b/>
          <w:bCs/>
          <w:color w:val="1A1A2E"/>
          <w:sz w:val="56"/>
          <w:szCs w:val="56"/>
        </w:rPr>
        <w:t xml:space="preserve">الفريج العقاري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2C5F7C"/>
          <w:sz w:val="32"/>
          <w:szCs w:val="32"/>
        </w:rPr>
        <w:t xml:space="preserve">AL-FURAJ REAL ESTATE</w:t>
      </w:r>
    </w:p>
    <w:p>
      <w:pPr>
        <w:spacing w:after="100"/>
        <w:jc w:val="center"/>
      </w:pPr>
      <w:r>
        <w:rPr>
          <w:rFonts w:ascii="Tahoma" w:cs="Tahoma" w:eastAsia="Tahoma" w:hAnsi="Tahoma"/>
          <w:color w:val="B85C38"/>
          <w:sz w:val="28"/>
          <w:szCs w:val="28"/>
        </w:rPr>
        <w:t xml:space="preserve">دليل المنصة الشامل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66666"/>
          <w:sz w:val="24"/>
          <w:szCs w:val="24"/>
        </w:rPr>
        <w:t xml:space="preserve">Complete Platform Guide</w:t>
      </w:r>
    </w:p>
    <w:p>
      <w:pPr>
        <w:spacing w:after="600"/>
        <w:jc w:val="center"/>
      </w:pPr>
      <w:r>
        <w:rPr>
          <w:rFonts w:ascii="Tahoma" w:cs="Tahoma" w:eastAsia="Tahoma" w:hAnsi="Tahoma"/>
          <w:color w:val="666666"/>
          <w:sz w:val="22"/>
          <w:szCs w:val="22"/>
        </w:rPr>
        <w:t xml:space="preserve">الإصدار: انترنت 2026</w:t>
      </w:r>
    </w:p>
    <w:p>
      <w:r>
        <w:br w:type="page"/>
      </w:r>
    </w:p>
    <w:p>
      <w:pPr>
        <w:spacing w:after="100" w:before="400"/>
      </w:pPr>
    </w:p>
    <w:p>
      <w:pPr>
        <w:pStyle w:val="Heading1"/>
        <w:spacing w:after="60"/>
        <w:jc w:val="right"/>
      </w:pPr>
      <w:r>
        <w:rPr>
          <w:rFonts w:ascii="Tahoma" w:cs="Tahoma" w:eastAsia="Tahoma" w:hAnsi="Tahoma"/>
          <w:b/>
          <w:bCs/>
          <w:color w:val="1A1A2E"/>
          <w:sz w:val="32"/>
          <w:szCs w:val="32"/>
        </w:rPr>
        <w:t xml:space="preserve">فهرس المواقع</w:t>
      </w:r>
    </w:p>
    <w:p>
      <w:pPr>
        <w:pStyle w:val="Heading2"/>
        <w:spacing w:after="200"/>
        <w:jc w:val="left"/>
      </w:pPr>
      <w:r>
        <w:rPr>
          <w:rFonts w:ascii="Calibri" w:cs="Calibri" w:eastAsia="Calibri" w:hAnsi="Calibri"/>
          <w:i/>
          <w:iCs/>
          <w:color w:val="2C5F7C"/>
          <w:sz w:val="24"/>
          <w:szCs w:val="24"/>
        </w:rPr>
        <w:t xml:space="preserve">Table of Contents</w:t>
      </w:r>
    </w:p>
    <w:sdt>
      <w:sdtPr>
        <w:alias w:val="Guid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pacing w:after="100" w:before="400"/>
      </w:pPr>
    </w:p>
    <w:p>
      <w:pPr>
        <w:pStyle w:val="Heading1"/>
        <w:spacing w:after="60"/>
        <w:jc w:val="right"/>
      </w:pPr>
      <w:r>
        <w:rPr>
          <w:rFonts w:ascii="Tahoma" w:cs="Tahoma" w:eastAsia="Tahoma" w:hAnsi="Tahoma"/>
          <w:b/>
          <w:bCs/>
          <w:color w:val="1A1A2E"/>
          <w:sz w:val="32"/>
          <w:szCs w:val="32"/>
        </w:rPr>
        <w:t xml:space="preserve">ملخص بالمنصة</w:t>
      </w:r>
    </w:p>
    <w:p>
      <w:pPr>
        <w:pStyle w:val="Heading2"/>
        <w:spacing w:after="200"/>
        <w:jc w:val="left"/>
      </w:pPr>
      <w:r>
        <w:rPr>
          <w:rFonts w:ascii="Calibri" w:cs="Calibri" w:eastAsia="Calibri" w:hAnsi="Calibri"/>
          <w:i/>
          <w:iCs/>
          <w:color w:val="2C5F7C"/>
          <w:sz w:val="24"/>
          <w:szCs w:val="24"/>
        </w:rPr>
        <w:t xml:space="preserve">Platform Overview</w:t>
      </w:r>
    </w:p>
    <w:p>
      <w:pPr>
        <w:spacing w:after="200" w:line="360"/>
        <w:jc w:val="right"/>
      </w:pPr>
      <w:r>
        <w:rPr>
          <w:rFonts w:ascii="Tahoma" w:cs="Tahoma" w:eastAsia="Tahoma" w:hAnsi="Tahoma"/>
          <w:b w:val="false"/>
          <w:bCs w:val="false"/>
          <w:color w:val="333333"/>
          <w:sz w:val="24"/>
          <w:szCs w:val="24"/>
        </w:rPr>
        <w:t xml:space="preserve">منصة الفريج هي منصة عقارية شاملة تبحث في بيئاعات الفريج العقاري وتقيمها بالقيمة السوقية التقديرية.</w:t>
      </w:r>
    </w:p>
    <w:p>
      <w:pPr>
        <w:spacing w:after="200" w:line="360"/>
        <w:jc w:val="right"/>
      </w:pPr>
      <w:r>
        <w:rPr>
          <w:rFonts w:ascii="Tahoma" w:cs="Tahoma" w:eastAsia="Tahoma" w:hAnsi="Tahoma"/>
          <w:b w:val="false"/>
          <w:bCs w:val="false"/>
          <w:color w:val="333333"/>
          <w:sz w:val="24"/>
          <w:szCs w:val="24"/>
        </w:rPr>
        <w:t xml:space="preserve">تميز المنصة بالبحث الذكي عن طريق اللغة الطبيعية العربية.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"/>
        <w:gridCol w:w="35"/>
        <w:gridCol w:w="30"/>
      </w:tblGrid>
      <w:tr>
        <w:trPr>
          <w:tblHeader/>
        </w:trPr>
        <w:tc>
          <w:tcPr>
            <w:tcW w:type="pct" w:w="35%"/>
            <w:shd w:fill="1A1A2E" w:color="auto" w:val="clear"/>
          </w:tcPr>
          <w:p>
            <w:pPr>
              <w:spacing w:after="60" w:before="60"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المعلومة</w:t>
            </w:r>
          </w:p>
        </w:tc>
        <w:tc>
          <w:tcPr>
            <w:tcW w:type="pct" w:w="35%"/>
            <w:shd w:fill="1A1A2E" w:color="auto" w:val="clear"/>
          </w:tcPr>
          <w:p>
            <w:pPr>
              <w:spacing w:after="60" w:before="60"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القيمة</w:t>
            </w:r>
          </w:p>
        </w:tc>
        <w:tc>
          <w:tcPr>
            <w:tcW w:type="pct" w:w="30%"/>
            <w:shd w:fill="1A1A2E" w:color="auto" w:val="clear"/>
          </w:tcPr>
          <w:p>
            <w:pPr>
              <w:spacing w:after="60" w:before="60"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الحالة</w:t>
            </w:r>
          </w:p>
        </w:tc>
      </w:tr>
      <w:tr>
        <w:trPr>
          <w:tblHeader w:val="false"/>
        </w:trPr>
        <w:tc>
          <w:tcPr>
            <w:tcW w:type="pct" w:w="35%"/>
            <w:shd w:fill="FFFFFF" w:color="auto" w:val="clear"/>
          </w:tcPr>
          <w:p>
            <w:pPr>
              <w:spacing w:after="60" w:before="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444444"/>
                <w:sz w:val="20"/>
                <w:szCs w:val="20"/>
              </w:rPr>
              <w:t xml:space="preserve">إعلانات الفريج</w:t>
            </w:r>
          </w:p>
        </w:tc>
        <w:tc>
          <w:tcPr>
            <w:tcW w:type="pct" w:w="35%"/>
            <w:shd w:fill="FFFFFF" w:color="auto" w:val="clear"/>
          </w:tcPr>
          <w:p>
            <w:pPr>
              <w:spacing w:after="60" w:before="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444444"/>
                <w:sz w:val="20"/>
                <w:szCs w:val="20"/>
              </w:rPr>
              <w:t xml:space="preserve">182</w:t>
            </w:r>
          </w:p>
        </w:tc>
        <w:tc>
          <w:tcPr>
            <w:tcW w:type="pct" w:w="30%"/>
            <w:shd w:fill="FFFFFF" w:color="auto" w:val="clear"/>
          </w:tcPr>
          <w:p>
            <w:pPr>
              <w:spacing w:after="60" w:before="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444444"/>
                <w:sz w:val="20"/>
                <w:szCs w:val="20"/>
              </w:rPr>
              <w:t xml:space="preserve">متصلمة</w:t>
            </w:r>
          </w:p>
        </w:tc>
      </w:tr>
      <w:tr>
        <w:trPr>
          <w:tblHeader w:val="false"/>
        </w:trPr>
        <w:tc>
          <w:tcPr>
            <w:tcW w:type="pct" w:w="35%"/>
            <w:shd w:fill="FFFFFF" w:color="auto" w:val="clear"/>
          </w:tcPr>
          <w:p>
            <w:pPr>
              <w:spacing w:after="60" w:before="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444444"/>
                <w:sz w:val="20"/>
                <w:szCs w:val="20"/>
              </w:rPr>
              <w:t xml:space="preserve">إعلانات المواقع الخارجية</w:t>
            </w:r>
          </w:p>
        </w:tc>
        <w:tc>
          <w:tcPr>
            <w:tcW w:type="pct" w:w="35%"/>
            <w:shd w:fill="FFFFFF" w:color="auto" w:val="clear"/>
          </w:tcPr>
          <w:p>
            <w:pPr>
              <w:spacing w:after="60" w:before="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444444"/>
                <w:sz w:val="20"/>
                <w:szCs w:val="20"/>
              </w:rPr>
              <w:t xml:space="preserve">2700+</w:t>
            </w:r>
          </w:p>
        </w:tc>
        <w:tc>
          <w:tcPr>
            <w:tcW w:type="pct" w:w="30%"/>
            <w:shd w:fill="FFFFFF" w:color="auto" w:val="clear"/>
          </w:tcPr>
          <w:p>
            <w:pPr>
              <w:spacing w:after="60" w:before="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444444"/>
                <w:sz w:val="20"/>
                <w:szCs w:val="20"/>
              </w:rPr>
              <w:t xml:space="preserve">من 6 مصادر</w:t>
            </w:r>
          </w:p>
        </w:tc>
      </w:tr>
      <w:tr>
        <w:trPr>
          <w:tblHeader w:val="false"/>
        </w:trPr>
        <w:tc>
          <w:tcPr>
            <w:tcW w:type="pct" w:w="35%"/>
            <w:shd w:fill="FFFFFF" w:color="auto" w:val="clear"/>
          </w:tcPr>
          <w:p>
            <w:pPr>
              <w:spacing w:after="60" w:before="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444444"/>
                <w:sz w:val="20"/>
                <w:szCs w:val="20"/>
              </w:rPr>
              <w:t xml:space="preserve">فرص المكسب</w:t>
            </w:r>
          </w:p>
        </w:tc>
        <w:tc>
          <w:tcPr>
            <w:tcW w:type="pct" w:w="35%"/>
            <w:shd w:fill="FFFFFF" w:color="auto" w:val="clear"/>
          </w:tcPr>
          <w:p>
            <w:pPr>
              <w:spacing w:after="60" w:before="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444444"/>
                <w:sz w:val="20"/>
                <w:szCs w:val="20"/>
              </w:rPr>
              <w:t xml:space="preserve">421/695</w:t>
            </w:r>
          </w:p>
        </w:tc>
        <w:tc>
          <w:tcPr>
            <w:tcW w:type="pct" w:w="30%"/>
            <w:shd w:fill="FFFFFF" w:color="auto" w:val="clear"/>
          </w:tcPr>
          <w:p>
            <w:pPr>
              <w:spacing w:after="60" w:before="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444444"/>
                <w:sz w:val="20"/>
                <w:szCs w:val="20"/>
              </w:rPr>
              <w:t xml:space="preserve">تلقائية</w:t>
            </w:r>
          </w:p>
        </w:tc>
      </w:tr>
      <w:tr>
        <w:trPr>
          <w:tblHeader w:val="false"/>
        </w:trPr>
        <w:tc>
          <w:tcPr>
            <w:tcW w:type="pct" w:w="35%"/>
            <w:shd w:fill="FFFFFF" w:color="auto" w:val="clear"/>
          </w:tcPr>
          <w:p>
            <w:pPr>
              <w:spacing w:after="60" w:before="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444444"/>
                <w:sz w:val="20"/>
                <w:szCs w:val="20"/>
              </w:rPr>
              <w:t xml:space="preserve">إعلانات السوق</w:t>
            </w:r>
          </w:p>
        </w:tc>
        <w:tc>
          <w:tcPr>
            <w:tcW w:type="pct" w:w="35%"/>
            <w:shd w:fill="FFFFFF" w:color="auto" w:val="clear"/>
          </w:tcPr>
          <w:p>
            <w:pPr>
              <w:spacing w:after="60" w:before="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444444"/>
                <w:sz w:val="20"/>
                <w:szCs w:val="20"/>
              </w:rPr>
              <w:t xml:space="preserve">999+</w:t>
            </w:r>
          </w:p>
        </w:tc>
        <w:tc>
          <w:tcPr>
            <w:tcW w:type="pct" w:w="30%"/>
            <w:shd w:fill="FFFFFF" w:color="auto" w:val="clear"/>
          </w:tcPr>
          <w:p>
            <w:pPr>
              <w:spacing w:after="60" w:before="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444444"/>
                <w:sz w:val="20"/>
                <w:szCs w:val="20"/>
              </w:rPr>
              <w:t xml:space="preserve">متحدثة</w:t>
            </w:r>
          </w:p>
        </w:tc>
      </w:tr>
    </w:tbl>
    <w:p>
      <w:pPr>
        <w:spacing w:after="300"/>
      </w:pPr>
    </w:p>
    <w:p>
      <w:pPr>
        <w:spacing w:after="100" w:before="400"/>
      </w:pPr>
    </w:p>
    <w:p>
      <w:pPr>
        <w:pStyle w:val="Heading1"/>
        <w:spacing w:after="60"/>
        <w:jc w:val="right"/>
      </w:pPr>
      <w:r>
        <w:rPr>
          <w:rFonts w:ascii="Tahoma" w:cs="Tahoma" w:eastAsia="Tahoma" w:hAnsi="Tahoma"/>
          <w:b/>
          <w:bCs/>
          <w:color w:val="1A1A2E"/>
          <w:sz w:val="32"/>
          <w:szCs w:val="32"/>
        </w:rPr>
        <w:t xml:space="preserve">الميزات الرئيسية</w:t>
      </w:r>
    </w:p>
    <w:p>
      <w:pPr>
        <w:pStyle w:val="Heading2"/>
        <w:spacing w:after="200"/>
        <w:jc w:val="left"/>
      </w:pPr>
      <w:r>
        <w:rPr>
          <w:rFonts w:ascii="Calibri" w:cs="Calibri" w:eastAsia="Calibri" w:hAnsi="Calibri"/>
          <w:i/>
          <w:iCs/>
          <w:color w:val="2C5F7C"/>
          <w:sz w:val="24"/>
          <w:szCs w:val="24"/>
        </w:rPr>
        <w:t xml:space="preserve">Key Features</w:t>
      </w:r>
    </w:p>
    <w:p>
      <w:pPr>
        <w:spacing w:after="80" w:before="250"/>
      </w:pPr>
    </w:p>
    <w:p>
      <w:pPr>
        <w:pStyle w:val="Heading3"/>
        <w:spacing w:after="40"/>
        <w:jc w:val="right"/>
      </w:pPr>
      <w:r>
        <w:rPr>
          <w:rFonts w:ascii="Tahoma" w:cs="Tahoma" w:eastAsia="Tahoma" w:hAnsi="Tahoma"/>
          <w:b/>
          <w:bCs/>
          <w:color w:val="B85C38"/>
          <w:sz w:val="26"/>
          <w:szCs w:val="26"/>
        </w:rPr>
        <w:t xml:space="preserve">1. البحث الذكي</w:t>
      </w:r>
    </w:p>
    <w:p>
      <w:pPr>
        <w:spacing w:after="150"/>
        <w:jc w:val="left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Smart Real Estate Search</w:t>
      </w:r>
    </w:p>
    <w:p>
      <w:pPr>
        <w:spacing w:after="200" w:line="360"/>
        <w:jc w:val="right"/>
      </w:pPr>
      <w:r>
        <w:rPr>
          <w:rFonts w:ascii="Tahoma" w:cs="Tahoma" w:eastAsia="Tahoma" w:hAnsi="Tahoma"/>
          <w:b w:val="false"/>
          <w:bCs w:val="false"/>
          <w:color w:val="333333"/>
          <w:sz w:val="24"/>
          <w:szCs w:val="24"/>
        </w:rPr>
        <w:t xml:space="preserve">يسمح لك البحث باللغة الطبيعية بطريقة بسيتة.</w:t>
      </w:r>
    </w:p>
    <w:p>
      <w:pPr>
        <w:spacing w:after="100" w:line="340"/>
        <w:ind w:right="576"/>
        <w:jc w:val="right"/>
      </w:pPr>
      <w:r>
        <w:rPr>
          <w:rFonts w:ascii="Tahoma" w:cs="Tahoma" w:eastAsia="Tahoma" w:hAnsi="Tahoma"/>
          <w:color w:val="B85C38"/>
          <w:sz w:val="22"/>
          <w:szCs w:val="22"/>
        </w:rPr>
        <w:t xml:space="preserve">•  </w:t>
      </w:r>
      <w:r>
        <w:rPr>
          <w:rFonts w:ascii="Tahoma" w:cs="Tahoma" w:eastAsia="Tahoma" w:hAnsi="Tahoma"/>
          <w:color w:val="444444"/>
          <w:sz w:val="22"/>
          <w:szCs w:val="22"/>
        </w:rPr>
        <w:t xml:space="preserve">بحث من مصادر مختلفة: الفريج + OpenSooq + Mourjan + 4Sale + FindQ8</w:t>
      </w:r>
    </w:p>
    <w:p>
      <w:pPr>
        <w:spacing w:after="100" w:line="340"/>
        <w:ind w:right="576"/>
        <w:jc w:val="right"/>
      </w:pPr>
      <w:r>
        <w:rPr>
          <w:rFonts w:ascii="Tahoma" w:cs="Tahoma" w:eastAsia="Tahoma" w:hAnsi="Tahoma"/>
          <w:color w:val="B85C38"/>
          <w:sz w:val="22"/>
          <w:szCs w:val="22"/>
        </w:rPr>
        <w:t xml:space="preserve">•  </w:t>
      </w:r>
      <w:r>
        <w:rPr>
          <w:rFonts w:ascii="Tahoma" w:cs="Tahoma" w:eastAsia="Tahoma" w:hAnsi="Tahoma"/>
          <w:color w:val="444444"/>
          <w:sz w:val="22"/>
          <w:szCs w:val="22"/>
        </w:rPr>
        <w:t xml:space="preserve">التوفيق الذكي: مراجعة عقارية من مصدرين مختلفين</w:t>
      </w:r>
    </w:p>
    <w:p>
      <w:pPr>
        <w:spacing w:after="100" w:line="340"/>
        <w:ind w:right="576"/>
        <w:jc w:val="right"/>
      </w:pPr>
      <w:r>
        <w:rPr>
          <w:rFonts w:ascii="Tahoma" w:cs="Tahoma" w:eastAsia="Tahoma" w:hAnsi="Tahoma"/>
          <w:color w:val="B85C38"/>
          <w:sz w:val="22"/>
          <w:szCs w:val="22"/>
        </w:rPr>
        <w:t xml:space="preserve">•  </w:t>
      </w:r>
      <w:r>
        <w:rPr>
          <w:rFonts w:ascii="Tahoma" w:cs="Tahoma" w:eastAsia="Tahoma" w:hAnsi="Tahoma"/>
          <w:color w:val="444444"/>
          <w:sz w:val="22"/>
          <w:szCs w:val="22"/>
        </w:rPr>
        <w:t xml:space="preserve">تقييم العقار بالمقارنة المحلية</w:t>
      </w:r>
    </w:p>
    <w:p>
      <w:pPr>
        <w:spacing w:after="80" w:before="250"/>
      </w:pPr>
    </w:p>
    <w:p>
      <w:pPr>
        <w:pStyle w:val="Heading3"/>
        <w:spacing w:after="40"/>
        <w:jc w:val="right"/>
      </w:pPr>
      <w:r>
        <w:rPr>
          <w:rFonts w:ascii="Tahoma" w:cs="Tahoma" w:eastAsia="Tahoma" w:hAnsi="Tahoma"/>
          <w:b/>
          <w:bCs/>
          <w:color w:val="B85C38"/>
          <w:sz w:val="26"/>
          <w:szCs w:val="26"/>
        </w:rPr>
        <w:t xml:space="preserve">2. التقييم المقارن الذكي</w:t>
      </w:r>
    </w:p>
    <w:p>
      <w:pPr>
        <w:spacing w:after="150"/>
        <w:jc w:val="left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Smart Comparative Valuation</w:t>
      </w:r>
    </w:p>
    <w:p>
      <w:pPr>
        <w:spacing w:after="200" w:line="360"/>
        <w:jc w:val="right"/>
      </w:pPr>
      <w:r>
        <w:rPr>
          <w:rFonts w:ascii="Tahoma" w:cs="Tahoma" w:eastAsia="Tahoma" w:hAnsi="Tahoma"/>
          <w:b w:val="false"/>
          <w:bCs w:val="false"/>
          <w:color w:val="333333"/>
          <w:sz w:val="24"/>
          <w:szCs w:val="24"/>
        </w:rPr>
        <w:t xml:space="preserve">يقيم كل عقار بالقيمة السوقية التقديرية.</w:t>
      </w:r>
    </w:p>
    <w:p>
      <w:pPr>
        <w:spacing w:after="100" w:line="340"/>
        <w:ind w:right="576"/>
        <w:jc w:val="right"/>
      </w:pPr>
      <w:r>
        <w:rPr>
          <w:rFonts w:ascii="Tahoma" w:cs="Tahoma" w:eastAsia="Tahoma" w:hAnsi="Tahoma"/>
          <w:color w:val="B85C38"/>
          <w:sz w:val="22"/>
          <w:szCs w:val="22"/>
        </w:rPr>
        <w:t xml:space="preserve">•  </w:t>
      </w:r>
      <w:r>
        <w:rPr>
          <w:rFonts w:ascii="Tahoma" w:cs="Tahoma" w:eastAsia="Tahoma" w:hAnsi="Tahoma"/>
          <w:color w:val="444444"/>
          <w:sz w:val="22"/>
          <w:szCs w:val="22"/>
        </w:rPr>
        <w:t xml:space="preserve">جحز أسعار المتر المتوقعة في المنطقة</w:t>
      </w:r>
    </w:p>
    <w:p>
      <w:pPr>
        <w:spacing w:after="100" w:line="340"/>
        <w:ind w:right="576"/>
        <w:jc w:val="right"/>
      </w:pPr>
      <w:r>
        <w:rPr>
          <w:rFonts w:ascii="Tahoma" w:cs="Tahoma" w:eastAsia="Tahoma" w:hAnsi="Tahoma"/>
          <w:color w:val="B85C38"/>
          <w:sz w:val="22"/>
          <w:szCs w:val="22"/>
        </w:rPr>
        <w:t xml:space="preserve">•  </w:t>
      </w:r>
      <w:r>
        <w:rPr>
          <w:rFonts w:ascii="Tahoma" w:cs="Tahoma" w:eastAsia="Tahoma" w:hAnsi="Tahoma"/>
          <w:color w:val="444444"/>
          <w:sz w:val="22"/>
          <w:szCs w:val="22"/>
        </w:rPr>
        <w:t xml:space="preserve">حكم: لقطة / عادي / غالي</w:t>
      </w:r>
    </w:p>
    <w:p>
      <w:pPr>
        <w:spacing w:after="100" w:line="340"/>
        <w:ind w:right="576"/>
        <w:jc w:val="right"/>
      </w:pPr>
      <w:r>
        <w:rPr>
          <w:rFonts w:ascii="Tahoma" w:cs="Tahoma" w:eastAsia="Tahoma" w:hAnsi="Tahoma"/>
          <w:color w:val="B85C38"/>
          <w:sz w:val="22"/>
          <w:szCs w:val="22"/>
        </w:rPr>
        <w:t xml:space="preserve">•  </w:t>
      </w:r>
      <w:r>
        <w:rPr>
          <w:rFonts w:ascii="Tahoma" w:cs="Tahoma" w:eastAsia="Tahoma" w:hAnsi="Tahoma"/>
          <w:color w:val="444444"/>
          <w:sz w:val="22"/>
          <w:szCs w:val="22"/>
        </w:rPr>
        <w:t xml:space="preserve">العائد الإيجاري السنوي</w:t>
      </w:r>
    </w:p>
    <w:p>
      <w:pPr>
        <w:spacing w:after="80" w:before="250"/>
      </w:pPr>
    </w:p>
    <w:p>
      <w:pPr>
        <w:pStyle w:val="Heading3"/>
        <w:spacing w:after="40"/>
        <w:jc w:val="right"/>
      </w:pPr>
      <w:r>
        <w:rPr>
          <w:rFonts w:ascii="Tahoma" w:cs="Tahoma" w:eastAsia="Tahoma" w:hAnsi="Tahoma"/>
          <w:b/>
          <w:bCs/>
          <w:color w:val="B85C38"/>
          <w:sz w:val="26"/>
          <w:szCs w:val="26"/>
        </w:rPr>
        <w:t xml:space="preserve">3. فرص المكسب</w:t>
      </w:r>
    </w:p>
    <w:p>
      <w:pPr>
        <w:spacing w:after="150"/>
        <w:jc w:val="left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Profit Opportunities</w:t>
      </w:r>
    </w:p>
    <w:p>
      <w:pPr>
        <w:spacing w:after="200" w:line="360"/>
        <w:jc w:val="right"/>
      </w:pPr>
      <w:r>
        <w:rPr>
          <w:rFonts w:ascii="Tahoma" w:cs="Tahoma" w:eastAsia="Tahoma" w:hAnsi="Tahoma"/>
          <w:b w:val="false"/>
          <w:bCs w:val="false"/>
          <w:color w:val="333333"/>
          <w:sz w:val="24"/>
          <w:szCs w:val="24"/>
        </w:rPr>
        <w:t xml:space="preserve">ترصد فرص مكسب تقيمية بواسطة العرض بالطلب.</w:t>
      </w:r>
    </w:p>
    <w:p>
      <w:pPr>
        <w:spacing w:after="100" w:line="340"/>
        <w:ind w:right="576"/>
        <w:jc w:val="right"/>
      </w:pPr>
      <w:r>
        <w:rPr>
          <w:rFonts w:ascii="Tahoma" w:cs="Tahoma" w:eastAsia="Tahoma" w:hAnsi="Tahoma"/>
          <w:color w:val="B85C38"/>
          <w:sz w:val="22"/>
          <w:szCs w:val="22"/>
        </w:rPr>
        <w:t xml:space="preserve">•  </w:t>
      </w:r>
      <w:r>
        <w:rPr>
          <w:rFonts w:ascii="Tahoma" w:cs="Tahoma" w:eastAsia="Tahoma" w:hAnsi="Tahoma"/>
          <w:color w:val="444444"/>
          <w:sz w:val="22"/>
          <w:szCs w:val="22"/>
        </w:rPr>
        <w:t xml:space="preserve">الرصم البيعي بالسعر المتوقع</w:t>
      </w:r>
    </w:p>
    <w:p>
      <w:pPr>
        <w:spacing w:after="100" w:line="340"/>
        <w:ind w:right="576"/>
        <w:jc w:val="right"/>
      </w:pPr>
      <w:r>
        <w:rPr>
          <w:rFonts w:ascii="Tahoma" w:cs="Tahoma" w:eastAsia="Tahoma" w:hAnsi="Tahoma"/>
          <w:color w:val="B85C38"/>
          <w:sz w:val="22"/>
          <w:szCs w:val="22"/>
        </w:rPr>
        <w:t xml:space="preserve">•  </w:t>
      </w:r>
      <w:r>
        <w:rPr>
          <w:rFonts w:ascii="Tahoma" w:cs="Tahoma" w:eastAsia="Tahoma" w:hAnsi="Tahoma"/>
          <w:color w:val="444444"/>
          <w:sz w:val="22"/>
          <w:szCs w:val="22"/>
        </w:rPr>
        <w:t xml:space="preserve">الفرق بين سعر العرض والسعر المتوقع</w:t>
      </w:r>
    </w:p>
    <w:p>
      <w:pPr>
        <w:spacing w:after="80" w:before="250"/>
      </w:pPr>
    </w:p>
    <w:p>
      <w:pPr>
        <w:pStyle w:val="Heading3"/>
        <w:spacing w:after="40"/>
        <w:jc w:val="right"/>
      </w:pPr>
      <w:r>
        <w:rPr>
          <w:rFonts w:ascii="Tahoma" w:cs="Tahoma" w:eastAsia="Tahoma" w:hAnsi="Tahoma"/>
          <w:b/>
          <w:bCs/>
          <w:color w:val="B85C38"/>
          <w:sz w:val="26"/>
          <w:szCs w:val="26"/>
        </w:rPr>
        <w:t xml:space="preserve">4. المساعد الذكي</w:t>
      </w:r>
    </w:p>
    <w:p>
      <w:pPr>
        <w:spacing w:after="150"/>
        <w:jc w:val="left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AI-Powered Assistant</w:t>
      </w:r>
    </w:p>
    <w:p>
      <w:pPr>
        <w:spacing w:after="200" w:line="360"/>
        <w:jc w:val="right"/>
      </w:pPr>
      <w:r>
        <w:rPr>
          <w:rFonts w:ascii="Tahoma" w:cs="Tahoma" w:eastAsia="Tahoma" w:hAnsi="Tahoma"/>
          <w:b w:val="false"/>
          <w:bCs w:val="false"/>
          <w:color w:val="333333"/>
          <w:sz w:val="24"/>
          <w:szCs w:val="24"/>
        </w:rPr>
        <w:t xml:space="preserve">مساعد عقاري بالبحث الذكي بسرعة فورية.</w:t>
      </w:r>
    </w:p>
    <w:p>
      <w:pPr>
        <w:spacing w:after="100" w:line="340"/>
        <w:ind w:right="576"/>
        <w:jc w:val="right"/>
      </w:pPr>
      <w:r>
        <w:rPr>
          <w:rFonts w:ascii="Tahoma" w:cs="Tahoma" w:eastAsia="Tahoma" w:hAnsi="Tahoma"/>
          <w:color w:val="B85C38"/>
          <w:sz w:val="22"/>
          <w:szCs w:val="22"/>
        </w:rPr>
        <w:t xml:space="preserve">•  </w:t>
      </w:r>
      <w:r>
        <w:rPr>
          <w:rFonts w:ascii="Tahoma" w:cs="Tahoma" w:eastAsia="Tahoma" w:hAnsi="Tahoma"/>
          <w:color w:val="444444"/>
          <w:sz w:val="22"/>
          <w:szCs w:val="22"/>
        </w:rPr>
        <w:t xml:space="preserve">البحث باللغة الطبيعية العربية</w:t>
      </w:r>
    </w:p>
    <w:p>
      <w:pPr>
        <w:spacing w:after="100" w:line="340"/>
        <w:ind w:right="576"/>
        <w:jc w:val="right"/>
      </w:pPr>
      <w:r>
        <w:rPr>
          <w:rFonts w:ascii="Tahoma" w:cs="Tahoma" w:eastAsia="Tahoma" w:hAnsi="Tahoma"/>
          <w:color w:val="B85C38"/>
          <w:sz w:val="22"/>
          <w:szCs w:val="22"/>
        </w:rPr>
        <w:t xml:space="preserve">•  </w:t>
      </w:r>
      <w:r>
        <w:rPr>
          <w:rFonts w:ascii="Tahoma" w:cs="Tahoma" w:eastAsia="Tahoma" w:hAnsi="Tahoma"/>
          <w:color w:val="444444"/>
          <w:sz w:val="22"/>
          <w:szCs w:val="22"/>
        </w:rPr>
        <w:t xml:space="preserve">الأستعلام باللغة المبسطة</w:t>
      </w:r>
    </w:p>
    <w:p>
      <w:pPr>
        <w:spacing w:after="100" w:line="340"/>
        <w:ind w:right="576"/>
        <w:jc w:val="right"/>
      </w:pPr>
      <w:r>
        <w:rPr>
          <w:rFonts w:ascii="Tahoma" w:cs="Tahoma" w:eastAsia="Tahoma" w:hAnsi="Tahoma"/>
          <w:color w:val="B85C38"/>
          <w:sz w:val="22"/>
          <w:szCs w:val="22"/>
        </w:rPr>
        <w:t xml:space="preserve">•  </w:t>
      </w:r>
      <w:r>
        <w:rPr>
          <w:rFonts w:ascii="Tahoma" w:cs="Tahoma" w:eastAsia="Tahoma" w:hAnsi="Tahoma"/>
          <w:color w:val="444444"/>
          <w:sz w:val="22"/>
          <w:szCs w:val="22"/>
        </w:rPr>
        <w:t xml:space="preserve">ترجيع النتائج بصيغة PDF وإكسل</w:t>
      </w:r>
    </w:p>
    <w:p>
      <w:pPr>
        <w:spacing w:after="100" w:before="400"/>
      </w:pPr>
    </w:p>
    <w:p>
      <w:pPr>
        <w:pStyle w:val="Heading1"/>
        <w:spacing w:after="60"/>
        <w:jc w:val="right"/>
      </w:pPr>
      <w:r>
        <w:rPr>
          <w:rFonts w:ascii="Tahoma" w:cs="Tahoma" w:eastAsia="Tahoma" w:hAnsi="Tahoma"/>
          <w:b/>
          <w:bCs/>
          <w:color w:val="1A1A2E"/>
          <w:sz w:val="32"/>
          <w:szCs w:val="32"/>
        </w:rPr>
        <w:t xml:space="preserve">بدء الاستخدام</w:t>
      </w:r>
    </w:p>
    <w:p>
      <w:pPr>
        <w:pStyle w:val="Heading2"/>
        <w:spacing w:after="200"/>
        <w:jc w:val="left"/>
      </w:pPr>
      <w:r>
        <w:rPr>
          <w:rFonts w:ascii="Calibri" w:cs="Calibri" w:eastAsia="Calibri" w:hAnsi="Calibri"/>
          <w:i/>
          <w:iCs/>
          <w:color w:val="2C5F7C"/>
          <w:sz w:val="24"/>
          <w:szCs w:val="24"/>
        </w:rPr>
        <w:t xml:space="preserve">Getting Started</w:t>
      </w:r>
    </w:p>
    <w:p>
      <w:pPr>
        <w:spacing w:after="200" w:line="360"/>
        <w:jc w:val="right"/>
      </w:pPr>
      <w:r>
        <w:rPr>
          <w:rFonts w:ascii="Tahoma" w:cs="Tahoma" w:eastAsia="Tahoma" w:hAnsi="Tahoma"/>
          <w:b/>
          <w:bCs/>
          <w:color w:val="333333"/>
          <w:sz w:val="24"/>
          <w:szCs w:val="24"/>
        </w:rPr>
        <w:t xml:space="preserve">للبدء استخدام المنصة:</w:t>
      </w:r>
    </w:p>
    <w:p>
      <w:pPr>
        <w:spacing w:after="100" w:line="340"/>
        <w:ind w:right="576"/>
        <w:jc w:val="right"/>
      </w:pPr>
      <w:r>
        <w:rPr>
          <w:rFonts w:ascii="Tahoma" w:cs="Tahoma" w:eastAsia="Tahoma" w:hAnsi="Tahoma"/>
          <w:color w:val="B85C38"/>
          <w:sz w:val="22"/>
          <w:szCs w:val="22"/>
        </w:rPr>
        <w:t xml:space="preserve">•  </w:t>
      </w:r>
      <w:r>
        <w:rPr>
          <w:rFonts w:ascii="Tahoma" w:cs="Tahoma" w:eastAsia="Tahoma" w:hAnsi="Tahoma"/>
          <w:color w:val="444444"/>
          <w:sz w:val="22"/>
          <w:szCs w:val="22"/>
        </w:rPr>
        <w:t xml:space="preserve">1. عمل برنامج «حسابي» برقم الهاتف أو Google</w:t>
      </w:r>
    </w:p>
    <w:p>
      <w:pPr>
        <w:spacing w:after="100" w:line="340"/>
        <w:ind w:right="576"/>
        <w:jc w:val="right"/>
      </w:pPr>
      <w:r>
        <w:rPr>
          <w:rFonts w:ascii="Tahoma" w:cs="Tahoma" w:eastAsia="Tahoma" w:hAnsi="Tahoma"/>
          <w:color w:val="B85C38"/>
          <w:sz w:val="22"/>
          <w:szCs w:val="22"/>
        </w:rPr>
        <w:t xml:space="preserve">•  </w:t>
      </w:r>
      <w:r>
        <w:rPr>
          <w:rFonts w:ascii="Tahoma" w:cs="Tahoma" w:eastAsia="Tahoma" w:hAnsi="Tahoma"/>
          <w:color w:val="444444"/>
          <w:sz w:val="22"/>
          <w:szCs w:val="22"/>
        </w:rPr>
        <w:t xml:space="preserve">2. اكتب طلبك العقاري</w:t>
      </w:r>
    </w:p>
    <w:p>
      <w:pPr>
        <w:spacing w:after="100" w:line="340"/>
        <w:ind w:right="576"/>
        <w:jc w:val="right"/>
      </w:pPr>
      <w:r>
        <w:rPr>
          <w:rFonts w:ascii="Tahoma" w:cs="Tahoma" w:eastAsia="Tahoma" w:hAnsi="Tahoma"/>
          <w:color w:val="B85C38"/>
          <w:sz w:val="22"/>
          <w:szCs w:val="22"/>
        </w:rPr>
        <w:t xml:space="preserve">•  </w:t>
      </w:r>
      <w:r>
        <w:rPr>
          <w:rFonts w:ascii="Tahoma" w:cs="Tahoma" w:eastAsia="Tahoma" w:hAnsi="Tahoma"/>
          <w:color w:val="444444"/>
          <w:sz w:val="22"/>
          <w:szCs w:val="22"/>
        </w:rPr>
        <w:t xml:space="preserve">3. اختر نطقة المصدر</w:t>
      </w:r>
    </w:p>
    <w:p>
      <w:pPr>
        <w:spacing w:after="100" w:line="340"/>
        <w:ind w:right="576"/>
        <w:jc w:val="right"/>
      </w:pPr>
      <w:r>
        <w:rPr>
          <w:rFonts w:ascii="Tahoma" w:cs="Tahoma" w:eastAsia="Tahoma" w:hAnsi="Tahoma"/>
          <w:color w:val="B85C38"/>
          <w:sz w:val="22"/>
          <w:szCs w:val="22"/>
        </w:rPr>
        <w:t xml:space="preserve">•  </w:t>
      </w:r>
      <w:r>
        <w:rPr>
          <w:rFonts w:ascii="Tahoma" w:cs="Tahoma" w:eastAsia="Tahoma" w:hAnsi="Tahoma"/>
          <w:color w:val="444444"/>
          <w:sz w:val="22"/>
          <w:szCs w:val="22"/>
        </w:rPr>
        <w:t xml:space="preserve">4. ارجع النتائج المشتملة</w:t>
      </w:r>
    </w:p>
    <w:p>
      <w:pPr>
        <w:spacing w:after="100" w:line="340"/>
        <w:ind w:right="576"/>
        <w:jc w:val="right"/>
      </w:pPr>
      <w:r>
        <w:rPr>
          <w:rFonts w:ascii="Tahoma" w:cs="Tahoma" w:eastAsia="Tahoma" w:hAnsi="Tahoma"/>
          <w:color w:val="B85C38"/>
          <w:sz w:val="22"/>
          <w:szCs w:val="22"/>
        </w:rPr>
        <w:t xml:space="preserve">•  </w:t>
      </w:r>
      <w:r>
        <w:rPr>
          <w:rFonts w:ascii="Tahoma" w:cs="Tahoma" w:eastAsia="Tahoma" w:hAnsi="Tahoma"/>
          <w:color w:val="444444"/>
          <w:sz w:val="22"/>
          <w:szCs w:val="22"/>
        </w:rPr>
        <w:t xml:space="preserve">5. حفظ البحث للتنبيه</w:t>
      </w:r>
    </w:p>
    <w:p>
      <w:pPr>
        <w:spacing w:after="100" w:before="400"/>
      </w:pPr>
    </w:p>
    <w:p>
      <w:pPr>
        <w:pStyle w:val="Heading1"/>
        <w:spacing w:after="60"/>
        <w:jc w:val="right"/>
      </w:pPr>
      <w:r>
        <w:rPr>
          <w:rFonts w:ascii="Tahoma" w:cs="Tahoma" w:eastAsia="Tahoma" w:hAnsi="Tahoma"/>
          <w:b/>
          <w:bCs/>
          <w:color w:val="1A1A2E"/>
          <w:sz w:val="32"/>
          <w:szCs w:val="32"/>
        </w:rPr>
        <w:t xml:space="preserve">المعمارية الفنية</w:t>
      </w:r>
    </w:p>
    <w:p>
      <w:pPr>
        <w:pStyle w:val="Heading2"/>
        <w:spacing w:after="200"/>
        <w:jc w:val="left"/>
      </w:pPr>
      <w:r>
        <w:rPr>
          <w:rFonts w:ascii="Calibri" w:cs="Calibri" w:eastAsia="Calibri" w:hAnsi="Calibri"/>
          <w:i/>
          <w:iCs/>
          <w:color w:val="2C5F7C"/>
          <w:sz w:val="24"/>
          <w:szCs w:val="24"/>
        </w:rPr>
        <w:t xml:space="preserve">Technical Architecture</w:t>
      </w:r>
    </w:p>
    <w:p>
      <w:pPr>
        <w:spacing w:after="100" w:line="340"/>
        <w:ind w:right="576"/>
        <w:jc w:val="right"/>
      </w:pPr>
      <w:r>
        <w:rPr>
          <w:rFonts w:ascii="Tahoma" w:cs="Tahoma" w:eastAsia="Tahoma" w:hAnsi="Tahoma"/>
          <w:color w:val="B85C38"/>
          <w:sz w:val="22"/>
          <w:szCs w:val="22"/>
        </w:rPr>
        <w:t xml:space="preserve">•  </w:t>
      </w:r>
      <w:r>
        <w:rPr>
          <w:rFonts w:ascii="Tahoma" w:cs="Tahoma" w:eastAsia="Tahoma" w:hAnsi="Tahoma"/>
          <w:color w:val="444444"/>
          <w:sz w:val="22"/>
          <w:szCs w:val="22"/>
        </w:rPr>
        <w:t xml:space="preserve">Python + ThreadingHTTPServer</w:t>
      </w:r>
    </w:p>
    <w:p>
      <w:pPr>
        <w:spacing w:after="100" w:line="340"/>
        <w:ind w:right="576"/>
        <w:jc w:val="right"/>
      </w:pPr>
      <w:r>
        <w:rPr>
          <w:rFonts w:ascii="Tahoma" w:cs="Tahoma" w:eastAsia="Tahoma" w:hAnsi="Tahoma"/>
          <w:color w:val="B85C38"/>
          <w:sz w:val="22"/>
          <w:szCs w:val="22"/>
        </w:rPr>
        <w:t xml:space="preserve">•  </w:t>
      </w:r>
      <w:r>
        <w:rPr>
          <w:rFonts w:ascii="Tahoma" w:cs="Tahoma" w:eastAsia="Tahoma" w:hAnsi="Tahoma"/>
          <w:color w:val="444444"/>
          <w:sz w:val="22"/>
          <w:szCs w:val="22"/>
        </w:rPr>
        <w:t xml:space="preserve">Supabase (PostgreSQL)</w:t>
      </w:r>
    </w:p>
    <w:p>
      <w:pPr>
        <w:spacing w:after="100" w:line="340"/>
        <w:ind w:right="576"/>
        <w:jc w:val="right"/>
      </w:pPr>
      <w:r>
        <w:rPr>
          <w:rFonts w:ascii="Tahoma" w:cs="Tahoma" w:eastAsia="Tahoma" w:hAnsi="Tahoma"/>
          <w:color w:val="B85C38"/>
          <w:sz w:val="22"/>
          <w:szCs w:val="22"/>
        </w:rPr>
        <w:t xml:space="preserve">•  </w:t>
      </w:r>
      <w:r>
        <w:rPr>
          <w:rFonts w:ascii="Tahoma" w:cs="Tahoma" w:eastAsia="Tahoma" w:hAnsi="Tahoma"/>
          <w:color w:val="444444"/>
          <w:sz w:val="22"/>
          <w:szCs w:val="22"/>
        </w:rPr>
        <w:t xml:space="preserve">Vanilla JavaScript + CSS</w:t>
      </w:r>
    </w:p>
    <w:p>
      <w:pPr>
        <w:spacing w:after="100" w:line="340"/>
        <w:ind w:right="576"/>
        <w:jc w:val="right"/>
      </w:pPr>
      <w:r>
        <w:rPr>
          <w:rFonts w:ascii="Tahoma" w:cs="Tahoma" w:eastAsia="Tahoma" w:hAnsi="Tahoma"/>
          <w:color w:val="B85C38"/>
          <w:sz w:val="22"/>
          <w:szCs w:val="22"/>
        </w:rPr>
        <w:t xml:space="preserve">•  </w:t>
      </w:r>
      <w:r>
        <w:rPr>
          <w:rFonts w:ascii="Tahoma" w:cs="Tahoma" w:eastAsia="Tahoma" w:hAnsi="Tahoma"/>
          <w:color w:val="444444"/>
          <w:sz w:val="22"/>
          <w:szCs w:val="22"/>
        </w:rPr>
        <w:t xml:space="preserve">OpenAI API</w:t>
      </w:r>
    </w:p>
    <w:p>
      <w:pPr>
        <w:spacing w:after="100" w:line="340"/>
        <w:ind w:right="576"/>
        <w:jc w:val="right"/>
      </w:pPr>
      <w:r>
        <w:rPr>
          <w:rFonts w:ascii="Tahoma" w:cs="Tahoma" w:eastAsia="Tahoma" w:hAnsi="Tahoma"/>
          <w:color w:val="B85C38"/>
          <w:sz w:val="22"/>
          <w:szCs w:val="22"/>
        </w:rPr>
        <w:t xml:space="preserve">•  </w:t>
      </w:r>
      <w:r>
        <w:rPr>
          <w:rFonts w:ascii="Tahoma" w:cs="Tahoma" w:eastAsia="Tahoma" w:hAnsi="Tahoma"/>
          <w:color w:val="444444"/>
          <w:sz w:val="22"/>
          <w:szCs w:val="22"/>
        </w:rPr>
        <w:t xml:space="preserve">OTP + Google Identity Services</w:t>
      </w:r>
    </w:p>
    <w:p>
      <w:pPr>
        <w:spacing w:after="100" w:before="400"/>
      </w:pPr>
    </w:p>
    <w:p>
      <w:pPr>
        <w:pStyle w:val="Heading1"/>
        <w:spacing w:after="60"/>
        <w:jc w:val="right"/>
      </w:pPr>
      <w:r>
        <w:rPr>
          <w:rFonts w:ascii="Tahoma" w:cs="Tahoma" w:eastAsia="Tahoma" w:hAnsi="Tahoma"/>
          <w:b/>
          <w:bCs/>
          <w:color w:val="1A1A2E"/>
          <w:sz w:val="32"/>
          <w:szCs w:val="32"/>
        </w:rPr>
        <w:t xml:space="preserve">مصادر البيانات</w:t>
      </w:r>
    </w:p>
    <w:p>
      <w:pPr>
        <w:pStyle w:val="Heading2"/>
        <w:spacing w:after="200"/>
        <w:jc w:val="left"/>
      </w:pPr>
      <w:r>
        <w:rPr>
          <w:rFonts w:ascii="Calibri" w:cs="Calibri" w:eastAsia="Calibri" w:hAnsi="Calibri"/>
          <w:i/>
          <w:iCs/>
          <w:color w:val="2C5F7C"/>
          <w:sz w:val="24"/>
          <w:szCs w:val="24"/>
        </w:rPr>
        <w:t xml:space="preserve">Data Sources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"/>
        <w:gridCol w:w="20"/>
        <w:gridCol w:w="50"/>
      </w:tblGrid>
      <w:tr>
        <w:trPr>
          <w:tblHeader/>
        </w:trPr>
        <w:tc>
          <w:tcPr>
            <w:tcW w:type="pct" w:w="30%"/>
            <w:shd w:fill="1A1A2E" w:color="auto" w:val="clear"/>
          </w:tcPr>
          <w:p>
            <w:pPr>
              <w:spacing w:after="60" w:before="60"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المصدر</w:t>
            </w:r>
          </w:p>
        </w:tc>
        <w:tc>
          <w:tcPr>
            <w:tcW w:type="pct" w:w="20%"/>
            <w:shd w:fill="1A1A2E" w:color="auto" w:val="clear"/>
          </w:tcPr>
          <w:p>
            <w:pPr>
              <w:spacing w:after="60" w:before="60"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العدد</w:t>
            </w:r>
          </w:p>
        </w:tc>
        <w:tc>
          <w:tcPr>
            <w:tcW w:type="pct" w:w="50%"/>
            <w:shd w:fill="1A1A2E" w:color="auto" w:val="clear"/>
          </w:tcPr>
          <w:p>
            <w:pPr>
              <w:spacing w:after="60" w:before="60"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الوصف</w:t>
            </w:r>
          </w:p>
        </w:tc>
      </w:tr>
      <w:tr>
        <w:trPr>
          <w:tblHeader w:val="false"/>
        </w:trPr>
        <w:tc>
          <w:tcPr>
            <w:tcW w:type="pct" w:w="30%"/>
            <w:shd w:fill="FFFFFF" w:color="auto" w:val="clear"/>
          </w:tcPr>
          <w:p>
            <w:pPr>
              <w:spacing w:after="60" w:before="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444444"/>
                <w:sz w:val="20"/>
                <w:szCs w:val="20"/>
              </w:rPr>
              <w:t xml:space="preserve">الفريج</w:t>
            </w:r>
          </w:p>
        </w:tc>
        <w:tc>
          <w:tcPr>
            <w:tcW w:type="pct" w:w="20%"/>
            <w:shd w:fill="FFFFFF" w:color="auto" w:val="clear"/>
          </w:tcPr>
          <w:p>
            <w:pPr>
              <w:spacing w:after="60" w:before="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444444"/>
                <w:sz w:val="20"/>
                <w:szCs w:val="20"/>
              </w:rPr>
              <w:t xml:space="preserve">182</w:t>
            </w:r>
          </w:p>
        </w:tc>
        <w:tc>
          <w:tcPr>
            <w:tcW w:type="pct" w:w="50%"/>
            <w:shd w:fill="FFFFFF" w:color="auto" w:val="clear"/>
          </w:tcPr>
          <w:p>
            <w:pPr>
              <w:spacing w:after="60" w:before="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444444"/>
                <w:sz w:val="20"/>
                <w:szCs w:val="20"/>
              </w:rPr>
              <w:t xml:space="preserve">بيانات محلية</w:t>
            </w:r>
          </w:p>
        </w:tc>
      </w:tr>
      <w:tr>
        <w:trPr>
          <w:tblHeader w:val="false"/>
        </w:trPr>
        <w:tc>
          <w:tcPr>
            <w:tcW w:type="pct" w:w="30%"/>
            <w:shd w:fill="FFFFFF" w:color="auto" w:val="clear"/>
          </w:tcPr>
          <w:p>
            <w:pPr>
              <w:spacing w:after="60" w:before="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444444"/>
                <w:sz w:val="20"/>
                <w:szCs w:val="20"/>
              </w:rPr>
              <w:t xml:space="preserve">OpenSooq</w:t>
            </w:r>
          </w:p>
        </w:tc>
        <w:tc>
          <w:tcPr>
            <w:tcW w:type="pct" w:w="20%"/>
            <w:shd w:fill="FFFFFF" w:color="auto" w:val="clear"/>
          </w:tcPr>
          <w:p>
            <w:pPr>
              <w:spacing w:after="60" w:before="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444444"/>
                <w:sz w:val="20"/>
                <w:szCs w:val="20"/>
              </w:rPr>
              <w:t xml:space="preserve">1150+</w:t>
            </w:r>
          </w:p>
        </w:tc>
        <w:tc>
          <w:tcPr>
            <w:tcW w:type="pct" w:w="50%"/>
            <w:shd w:fill="FFFFFF" w:color="auto" w:val="clear"/>
          </w:tcPr>
          <w:p>
            <w:pPr>
              <w:spacing w:after="60" w:before="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444444"/>
                <w:sz w:val="20"/>
                <w:szCs w:val="20"/>
              </w:rPr>
              <w:t xml:space="preserve">الموقع العقاري الأكبر</w:t>
            </w:r>
          </w:p>
        </w:tc>
      </w:tr>
      <w:tr>
        <w:trPr>
          <w:tblHeader w:val="false"/>
        </w:trPr>
        <w:tc>
          <w:tcPr>
            <w:tcW w:type="pct" w:w="30%"/>
            <w:shd w:fill="FFFFFF" w:color="auto" w:val="clear"/>
          </w:tcPr>
          <w:p>
            <w:pPr>
              <w:spacing w:after="60" w:before="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444444"/>
                <w:sz w:val="20"/>
                <w:szCs w:val="20"/>
              </w:rPr>
              <w:t xml:space="preserve">4Sale</w:t>
            </w:r>
          </w:p>
        </w:tc>
        <w:tc>
          <w:tcPr>
            <w:tcW w:type="pct" w:w="20%"/>
            <w:shd w:fill="FFFFFF" w:color="auto" w:val="clear"/>
          </w:tcPr>
          <w:p>
            <w:pPr>
              <w:spacing w:after="60" w:before="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444444"/>
                <w:sz w:val="20"/>
                <w:szCs w:val="20"/>
              </w:rPr>
              <w:t xml:space="preserve">480+</w:t>
            </w:r>
          </w:p>
        </w:tc>
        <w:tc>
          <w:tcPr>
            <w:tcW w:type="pct" w:w="50%"/>
            <w:shd w:fill="FFFFFF" w:color="auto" w:val="clear"/>
          </w:tcPr>
          <w:p>
            <w:pPr>
              <w:spacing w:after="60" w:before="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444444"/>
                <w:sz w:val="20"/>
                <w:szCs w:val="20"/>
              </w:rPr>
              <w:t xml:space="preserve">منصة البيع</w:t>
            </w:r>
          </w:p>
        </w:tc>
      </w:tr>
      <w:tr>
        <w:trPr>
          <w:tblHeader w:val="false"/>
        </w:trPr>
        <w:tc>
          <w:tcPr>
            <w:tcW w:type="pct" w:w="30%"/>
            <w:shd w:fill="FFFFFF" w:color="auto" w:val="clear"/>
          </w:tcPr>
          <w:p>
            <w:pPr>
              <w:spacing w:after="60" w:before="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444444"/>
                <w:sz w:val="20"/>
                <w:szCs w:val="20"/>
              </w:rPr>
              <w:t xml:space="preserve">Mourjan</w:t>
            </w:r>
          </w:p>
        </w:tc>
        <w:tc>
          <w:tcPr>
            <w:tcW w:type="pct" w:w="20%"/>
            <w:shd w:fill="FFFFFF" w:color="auto" w:val="clear"/>
          </w:tcPr>
          <w:p>
            <w:pPr>
              <w:spacing w:after="60" w:before="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444444"/>
                <w:sz w:val="20"/>
                <w:szCs w:val="20"/>
              </w:rPr>
              <w:t xml:space="preserve">260+</w:t>
            </w:r>
          </w:p>
        </w:tc>
        <w:tc>
          <w:tcPr>
            <w:tcW w:type="pct" w:w="50%"/>
            <w:shd w:fill="FFFFFF" w:color="auto" w:val="clear"/>
          </w:tcPr>
          <w:p>
            <w:pPr>
              <w:spacing w:after="60" w:before="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444444"/>
                <w:sz w:val="20"/>
                <w:szCs w:val="20"/>
              </w:rPr>
              <w:t xml:space="preserve">الموقع العقاري السعودي</w:t>
            </w:r>
          </w:p>
        </w:tc>
      </w:tr>
      <w:tr>
        <w:trPr>
          <w:tblHeader w:val="false"/>
        </w:trPr>
        <w:tc>
          <w:tcPr>
            <w:tcW w:type="pct" w:w="30%"/>
            <w:shd w:fill="FFFFFF" w:color="auto" w:val="clear"/>
          </w:tcPr>
          <w:p>
            <w:pPr>
              <w:spacing w:after="60" w:before="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444444"/>
                <w:sz w:val="20"/>
                <w:szCs w:val="20"/>
              </w:rPr>
              <w:t xml:space="preserve">FindQ8</w:t>
            </w:r>
          </w:p>
        </w:tc>
        <w:tc>
          <w:tcPr>
            <w:tcW w:type="pct" w:w="20%"/>
            <w:shd w:fill="FFFFFF" w:color="auto" w:val="clear"/>
          </w:tcPr>
          <w:p>
            <w:pPr>
              <w:spacing w:after="60" w:before="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444444"/>
                <w:sz w:val="20"/>
                <w:szCs w:val="20"/>
              </w:rPr>
              <w:t xml:space="preserve">15</w:t>
            </w:r>
          </w:p>
        </w:tc>
        <w:tc>
          <w:tcPr>
            <w:tcW w:type="pct" w:w="50%"/>
            <w:shd w:fill="FFFFFF" w:color="auto" w:val="clear"/>
          </w:tcPr>
          <w:p>
            <w:pPr>
              <w:spacing w:after="60" w:before="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444444"/>
                <w:sz w:val="20"/>
                <w:szCs w:val="20"/>
              </w:rPr>
              <w:t xml:space="preserve">بحث موحد</w:t>
            </w:r>
          </w:p>
        </w:tc>
      </w:tr>
      <w:tr>
        <w:trPr>
          <w:tblHeader w:val="false"/>
        </w:trPr>
        <w:tc>
          <w:tcPr>
            <w:tcW w:type="pct" w:w="30%"/>
            <w:shd w:fill="FFFFFF" w:color="auto" w:val="clear"/>
          </w:tcPr>
          <w:p>
            <w:pPr>
              <w:spacing w:after="60" w:before="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444444"/>
                <w:sz w:val="20"/>
                <w:szCs w:val="20"/>
              </w:rPr>
              <w:t xml:space="preserve">KFH Reports</w:t>
            </w:r>
          </w:p>
        </w:tc>
        <w:tc>
          <w:tcPr>
            <w:tcW w:type="pct" w:w="20%"/>
            <w:shd w:fill="FFFFFF" w:color="auto" w:val="clear"/>
          </w:tcPr>
          <w:p>
            <w:pPr>
              <w:spacing w:after="60" w:before="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444444"/>
                <w:sz w:val="20"/>
                <w:szCs w:val="20"/>
              </w:rPr>
              <w:t xml:space="preserve">4</w:t>
            </w:r>
          </w:p>
        </w:tc>
        <w:tc>
          <w:tcPr>
            <w:tcW w:type="pct" w:w="50%"/>
            <w:shd w:fill="FFFFFF" w:color="auto" w:val="clear"/>
          </w:tcPr>
          <w:p>
            <w:pPr>
              <w:spacing w:after="60" w:before="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444444"/>
                <w:sz w:val="20"/>
                <w:szCs w:val="20"/>
              </w:rPr>
              <w:t xml:space="preserve">تقارير عقارية</w:t>
            </w:r>
          </w:p>
        </w:tc>
      </w:tr>
    </w:tbl>
    <w:p>
      <w:pPr>
        <w:spacing w:after="300"/>
      </w:pPr>
    </w:p>
    <w:p>
      <w:pPr>
        <w:spacing w:after="100" w:before="400"/>
      </w:pPr>
    </w:p>
    <w:p>
      <w:pPr>
        <w:pStyle w:val="Heading1"/>
        <w:spacing w:after="60"/>
        <w:jc w:val="right"/>
      </w:pPr>
      <w:r>
        <w:rPr>
          <w:rFonts w:ascii="Tahoma" w:cs="Tahoma" w:eastAsia="Tahoma" w:hAnsi="Tahoma"/>
          <w:b/>
          <w:bCs/>
          <w:color w:val="1A1A2E"/>
          <w:sz w:val="32"/>
          <w:szCs w:val="32"/>
        </w:rPr>
        <w:t xml:space="preserve">نظام تسجيل الدخول</w:t>
      </w:r>
    </w:p>
    <w:p>
      <w:pPr>
        <w:pStyle w:val="Heading2"/>
        <w:spacing w:after="200"/>
        <w:jc w:val="left"/>
      </w:pPr>
      <w:r>
        <w:rPr>
          <w:rFonts w:ascii="Calibri" w:cs="Calibri" w:eastAsia="Calibri" w:hAnsi="Calibri"/>
          <w:i/>
          <w:iCs/>
          <w:color w:val="2C5F7C"/>
          <w:sz w:val="24"/>
          <w:szCs w:val="24"/>
        </w:rPr>
        <w:t xml:space="preserve">Authentication</w:t>
      </w:r>
    </w:p>
    <w:p>
      <w:pPr>
        <w:spacing w:after="100" w:line="340"/>
        <w:ind w:right="576"/>
        <w:jc w:val="right"/>
      </w:pPr>
      <w:r>
        <w:rPr>
          <w:rFonts w:ascii="Tahoma" w:cs="Tahoma" w:eastAsia="Tahoma" w:hAnsi="Tahoma"/>
          <w:color w:val="B85C38"/>
          <w:sz w:val="22"/>
          <w:szCs w:val="22"/>
        </w:rPr>
        <w:t xml:space="preserve">•  </w:t>
      </w:r>
      <w:r>
        <w:rPr>
          <w:rFonts w:ascii="Tahoma" w:cs="Tahoma" w:eastAsia="Tahoma" w:hAnsi="Tahoma"/>
          <w:color w:val="444444"/>
          <w:sz w:val="22"/>
          <w:szCs w:val="22"/>
        </w:rPr>
        <w:t xml:space="preserve">الدخول برقم الهاتف بمراسل OTP</w:t>
      </w:r>
    </w:p>
    <w:p>
      <w:pPr>
        <w:spacing w:after="100" w:line="340"/>
        <w:ind w:right="576"/>
        <w:jc w:val="right"/>
      </w:pPr>
      <w:r>
        <w:rPr>
          <w:rFonts w:ascii="Tahoma" w:cs="Tahoma" w:eastAsia="Tahoma" w:hAnsi="Tahoma"/>
          <w:color w:val="B85C38"/>
          <w:sz w:val="22"/>
          <w:szCs w:val="22"/>
        </w:rPr>
        <w:t xml:space="preserve">•  </w:t>
      </w:r>
      <w:r>
        <w:rPr>
          <w:rFonts w:ascii="Tahoma" w:cs="Tahoma" w:eastAsia="Tahoma" w:hAnsi="Tahoma"/>
          <w:color w:val="444444"/>
          <w:sz w:val="22"/>
          <w:szCs w:val="22"/>
        </w:rPr>
        <w:t xml:space="preserve">الدخول بحساب Google</w:t>
      </w:r>
    </w:p>
    <w:p>
      <w:pPr>
        <w:spacing w:after="100" w:line="340"/>
        <w:ind w:right="576"/>
        <w:jc w:val="right"/>
      </w:pPr>
      <w:r>
        <w:rPr>
          <w:rFonts w:ascii="Tahoma" w:cs="Tahoma" w:eastAsia="Tahoma" w:hAnsi="Tahoma"/>
          <w:color w:val="B85C38"/>
          <w:sz w:val="22"/>
          <w:szCs w:val="22"/>
        </w:rPr>
        <w:t xml:space="preserve">•  </w:t>
      </w:r>
      <w:r>
        <w:rPr>
          <w:rFonts w:ascii="Tahoma" w:cs="Tahoma" w:eastAsia="Tahoma" w:hAnsi="Tahoma"/>
          <w:color w:val="444444"/>
          <w:sz w:val="22"/>
          <w:szCs w:val="22"/>
        </w:rPr>
        <w:t xml:space="preserve">تسجيل الخروج بسهولة</w:t>
      </w:r>
    </w:p>
    <w:p>
      <w:pPr>
        <w:spacing w:after="100" w:before="400"/>
      </w:pPr>
    </w:p>
    <w:p>
      <w:pPr>
        <w:pStyle w:val="Heading1"/>
        <w:spacing w:after="60"/>
        <w:jc w:val="right"/>
      </w:pPr>
      <w:r>
        <w:rPr>
          <w:rFonts w:ascii="Tahoma" w:cs="Tahoma" w:eastAsia="Tahoma" w:hAnsi="Tahoma"/>
          <w:b/>
          <w:bCs/>
          <w:color w:val="1A1A2E"/>
          <w:sz w:val="32"/>
          <w:szCs w:val="32"/>
        </w:rPr>
        <w:t xml:space="preserve">مرجع البرامج</w:t>
      </w:r>
    </w:p>
    <w:p>
      <w:pPr>
        <w:pStyle w:val="Heading2"/>
        <w:spacing w:after="200"/>
        <w:jc w:val="left"/>
      </w:pPr>
      <w:r>
        <w:rPr>
          <w:rFonts w:ascii="Calibri" w:cs="Calibri" w:eastAsia="Calibri" w:hAnsi="Calibri"/>
          <w:i/>
          <w:iCs/>
          <w:color w:val="2C5F7C"/>
          <w:sz w:val="24"/>
          <w:szCs w:val="24"/>
        </w:rPr>
        <w:t xml:space="preserve">API Reference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"/>
        <w:gridCol w:w="15"/>
        <w:gridCol w:w="60"/>
      </w:tblGrid>
      <w:tr>
        <w:trPr>
          <w:tblHeader/>
        </w:trPr>
        <w:tc>
          <w:tcPr>
            <w:tcW w:type="pct" w:w="25%"/>
            <w:shd w:fill="1A1A2E" w:color="auto" w:val="clear"/>
          </w:tcPr>
          <w:p>
            <w:pPr>
              <w:spacing w:after="60" w:before="60"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المسار</w:t>
            </w:r>
          </w:p>
        </w:tc>
        <w:tc>
          <w:tcPr>
            <w:tcW w:type="pct" w:w="15%"/>
            <w:shd w:fill="1A1A2E" w:color="auto" w:val="clear"/>
          </w:tcPr>
          <w:p>
            <w:pPr>
              <w:spacing w:after="60" w:before="60"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الطريق</w:t>
            </w:r>
          </w:p>
        </w:tc>
        <w:tc>
          <w:tcPr>
            <w:tcW w:type="pct" w:w="60%"/>
            <w:shd w:fill="1A1A2E" w:color="auto" w:val="clear"/>
          </w:tcPr>
          <w:p>
            <w:pPr>
              <w:spacing w:after="60" w:before="60"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الوصف</w:t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</w:tcPr>
          <w:p>
            <w:pPr>
              <w:spacing w:after="60" w:before="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444444"/>
                <w:sz w:val="20"/>
                <w:szCs w:val="20"/>
              </w:rPr>
              <w:t xml:space="preserve">/api/analyze</w:t>
            </w:r>
          </w:p>
        </w:tc>
        <w:tc>
          <w:tcPr>
            <w:tcW w:type="pct" w:w="15%"/>
            <w:shd w:fill="FFFFFF" w:color="auto" w:val="clear"/>
          </w:tcPr>
          <w:p>
            <w:pPr>
              <w:spacing w:after="60" w:before="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444444"/>
                <w:sz w:val="20"/>
                <w:szCs w:val="20"/>
              </w:rPr>
              <w:t xml:space="preserve">POST</w:t>
            </w:r>
          </w:p>
        </w:tc>
        <w:tc>
          <w:tcPr>
            <w:tcW w:type="pct" w:w="60%"/>
            <w:shd w:fill="FFFFFF" w:color="auto" w:val="clear"/>
          </w:tcPr>
          <w:p>
            <w:pPr>
              <w:spacing w:after="60" w:before="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444444"/>
                <w:sz w:val="20"/>
                <w:szCs w:val="20"/>
              </w:rPr>
              <w:t xml:space="preserve">تحليل بحث</w:t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</w:tcPr>
          <w:p>
            <w:pPr>
              <w:spacing w:after="60" w:before="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444444"/>
                <w:sz w:val="20"/>
                <w:szCs w:val="20"/>
              </w:rPr>
              <w:t xml:space="preserve">/api/google-login</w:t>
            </w:r>
          </w:p>
        </w:tc>
        <w:tc>
          <w:tcPr>
            <w:tcW w:type="pct" w:w="15%"/>
            <w:shd w:fill="FFFFFF" w:color="auto" w:val="clear"/>
          </w:tcPr>
          <w:p>
            <w:pPr>
              <w:spacing w:after="60" w:before="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444444"/>
                <w:sz w:val="20"/>
                <w:szCs w:val="20"/>
              </w:rPr>
              <w:t xml:space="preserve">POST</w:t>
            </w:r>
          </w:p>
        </w:tc>
        <w:tc>
          <w:tcPr>
            <w:tcW w:type="pct" w:w="60%"/>
            <w:shd w:fill="FFFFFF" w:color="auto" w:val="clear"/>
          </w:tcPr>
          <w:p>
            <w:pPr>
              <w:spacing w:after="60" w:before="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444444"/>
                <w:sz w:val="20"/>
                <w:szCs w:val="20"/>
              </w:rPr>
              <w:t xml:space="preserve">تسجيل بحساب Google</w:t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</w:tcPr>
          <w:p>
            <w:pPr>
              <w:spacing w:after="60" w:before="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444444"/>
                <w:sz w:val="20"/>
                <w:szCs w:val="20"/>
              </w:rPr>
              <w:t xml:space="preserve">/api/health</w:t>
            </w:r>
          </w:p>
        </w:tc>
        <w:tc>
          <w:tcPr>
            <w:tcW w:type="pct" w:w="15%"/>
            <w:shd w:fill="FFFFFF" w:color="auto" w:val="clear"/>
          </w:tcPr>
          <w:p>
            <w:pPr>
              <w:spacing w:after="60" w:before="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444444"/>
                <w:sz w:val="20"/>
                <w:szCs w:val="20"/>
              </w:rPr>
              <w:t xml:space="preserve">GET</w:t>
            </w:r>
          </w:p>
        </w:tc>
        <w:tc>
          <w:tcPr>
            <w:tcW w:type="pct" w:w="60%"/>
            <w:shd w:fill="FFFFFF" w:color="auto" w:val="clear"/>
          </w:tcPr>
          <w:p>
            <w:pPr>
              <w:spacing w:after="60" w:before="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444444"/>
                <w:sz w:val="20"/>
                <w:szCs w:val="20"/>
              </w:rPr>
              <w:t xml:space="preserve">حالة الخادم</w:t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</w:tcPr>
          <w:p>
            <w:pPr>
              <w:spacing w:after="60" w:before="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444444"/>
                <w:sz w:val="20"/>
                <w:szCs w:val="20"/>
              </w:rPr>
              <w:t xml:space="preserve">/api/analytics-dashboard</w:t>
            </w:r>
          </w:p>
        </w:tc>
        <w:tc>
          <w:tcPr>
            <w:tcW w:type="pct" w:w="15%"/>
            <w:shd w:fill="FFFFFF" w:color="auto" w:val="clear"/>
          </w:tcPr>
          <w:p>
            <w:pPr>
              <w:spacing w:after="60" w:before="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444444"/>
                <w:sz w:val="20"/>
                <w:szCs w:val="20"/>
              </w:rPr>
              <w:t xml:space="preserve">GET</w:t>
            </w:r>
          </w:p>
        </w:tc>
        <w:tc>
          <w:tcPr>
            <w:tcW w:type="pct" w:w="60%"/>
            <w:shd w:fill="FFFFFF" w:color="auto" w:val="clear"/>
          </w:tcPr>
          <w:p>
            <w:pPr>
              <w:spacing w:after="60" w:before="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444444"/>
                <w:sz w:val="20"/>
                <w:szCs w:val="20"/>
              </w:rPr>
              <w:t xml:space="preserve">لوحة التحليلات</w:t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</w:tcPr>
          <w:p>
            <w:pPr>
              <w:spacing w:after="60" w:before="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444444"/>
                <w:sz w:val="20"/>
                <w:szCs w:val="20"/>
              </w:rPr>
              <w:t xml:space="preserve">/api/opportunities</w:t>
            </w:r>
          </w:p>
        </w:tc>
        <w:tc>
          <w:tcPr>
            <w:tcW w:type="pct" w:w="15%"/>
            <w:shd w:fill="FFFFFF" w:color="auto" w:val="clear"/>
          </w:tcPr>
          <w:p>
            <w:pPr>
              <w:spacing w:after="60" w:before="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444444"/>
                <w:sz w:val="20"/>
                <w:szCs w:val="20"/>
              </w:rPr>
              <w:t xml:space="preserve">GET</w:t>
            </w:r>
          </w:p>
        </w:tc>
        <w:tc>
          <w:tcPr>
            <w:tcW w:type="pct" w:w="60%"/>
            <w:shd w:fill="FFFFFF" w:color="auto" w:val="clear"/>
          </w:tcPr>
          <w:p>
            <w:pPr>
              <w:spacing w:after="60" w:before="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444444"/>
                <w:sz w:val="20"/>
                <w:szCs w:val="20"/>
              </w:rPr>
              <w:t xml:space="preserve">فرص المكسب</w:t>
            </w:r>
          </w:p>
        </w:tc>
      </w:tr>
    </w:tbl>
    <w:p>
      <w:pPr>
        <w:spacing w:after="300"/>
      </w:pPr>
    </w:p>
    <w:p>
      <w:pPr>
        <w:spacing w:before="400"/>
      </w:pPr>
    </w:p>
    <w:p>
      <w:pPr>
        <w:jc w:val="center"/>
      </w:pPr>
      <w:r>
        <w:rPr>
          <w:rFonts w:ascii="Tahoma" w:cs="Tahoma" w:eastAsia="Tahoma" w:hAnsi="Tahoma"/>
          <w:i/>
          <w:iCs/>
          <w:color w:val="666666"/>
          <w:sz w:val="20"/>
          <w:szCs w:val="20"/>
        </w:rPr>
        <w:t xml:space="preserve">— منصة الفريج للفرص والتقييم العقاري — 2026 —</w:t>
      </w:r>
    </w:p>
    <w:p>
      <w:pPr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Generated with Codebuff</w:t>
      </w:r>
    </w:p>
    <w:sectPr>
      <w:headerReference w:type="default" r:id="rId7"/>
      <w:footerReference w:type="default" r:id="rId8"/>
      <w:pgSz w:w="12240" w:h="15840" w:orient="portrait"/>
      <w:pgMar w:top="1440" w:right="1727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ahoma" w:cs="Tahoma" w:eastAsia="Tahoma" w:hAnsi="Tahoma"/>
        <w:color w:val="666666"/>
        <w:sz w:val="18"/>
        <w:szCs w:val="18"/>
      </w:rPr>
      <w:t xml:space="preserve">الصفحة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ahoma" w:cs="Tahoma" w:eastAsia="Tahoma" w:hAnsi="Tahoma"/>
        <w:color w:val="666666"/>
        <w:sz w:val="18"/>
        <w:szCs w:val="18"/>
      </w:rPr>
      <w:t xml:space="preserve">الفريج العقاري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دليل المنصة</dc:title>
  <dc:creator>Al-Furaj Platform</dc:creator>
  <cp:lastModifiedBy>Un-named</cp:lastModifiedBy>
  <cp:revision>1</cp:revision>
  <dcterms:created xsi:type="dcterms:W3CDTF">2026-08-27T23:36:18.809Z</dcterms:created>
  <dcterms:modified xsi:type="dcterms:W3CDTF">2026-08-27T23:36:18.810Z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