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1A4731" w:sz="8"/>
              <w:left w:val="single" w:color="1A4731" w:sz="8"/>
              <w:bottom w:val="single" w:color="1A4731" w:sz="8"/>
              <w:right w:val="single" w:color="1A4731" w:sz="8"/>
            </w:tcBorders>
            <w:shd w:fill="1A4731" w:val="clear"/>
            <w:tcMar>
              <w:top w:type="dxa" w:w="300"/>
              <w:left w:type="dxa" w:w="400"/>
              <w:bottom w:type="dxa" w:w="300"/>
              <w:right w:type="dxa" w:w="400"/>
            </w:tcMar>
          </w:tcPr>
          <w:p>
            <w:pPr>
              <w:spacing w:after="20" w:before="0"/>
              <w:jc w:val="left"/>
            </w:pPr>
            <w:r>
              <w:rPr>
                <w:rFonts w:ascii="Georgia" w:cs="Georgia" w:eastAsia="Georgia" w:hAnsi="Georgia"/>
                <w:b/>
                <w:bCs/>
                <w:color w:val="FFFFFF"/>
                <w:spacing w:val="80"/>
                <w:sz w:val="44"/>
                <w:szCs w:val="44"/>
              </w:rPr>
              <w:t xml:space="preserve">iREACHE LASTMILE</w:t>
            </w:r>
          </w:p>
          <w:p>
            <w:pPr>
              <w:spacing w:after="20" w:before="0"/>
              <w:jc w:val="left"/>
            </w:pPr>
            <w:r>
              <w:rPr>
                <w:rFonts w:ascii="Georgia" w:cs="Georgia" w:eastAsia="Georgia" w:hAnsi="Georgia"/>
                <w:i/>
                <w:iCs/>
                <w:color w:val="7BC99A"/>
                <w:sz w:val="20"/>
                <w:szCs w:val="20"/>
              </w:rPr>
              <w:t xml:space="preserve">Innovations for Rural Empowerment in Access to Community Health and Equity</w:t>
            </w:r>
          </w:p>
          <w:p>
            <w:pPr>
              <w:spacing w:after="0" w:before="0"/>
              <w:jc w:val="left"/>
            </w:pPr>
            <w:r>
              <w:rPr>
                <w:rFonts w:ascii="Georgia" w:cs="Georgia" w:eastAsia="Georgia" w:hAnsi="Georgia"/>
                <w:color w:val="7BC99A"/>
                <w:sz w:val="18"/>
                <w:szCs w:val="18"/>
              </w:rPr>
              <w:t xml:space="preserve">Kenema, Eastern Province, Sierra Leone  |  www.ireachelastmile.org</w:t>
            </w:r>
          </w:p>
        </w:tc>
      </w:tr>
    </w:tbl>
    <w:p>
      <w:pPr>
        <w:spacing w:after="0" w:before="0"/>
      </w:pPr>
      <w:r>
        <w:rPr>
          <w:rFonts w:ascii="Georgia" w:cs="Georgia" w:eastAsia="Georgia" w:hAnsi="Georgia"/>
          <w:sz w:val="10"/>
          <w:szCs w:val="10"/>
        </w:rPr>
        <w:t xml:space="preserve"/>
      </w:r>
    </w:p>
    <w:p>
      <w:pPr>
        <w:spacing w:after="0" w:before="0"/>
      </w:pPr>
      <w:r>
        <w:rPr>
          <w:rFonts w:ascii="Georgia" w:cs="Georgia" w:eastAsia="Georgia" w:hAnsi="Georgia"/>
          <w:sz w:val="10"/>
          <w:szCs w:val="10"/>
        </w:rPr>
        <w:t xml:space="preserve"/>
      </w:r>
    </w:p>
    <w:p>
      <w:pPr>
        <w:spacing w:after="0" w:before="0"/>
      </w:pPr>
      <w:r>
        <w:rPr>
          <w:rFonts w:ascii="Georgia" w:cs="Georgia" w:eastAsia="Georgia" w:hAnsi="Georgia"/>
          <w:sz w:val="10"/>
          <w:szCs w:val="10"/>
        </w:rPr>
        <w:t xml:space="preserve"/>
      </w:r>
    </w:p>
    <w:p>
      <w:pPr>
        <w:spacing w:after="0" w:before="0"/>
        <w:jc w:val="left"/>
      </w:pPr>
      <w:r>
        <w:rPr>
          <w:rFonts w:ascii="Georgia" w:cs="Georgia" w:eastAsia="Georgia" w:hAnsi="Georgia"/>
          <w:b/>
          <w:bCs/>
          <w:color w:val="1A4731"/>
          <w:sz w:val="100"/>
          <w:szCs w:val="100"/>
        </w:rPr>
        <w:t xml:space="preserve">REACH 360°</w:t>
      </w:r>
    </w:p>
    <w:p>
      <w:pPr>
        <w:spacing w:after="0" w:before="0"/>
        <w:jc w:val="left"/>
      </w:pPr>
      <w:r>
        <w:rPr>
          <w:rFonts w:ascii="Georgia" w:cs="Georgia" w:eastAsia="Georgia" w:hAnsi="Georgia"/>
          <w:b/>
          <w:bCs/>
          <w:color w:val="252525"/>
          <w:sz w:val="56"/>
          <w:szCs w:val="56"/>
        </w:rPr>
        <w:t xml:space="preserve">COMMUNITY HEALTH SYSTEMS</w:t>
      </w:r>
    </w:p>
    <w:p>
      <w:pPr>
        <w:spacing w:after="60" w:before="0"/>
        <w:jc w:val="left"/>
      </w:pPr>
      <w:r>
        <w:rPr>
          <w:rFonts w:ascii="Georgia" w:cs="Georgia" w:eastAsia="Georgia" w:hAnsi="Georgia"/>
          <w:b/>
          <w:bCs/>
          <w:color w:val="B55334"/>
          <w:sz w:val="56"/>
          <w:szCs w:val="56"/>
        </w:rPr>
        <w:t xml:space="preserve">STRENGTHENING FRAMEWORK</w:t>
      </w:r>
    </w:p>
    <w:p>
      <w:pPr>
        <w:pBdr>
          <w:bottom w:val="single" w:color="B55334" w:sz="14"/>
        </w:pBdr>
        <w:spacing w:after="60" w:before="0"/>
      </w:pPr>
      <w:r>
        <w:rPr>
          <w:sz w:val="4"/>
          <w:szCs w:val="4"/>
        </w:rPr>
        <w:t xml:space="preserve"/>
      </w:r>
    </w:p>
    <w:p>
      <w:pPr>
        <w:spacing w:after="30" w:before="0"/>
        <w:jc w:val="left"/>
      </w:pPr>
      <w:r>
        <w:rPr>
          <w:rFonts w:ascii="Georgia" w:cs="Georgia" w:eastAsia="Georgia" w:hAnsi="Georgia"/>
          <w:b/>
          <w:bCs/>
          <w:color w:val="252525"/>
          <w:spacing w:val="50"/>
          <w:sz w:val="28"/>
          <w:szCs w:val="28"/>
        </w:rPr>
        <w:t xml:space="preserve">Master Document  —  Version 1.0</w:t>
      </w:r>
    </w:p>
    <w:p>
      <w:pPr>
        <w:spacing w:after="100" w:before="0"/>
        <w:jc w:val="left"/>
      </w:pPr>
      <w:r>
        <w:rPr>
          <w:rFonts w:ascii="Georgia" w:cs="Georgia" w:eastAsia="Georgia" w:hAnsi="Georgia"/>
          <w:i/>
          <w:iCs/>
          <w:color w:val="5C5C5C"/>
          <w:sz w:val="24"/>
          <w:szCs w:val="24"/>
        </w:rPr>
        <w:t xml:space="preserve">Strengthening the systems Sierra Leone needs to govern its own health.</w:t>
      </w:r>
    </w:p>
    <w:p>
      <w:pPr>
        <w:spacing w:after="0" w:before="0"/>
      </w:pPr>
      <w:r>
        <w:rPr>
          <w:rFonts w:ascii="Georgia" w:cs="Georgia" w:eastAsia="Georgia" w:hAnsi="Georgia"/>
          <w:sz w:val="10"/>
          <w:szCs w:val="10"/>
        </w:rPr>
        <w:t xml:space="preserve"/>
      </w:r>
    </w:p>
    <w:p>
      <w:pPr>
        <w:spacing w:after="0" w:before="0"/>
      </w:pPr>
      <w:r>
        <w:rPr>
          <w:rFonts w:ascii="Georgia" w:cs="Georgia" w:eastAsia="Georgia" w:hAnsi="Georgi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Care Model</w:t>
            </w:r>
          </w:p>
        </w:tc>
        <w:tc>
          <w:tcPr>
            <w:tcW w:type="dxa" w:w="7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BRIDGE 360° LASTMILE CARE — Building Resilient Integrated Delivery Gateways for Every community</w:t>
            </w:r>
          </w:p>
        </w:tc>
      </w:tr>
      <w:tr>
        <w:trPr>
          <w:tblHeader w:val="false"/>
        </w:trPr>
        <w:tc>
          <w:tcPr>
            <w:tcW w:type="dxa" w:w="2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Frontline Cadre</w:t>
            </w:r>
          </w:p>
        </w:tc>
        <w:tc>
          <w:tcPr>
            <w:tcW w:type="dxa" w:w="7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Professional Connected Community Health Workers (ProcCHWs) — 6,800 by 2031 across all 16 districts</w:t>
            </w:r>
          </w:p>
        </w:tc>
      </w:tr>
      <w:tr>
        <w:trPr>
          <w:tblHeader w:val="false"/>
        </w:trPr>
        <w:tc>
          <w:tcPr>
            <w:tcW w:type="dxa" w:w="2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Digital Health</w:t>
            </w:r>
          </w:p>
        </w:tc>
        <w:tc>
          <w:tcPr>
            <w:tcW w:type="dxa" w:w="7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Intelligent Digital Health Systems Integration — embedded across all seven pillars</w:t>
            </w:r>
          </w:p>
        </w:tc>
      </w:tr>
      <w:tr>
        <w:trPr>
          <w:tblHeader w:val="false"/>
        </w:trPr>
        <w:tc>
          <w:tcPr>
            <w:tcW w:type="dxa" w:w="2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Headquarters</w:t>
            </w:r>
          </w:p>
        </w:tc>
        <w:tc>
          <w:tcPr>
            <w:tcW w:type="dxa" w:w="7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Kenema, Eastern Province, Sierra Leone  |  Freetown Policy and Partnership Liaison Office</w:t>
            </w:r>
          </w:p>
        </w:tc>
      </w:tr>
      <w:tr>
        <w:trPr>
          <w:tblHeader w:val="false"/>
        </w:trPr>
        <w:tc>
          <w:tcPr>
            <w:tcW w:type="dxa" w:w="2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Programme Period</w:t>
            </w:r>
          </w:p>
        </w:tc>
        <w:tc>
          <w:tcPr>
            <w:tcW w:type="dxa" w:w="7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2026 – 2031</w:t>
            </w:r>
          </w:p>
        </w:tc>
      </w:tr>
      <w:tr>
        <w:trPr>
          <w:tblHeader w:val="false"/>
        </w:trPr>
        <w:tc>
          <w:tcPr>
            <w:tcW w:type="dxa" w:w="2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Version</w:t>
            </w:r>
          </w:p>
        </w:tc>
        <w:tc>
          <w:tcPr>
            <w:tcW w:type="dxa" w:w="7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1.0  |  2026  |  Open-Access — Creative Commons CC BY 4.0</w:t>
            </w:r>
          </w:p>
        </w:tc>
      </w:tr>
      <w:tr>
        <w:trPr>
          <w:tblHeader w:val="false"/>
        </w:trPr>
        <w:tc>
          <w:tcPr>
            <w:tcW w:type="dxa" w:w="2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Brand</w:t>
            </w:r>
          </w:p>
        </w:tc>
        <w:tc>
          <w:tcPr>
            <w:tcW w:type="dxa" w:w="7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Deep Forest Green #1A4731  |  Burnt Rust Orange #B55334  |  Georgia Typeface</w:t>
            </w:r>
          </w:p>
        </w:tc>
      </w:tr>
    </w:tbl>
    <w:p>
      <w:pPr>
        <w:spacing w:after="0" w:before="0"/>
      </w:pPr>
      <w:r>
        <w:rPr>
          <w:rFonts w:ascii="Georgia" w:cs="Georgia" w:eastAsia="Georgia" w:hAnsi="Georgia"/>
          <w:sz w:val="10"/>
          <w:szCs w:val="10"/>
        </w:rPr>
        <w:t xml:space="preserve"/>
      </w:r>
    </w:p>
    <w:p>
      <w:pPr>
        <w:spacing w:after="0" w:before="0"/>
      </w:pPr>
      <w:r>
        <w:rPr>
          <w:rFonts w:ascii="Georgia" w:cs="Georgia" w:eastAsia="Georgia" w:hAnsi="Georgia"/>
          <w:sz w:val="10"/>
          <w:szCs w:val="10"/>
        </w:rPr>
        <w:t xml:space="preserve"/>
      </w:r>
    </w:p>
    <w:p>
      <w:pPr>
        <w:spacing w:after="0" w:before="0"/>
        <w:jc w:val="left"/>
      </w:pPr>
      <w:r>
        <w:rPr>
          <w:rFonts w:ascii="Georgia" w:cs="Georgia" w:eastAsia="Georgia" w:hAnsi="Georgia"/>
          <w:i/>
          <w:iCs/>
          <w:color w:val="5C5C5C"/>
          <w:sz w:val="18"/>
          <w:szCs w:val="18"/>
        </w:rPr>
        <w:t xml:space="preserve">Prepared for: Ministry of Health Sierra Leone  |  UNICEF  |  FCDO  |  GAVI  |  Global Fund  |  WHO  |  Global Health Community</w:t>
      </w:r>
    </w:p>
    <w:p>
      <w:r>
        <w:br w:type="page"/>
      </w:r>
    </w:p>
    <w:p>
      <w:pPr>
        <w:pStyle w:val="Heading2"/>
        <w:pBdr>
          <w:bottom w:val="single" w:color="EAF3EE" w:sz="4"/>
        </w:pBdr>
        <w:spacing w:after="100" w:before="280"/>
      </w:pPr>
      <w:r>
        <w:rPr>
          <w:rFonts w:ascii="Georgia" w:cs="Georgia" w:eastAsia="Georgia" w:hAnsi="Georgia"/>
          <w:b/>
          <w:bCs/>
          <w:color w:val="1A4731"/>
          <w:sz w:val="28"/>
          <w:szCs w:val="28"/>
        </w:rPr>
        <w:t xml:space="preserve">ABOUT THIS DOCUMENT</w:t>
      </w:r>
    </w:p>
    <w:p>
      <w:pPr>
        <w:spacing w:after="80" w:before="0"/>
        <w:jc w:val="left"/>
      </w:pPr>
      <w:r>
        <w:rPr>
          <w:rFonts w:ascii="Georgia" w:cs="Georgia" w:eastAsia="Georgia" w:hAnsi="Georgia"/>
          <w:color w:val="B55334"/>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Document Information</w:t>
            </w:r>
          </w:p>
        </w:tc>
      </w:tr>
      <w:tr>
        <w:trPr>
          <w:tblHeader w:val="false"/>
        </w:trPr>
        <w:tc>
          <w:tcPr>
            <w:tcW w:type="dxa" w:w="936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Full Title:  REACH 360° Community Health Systems Strengthening Framework — Master Document Version 1.0</w:t>
            </w:r>
          </w:p>
        </w:tc>
      </w:tr>
      <w:tr>
        <w:trPr>
          <w:tblHeader w:val="false"/>
        </w:trPr>
        <w:tc>
          <w:tcPr>
            <w:tcW w:type="dxa" w:w="936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Developing Institution:  iREACHE LASTMILE | Kenema, Eastern Province, Sierra Leone</w:t>
            </w:r>
          </w:p>
        </w:tc>
      </w:tr>
      <w:tr>
        <w:trPr>
          <w:tblHeader w:val="false"/>
        </w:trPr>
        <w:tc>
          <w:tcPr>
            <w:tcW w:type="dxa" w:w="936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Date of Issue:  2026  |  Status: Published Open-Access Document</w:t>
            </w:r>
          </w:p>
        </w:tc>
      </w:tr>
      <w:tr>
        <w:trPr>
          <w:tblHeader w:val="false"/>
        </w:trPr>
        <w:tc>
          <w:tcPr>
            <w:tcW w:type="dxa" w:w="936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Copyright:  © iREACHE LASTMILE 2026. Licensed under Creative Commons Attribution 4.0 International (CC BY 4.0). Free to share and adapt with appropriate credit.</w:t>
            </w:r>
          </w:p>
        </w:tc>
      </w:tr>
      <w:tr>
        <w:trPr>
          <w:tblHeader w:val="false"/>
        </w:trPr>
        <w:tc>
          <w:tcPr>
            <w:tcW w:type="dxa" w:w="936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Preferred Citation:  iREACHE LASTMILE (2026). REACH 360° Community Health Systems Strengthening Framework — Master Document Version 1.0. Kenema: iREACHE LASTMILE.</w:t>
            </w:r>
          </w:p>
        </w:tc>
      </w:tr>
      <w:tr>
        <w:trPr>
          <w:tblHeader w:val="false"/>
        </w:trPr>
        <w:tc>
          <w:tcPr>
            <w:tcW w:type="dxa" w:w="936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Contact:  info@ireachelastmile.org  |  www.ireachelastmile.org</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Scope and Purpose</w:t>
      </w:r>
    </w:p>
    <w:p>
      <w:pPr>
        <w:spacing w:after="140" w:before="0"/>
        <w:jc w:val="both"/>
      </w:pPr>
      <w:r>
        <w:rPr>
          <w:rFonts w:ascii="Georgia" w:cs="Georgia" w:eastAsia="Georgia" w:hAnsi="Georgia"/>
          <w:b w:val="false"/>
          <w:bCs w:val="false"/>
          <w:i w:val="false"/>
          <w:iCs w:val="false"/>
          <w:color w:val="252525"/>
          <w:sz w:val="24"/>
          <w:szCs w:val="24"/>
        </w:rPr>
        <w:t xml:space="preserve">This Master Document is the primary intellectual, operational, and communications reference for the REACH 360° Community Health Systems Strengthening Framework. It establishes the theoretical foundations, architectural design, pillar systems, evidence base, implementation principles, measurement architecture, learning systems, and governance structures from which all iREACHE LASTMILE programme documents derive.</w:t>
      </w:r>
    </w:p>
    <w:p>
      <w:pPr>
        <w:spacing w:after="140" w:before="0"/>
        <w:jc w:val="both"/>
      </w:pPr>
      <w:r>
        <w:rPr>
          <w:rFonts w:ascii="Georgia" w:cs="Georgia" w:eastAsia="Georgia" w:hAnsi="Georgia"/>
          <w:b w:val="false"/>
          <w:bCs w:val="false"/>
          <w:i w:val="false"/>
          <w:iCs w:val="false"/>
          <w:color w:val="252525"/>
          <w:sz w:val="24"/>
          <w:szCs w:val="24"/>
        </w:rPr>
        <w:t xml:space="preserve">This document serves five simultaneous audiences without separate versions. For the Ministry of Health Sierra Leone and District Health Management Teams: a complete account of the framework that underpins iREACHE LASTMILE's co-implementation of Sierra Leone's Vision 2030 CHW Programme. For donors and development partners: the evidence base that validates the framework's design choices and positions iREACHE LASTMILE as the national implementing partner for Sierra Leone's largest community health investment. For the global health academic community: an original theoretical contribution to community health systems strengthening knowledge. For programme staff, ProcCHWs, and supervisors: the foundational reference from which every operational manual, training curriculum, and supervision protocol derives. For communities, traditional authority leaders, and Community Health Committees: the framework that governs how BRIDGE 360° LASTMILE CARE operates in their chieftaincy.</w:t>
      </w:r>
    </w:p>
    <w:p>
      <w:pPr>
        <w:pStyle w:val="Heading2"/>
        <w:pBdr>
          <w:bottom w:val="single" w:color="EAF3EE" w:sz="4"/>
        </w:pBdr>
        <w:spacing w:after="100" w:before="280"/>
      </w:pPr>
      <w:r>
        <w:rPr>
          <w:rFonts w:ascii="Georgia" w:cs="Georgia" w:eastAsia="Georgia" w:hAnsi="Georgia"/>
          <w:b/>
          <w:bCs/>
          <w:color w:val="1A4731"/>
          <w:sz w:val="28"/>
          <w:szCs w:val="28"/>
        </w:rPr>
        <w:t xml:space="preserve">How to Read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If You Are</w:t>
            </w:r>
          </w:p>
        </w:tc>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Start Here</w:t>
            </w:r>
          </w:p>
        </w:tc>
        <w:tc>
          <w:tcPr>
            <w:tcW w:type="dxa" w:w="41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Priority Sections</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Ministry of Health / DHMT</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Founding Story + Who We Are</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Chapters 1, 5, 6, 7, 12–18, 27–28</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Donor / Development Partner</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Founding Story + Framework Overview</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Chapters 1, 2, 4, 11–18, 19–25, 27</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Global Health Researcher</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Theory</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Chapters 8, 9, 10, 21, 26, 29–32</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Programme / Field Staff</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Who We Are + Seven Pillars</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Chapters 6, 7, 12–18, 19, 22, 23, 27</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Traditional Authority Partner</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Founding Story + BRIDGE 360° LASTMILE CARE</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Chapters 1, 6, 7, 16, 17, 19</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ProcCHW</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Chapter 7: ProcCHW Cadre</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Chapters 7, 12, 17, 22, 27</w:t>
            </w:r>
          </w:p>
        </w:tc>
      </w:tr>
    </w:tbl>
    <w:p>
      <w:r>
        <w:br w:type="page"/>
      </w:r>
    </w:p>
    <w:p>
      <w:pPr>
        <w:pStyle w:val="Heading2"/>
        <w:pBdr>
          <w:bottom w:val="single" w:color="EAF3EE" w:sz="4"/>
        </w:pBdr>
        <w:spacing w:after="100" w:before="280"/>
      </w:pPr>
      <w:r>
        <w:rPr>
          <w:rFonts w:ascii="Georgia" w:cs="Georgia" w:eastAsia="Georgia" w:hAnsi="Georgia"/>
          <w:b/>
          <w:bCs/>
          <w:color w:val="1A4731"/>
          <w:sz w:val="28"/>
          <w:szCs w:val="28"/>
        </w:rPr>
        <w:t xml:space="preserve">FOREWORD</w:t>
      </w:r>
    </w:p>
    <w:p>
      <w:pPr>
        <w:spacing w:after="80" w:before="0"/>
        <w:jc w:val="left"/>
      </w:pPr>
      <w:r>
        <w:rPr>
          <w:rFonts w:ascii="Georgia" w:cs="Georgia" w:eastAsia="Georgia" w:hAnsi="Georgia"/>
          <w:color w:val="B55334"/>
          <w:sz w:val="14"/>
          <w:szCs w:val="14"/>
        </w:rPr>
        <w:t xml:space="preserve">──────────────────────────────────────</w:t>
      </w:r>
    </w:p>
    <w:p>
      <w:pPr>
        <w:spacing w:after="140" w:before="0"/>
        <w:jc w:val="both"/>
      </w:pPr>
      <w:r>
        <w:rPr>
          <w:rFonts w:ascii="Georgia" w:cs="Georgia" w:eastAsia="Georgia" w:hAnsi="Georgia"/>
          <w:b w:val="false"/>
          <w:bCs w:val="false"/>
          <w:i w:val="false"/>
          <w:iCs w:val="false"/>
          <w:color w:val="252525"/>
          <w:sz w:val="24"/>
          <w:szCs w:val="24"/>
        </w:rPr>
        <w:t xml:space="preserve">Every community health programme Sierra Leone has hosted over the past four decades has begun with the same promise and ended with the same failure. The promise: to deploy community health workers who will reach the most marginalised communities with essential health care. The failure: to build the systems that would make those community health workers effective, accountable, and sustainable beyond the end of a grant cycle.</w:t>
      </w:r>
    </w:p>
    <w:p>
      <w:pPr>
        <w:spacing w:after="140" w:before="0"/>
        <w:jc w:val="both"/>
      </w:pPr>
      <w:r>
        <w:rPr>
          <w:rFonts w:ascii="Georgia" w:cs="Georgia" w:eastAsia="Georgia" w:hAnsi="Georgia"/>
          <w:b w:val="false"/>
          <w:bCs w:val="false"/>
          <w:i w:val="false"/>
          <w:iCs w:val="false"/>
          <w:color w:val="252525"/>
          <w:sz w:val="24"/>
          <w:szCs w:val="24"/>
        </w:rPr>
        <w:t xml:space="preserve">The REACH 360° Community Health Systems Strengthening Framework was designed to break this cycle. Not by deploying a better community health programme. By building a community health system — one that belongs to Sierra Leone's communities, is governed by Sierra Leone's traditional and government authorities, is financed by Sierra Leone's domestic resources, and is continuously strengthened by the intelligence that Sierra Leone's own community health evidence generates.</w:t>
      </w:r>
    </w:p>
    <w:p>
      <w:pPr>
        <w:spacing w:after="140" w:before="0"/>
        <w:jc w:val="both"/>
      </w:pPr>
      <w:r>
        <w:rPr>
          <w:rFonts w:ascii="Georgia" w:cs="Georgia" w:eastAsia="Georgia" w:hAnsi="Georgia"/>
          <w:b w:val="false"/>
          <w:bCs w:val="false"/>
          <w:i w:val="false"/>
          <w:iCs w:val="false"/>
          <w:color w:val="252525"/>
          <w:sz w:val="24"/>
          <w:szCs w:val="24"/>
        </w:rPr>
        <w:t xml:space="preserve">The name REACH 360° carries the full ambition. REACH — because iREACHE LASTMILE was founded on the conviction that the communities hardest to reach are the communities most urgently in need of being reached, and that reaching them requires connecting the systems that have never worked together rather than simply training more CHWs. 360° — because the Framework examines community health from every angle simultaneously, leaves no person outside the circle of care, and builds a governance loop that is self-sustaining rather than donor-dependent.</w:t>
      </w:r>
    </w:p>
    <w:p>
      <w:pPr>
        <w:spacing w:after="140" w:before="0"/>
        <w:jc w:val="both"/>
      </w:pPr>
      <w:r>
        <w:rPr>
          <w:rFonts w:ascii="Georgia" w:cs="Georgia" w:eastAsia="Georgia" w:hAnsi="Georgia"/>
          <w:b w:val="false"/>
          <w:bCs w:val="false"/>
          <w:i w:val="false"/>
          <w:iCs w:val="false"/>
          <w:color w:val="252525"/>
          <w:sz w:val="24"/>
          <w:szCs w:val="24"/>
        </w:rPr>
        <w:t xml:space="preserve">BRIDGE 360° LASTMILE CARE — the Framework's care delivery model — carries the operational expression of this ambition. A bridge connects what cannot connect itself. The Professional Connected Community Health Workers who deliver BRIDGE 360° LASTMILE CARE are bridges: between the Traditional Authority System that holds community legitimacy, the Government Health System that holds clinical authority and national resources, and the Community Epidemiological System that holds the surveillance intelligence built during Sierra Leone's survival of the 2014–2016 Ebola outbreak.</w:t>
      </w:r>
    </w:p>
    <w:p>
      <w:pPr>
        <w:spacing w:after="140" w:before="0"/>
        <w:jc w:val="both"/>
      </w:pPr>
      <w:r>
        <w:rPr>
          <w:rFonts w:ascii="Georgia" w:cs="Georgia" w:eastAsia="Georgia" w:hAnsi="Georgia"/>
          <w:b w:val="false"/>
          <w:bCs w:val="false"/>
          <w:i w:val="false"/>
          <w:iCs w:val="false"/>
          <w:color w:val="252525"/>
          <w:sz w:val="24"/>
          <w:szCs w:val="24"/>
        </w:rPr>
        <w:t xml:space="preserve">This Master Document is published as open-access knowledge. We invite critique, adaptation, and replication. We commit to publishing what we learn — including our failures. The REACH 360° Framework is iREACHE LASTMILE's contribution to the global conversation about what community health systems strengthening actually requires. We believe Sierra Leone's evidence has something to teach the world. This document is where that teaching begins.</w:t>
      </w:r>
    </w:p>
    <w:p>
      <w:pPr>
        <w:spacing w:after="0" w:before="0"/>
      </w:pPr>
      <w:r>
        <w:rPr>
          <w:rFonts w:ascii="Georgia" w:cs="Georgia" w:eastAsia="Georgia" w:hAnsi="Georgia"/>
          <w:sz w:val="10"/>
          <w:szCs w:val="10"/>
        </w:rPr>
        <w:t xml:space="preserve"/>
      </w:r>
    </w:p>
    <w:p>
      <w:pPr>
        <w:spacing w:after="0" w:before="0"/>
      </w:pPr>
      <w:r>
        <w:rPr>
          <w:rFonts w:ascii="Georgia" w:cs="Georgia" w:eastAsia="Georgia" w:hAnsi="Georgia"/>
          <w:sz w:val="10"/>
          <w:szCs w:val="10"/>
        </w:rPr>
        <w:t xml:space="preserve"/>
      </w:r>
    </w:p>
    <w:p>
      <w:pPr>
        <w:spacing w:after="20" w:before="0"/>
        <w:jc w:val="right"/>
      </w:pPr>
      <w:r>
        <w:rPr>
          <w:rFonts w:ascii="Georgia" w:cs="Georgia" w:eastAsia="Georgia" w:hAnsi="Georgia"/>
          <w:i/>
          <w:iCs/>
          <w:color w:val="5C5C5C"/>
          <w:sz w:val="20"/>
          <w:szCs w:val="20"/>
        </w:rPr>
        <w:t xml:space="preserve">Executive Director, iREACHE LASTMILE</w:t>
      </w:r>
    </w:p>
    <w:p>
      <w:pPr>
        <w:spacing w:after="0" w:before="0"/>
        <w:jc w:val="right"/>
      </w:pPr>
      <w:r>
        <w:rPr>
          <w:rFonts w:ascii="Georgia" w:cs="Georgia" w:eastAsia="Georgia" w:hAnsi="Georgia"/>
          <w:i/>
          <w:iCs/>
          <w:color w:val="5C5C5C"/>
          <w:sz w:val="20"/>
          <w:szCs w:val="20"/>
        </w:rPr>
        <w:t xml:space="preserve">Kenema, Eastern Province, Sierra Leone  |  2026</w:t>
      </w:r>
    </w:p>
    <w:p>
      <w:r>
        <w:br w:type="page"/>
      </w:r>
    </w:p>
    <w:p>
      <w:pPr>
        <w:pStyle w:val="Heading2"/>
        <w:pBdr>
          <w:bottom w:val="single" w:color="FAF0ED" w:sz="4"/>
        </w:pBdr>
        <w:spacing w:after="100" w:before="280"/>
      </w:pPr>
      <w:r>
        <w:rPr>
          <w:rFonts w:ascii="Georgia" w:cs="Georgia" w:eastAsia="Georgia" w:hAnsi="Georgia"/>
          <w:b/>
          <w:bCs/>
          <w:color w:val="B55334"/>
          <w:sz w:val="28"/>
          <w:szCs w:val="28"/>
        </w:rPr>
        <w:t xml:space="preserve">THE FOUNDING STORY</w:t>
      </w:r>
    </w:p>
    <w:p>
      <w:pPr>
        <w:spacing w:after="80" w:before="0"/>
        <w:jc w:val="left"/>
      </w:pPr>
      <w:r>
        <w:rPr>
          <w:rFonts w:ascii="Georgia" w:cs="Georgia" w:eastAsia="Georgia" w:hAnsi="Georgia"/>
          <w:color w:val="B55334"/>
          <w:sz w:val="14"/>
          <w:szCs w:val="14"/>
        </w:rPr>
        <w:t xml:space="preserve">──────────────────────────────────────</w:t>
      </w:r>
    </w:p>
    <w:p>
      <w:pPr>
        <w:pBdr>
          <w:left w:val="thick" w:color="B55334" w:sz="18"/>
        </w:pBdr>
        <w:spacing w:after="200" w:before="200"/>
        <w:ind w:left="560" w:right="560"/>
        <w:jc w:val="both"/>
      </w:pPr>
      <w:r>
        <w:rPr>
          <w:rFonts w:ascii="Georgia" w:cs="Georgia" w:eastAsia="Georgia" w:hAnsi="Georgia"/>
          <w:b/>
          <w:bCs/>
          <w:i/>
          <w:iCs/>
          <w:color w:val="1A4731"/>
          <w:sz w:val="24"/>
          <w:szCs w:val="24"/>
        </w:rPr>
        <w:t xml:space="preserve">"We did not found iREACHE LASTMILE because we wanted to build an organisation. We founded it because we had seen what happens when the systems that should protect communities are disconnected — and we could not continue to watch it happen."</w:t>
      </w:r>
    </w:p>
    <w:p>
      <w:pPr>
        <w:pStyle w:val="Heading3"/>
        <w:spacing w:after="80" w:before="220"/>
      </w:pPr>
      <w:r>
        <w:rPr>
          <w:rFonts w:ascii="Georgia" w:cs="Georgia" w:eastAsia="Georgia" w:hAnsi="Georgia"/>
          <w:b/>
          <w:bCs/>
          <w:color w:val="2D6A4F"/>
          <w:sz w:val="24"/>
          <w:szCs w:val="24"/>
        </w:rPr>
        <w:t xml:space="preserve">The Place Where We Started</w:t>
      </w:r>
    </w:p>
    <w:p>
      <w:pPr>
        <w:spacing w:after="140" w:before="0"/>
        <w:jc w:val="both"/>
      </w:pPr>
      <w:r>
        <w:rPr>
          <w:rFonts w:ascii="Georgia" w:cs="Georgia" w:eastAsia="Georgia" w:hAnsi="Georgia"/>
          <w:b w:val="false"/>
          <w:bCs w:val="false"/>
          <w:i w:val="false"/>
          <w:iCs w:val="false"/>
          <w:color w:val="252525"/>
          <w:sz w:val="24"/>
          <w:szCs w:val="24"/>
        </w:rPr>
        <w:t xml:space="preserve">Kenema. The word means 'clear water' in Mende — the language of Eastern Province, the language of our founders, the language of the communities we serve. Kenema district sits in the heart of Sierra Leone's Eastern Province, bordered by Guinea to the north and Liberia to the east. It is a place of remarkable natural abundance — dense forest, fertile farmland, diamond-rich earth — and equally remarkable health deprivation. In 2022, Kenema district's maternal mortality rate exceeded Sierra Leone's already catastrophic national average. In 2024, more than a fifth of children born in its most remote chieftaincies received not a single vaccine in their first year of life.</w:t>
      </w:r>
    </w:p>
    <w:p>
      <w:pPr>
        <w:spacing w:after="140" w:before="0"/>
        <w:jc w:val="both"/>
      </w:pPr>
      <w:r>
        <w:rPr>
          <w:rFonts w:ascii="Georgia" w:cs="Georgia" w:eastAsia="Georgia" w:hAnsi="Georgia"/>
          <w:b w:val="false"/>
          <w:bCs w:val="false"/>
          <w:i w:val="false"/>
          <w:iCs w:val="false"/>
          <w:color w:val="252525"/>
          <w:sz w:val="24"/>
          <w:szCs w:val="24"/>
        </w:rPr>
        <w:t xml:space="preserve">Kenema is also the district that bore the heaviest concentration of Ebola transmission during the 2014–2016 outbreak — the worst epidemic in West African history. In the Kenema Government Hospital's Ebola holding unit, Sierra Leonean nurses and doctors and community health workers died alongside their patients. Communities in remote chieftaincies built their own detection systems, their own isolation protocols, their own contact tracing networks, because the formal health system could not reach them fast enough. They survived. And in surviving, they built something that no health programme had ever recognised as a health system asset: a community epidemiological intelligence infrastructure that exists today in the collective memory and social organisation of Eastern Province communities.</w:t>
      </w:r>
    </w:p>
    <w:p>
      <w:pPr>
        <w:spacing w:after="140" w:before="0"/>
        <w:jc w:val="both"/>
      </w:pPr>
      <w:r>
        <w:rPr>
          <w:rFonts w:ascii="Georgia" w:cs="Georgia" w:eastAsia="Georgia" w:hAnsi="Georgia"/>
          <w:b w:val="false"/>
          <w:bCs w:val="false"/>
          <w:i w:val="false"/>
          <w:iCs w:val="false"/>
          <w:color w:val="252525"/>
          <w:sz w:val="24"/>
          <w:szCs w:val="24"/>
        </w:rPr>
        <w:t xml:space="preserve">iREACHE LASTMILE was founded in Kenema because that is where Sierra Leone's community health challenge is most acute, where the evidence for a better approach is most available, and where the community resilience that makes the REACH 360° Framework possible is most deeply rooted.</w:t>
      </w:r>
    </w:p>
    <w:p>
      <w:pPr>
        <w:pStyle w:val="Heading3"/>
        <w:spacing w:after="80" w:before="220"/>
      </w:pPr>
      <w:r>
        <w:rPr>
          <w:rFonts w:ascii="Georgia" w:cs="Georgia" w:eastAsia="Georgia" w:hAnsi="Georgia"/>
          <w:b/>
          <w:bCs/>
          <w:color w:val="2D6A4F"/>
          <w:sz w:val="24"/>
          <w:szCs w:val="24"/>
        </w:rPr>
        <w:t xml:space="preserve">The Insight That Founded the Organisation</w:t>
      </w:r>
    </w:p>
    <w:p>
      <w:pPr>
        <w:spacing w:after="140" w:before="0"/>
        <w:jc w:val="both"/>
      </w:pPr>
      <w:r>
        <w:rPr>
          <w:rFonts w:ascii="Georgia" w:cs="Georgia" w:eastAsia="Georgia" w:hAnsi="Georgia"/>
          <w:b w:val="false"/>
          <w:bCs w:val="false"/>
          <w:i w:val="false"/>
          <w:iCs w:val="false"/>
          <w:color w:val="252525"/>
          <w:sz w:val="24"/>
          <w:szCs w:val="24"/>
        </w:rPr>
        <w:t xml:space="preserve">The founders of iREACHE LASTMILE — Sierra Leonean public health professionals, community development practitioners, and civil society leaders with decades of combined experience in Sierra Leone's health sector — had observed the same pattern in programme after programme. Community health workers would be recruited, trained, equipped, and deployed. For the duration of the programme cycle, health outcomes in target communities would improve. When the programme ended — when the grant ran out, when the INGO moved to a different country, when the donor shifted its strategic priorities — the community health workers would stop working, the equipment would break down and not be replaced, the data systems would be abandoned, and the communities would return to the health situation that had made the programme necessary in the first place.</w:t>
      </w:r>
    </w:p>
    <w:p>
      <w:pPr>
        <w:spacing w:after="140" w:before="0"/>
        <w:jc w:val="both"/>
      </w:pPr>
      <w:r>
        <w:rPr>
          <w:rFonts w:ascii="Georgia" w:cs="Georgia" w:eastAsia="Georgia" w:hAnsi="Georgia"/>
          <w:b w:val="false"/>
          <w:bCs w:val="false"/>
          <w:i w:val="false"/>
          <w:iCs w:val="false"/>
          <w:color w:val="252525"/>
          <w:sz w:val="24"/>
          <w:szCs w:val="24"/>
        </w:rPr>
        <w:t xml:space="preserve">The standard diagnosis was: the CHWs were not well enough trained, not well enough supervised, not adequately compensated. The standard solution was: improve the training, improve the supervision, improve the compensation. And the standard result was: the same collapse at the end of the next programme cycle.</w:t>
      </w:r>
    </w:p>
    <w:p>
      <w:pPr>
        <w:spacing w:after="140" w:before="0"/>
        <w:jc w:val="both"/>
      </w:pPr>
      <w:r>
        <w:rPr>
          <w:rFonts w:ascii="Georgia" w:cs="Georgia" w:eastAsia="Georgia" w:hAnsi="Georgia"/>
          <w:b w:val="false"/>
          <w:bCs w:val="false"/>
          <w:i w:val="false"/>
          <w:iCs w:val="false"/>
          <w:color w:val="252525"/>
          <w:sz w:val="24"/>
          <w:szCs w:val="24"/>
        </w:rPr>
        <w:t xml:space="preserve">The founders asked a different question. Why does improved CHW performance — even genuinely improved, measurably improved, rigorously evaluated performance — not produce sustainable health system improvement? And the answer that changed everything was this: because CHW performance is a symptom, not the cause. The cause is systems disconnection. The three systems that must govern community health together — the Traditional Authority System that holds social legitimacy, the Government Health System that holds clinical authority, and the Community Epidemiological System that holds community intelligence — have never been genuinely connected. A well-performing CHW inside three disconnected systems produces better outputs during the programme cycle and the same systemic failure when the programme ends.</w:t>
      </w:r>
    </w:p>
    <w:p>
      <w:pPr>
        <w:spacing w:after="140" w:before="0"/>
        <w:jc w:val="both"/>
      </w:pPr>
      <w:r>
        <w:rPr>
          <w:rFonts w:ascii="Georgia" w:cs="Georgia" w:eastAsia="Georgia" w:hAnsi="Georgia"/>
          <w:b w:val="false"/>
          <w:bCs w:val="false"/>
          <w:i w:val="false"/>
          <w:iCs w:val="false"/>
          <w:color w:val="252525"/>
          <w:sz w:val="24"/>
          <w:szCs w:val="24"/>
        </w:rPr>
        <w:t xml:space="preserve">The REACH 360° Community Health Systems Strengthening Framework was designed from this insight. Not a better CHW programme. A system that connects what has never been connected and builds the governance, financing, and intelligence architecture that makes that connection permanent.</w:t>
      </w:r>
    </w:p>
    <w:p>
      <w:pPr>
        <w:pStyle w:val="Heading3"/>
        <w:spacing w:after="80" w:before="220"/>
      </w:pPr>
      <w:r>
        <w:rPr>
          <w:rFonts w:ascii="Georgia" w:cs="Georgia" w:eastAsia="Georgia" w:hAnsi="Georgia"/>
          <w:b/>
          <w:bCs/>
          <w:color w:val="2D6A4F"/>
          <w:sz w:val="24"/>
          <w:szCs w:val="24"/>
        </w:rPr>
        <w:t xml:space="preserve">The Name and What It Means</w:t>
      </w:r>
    </w:p>
    <w:p>
      <w:pPr>
        <w:spacing w:after="140" w:before="0"/>
        <w:jc w:val="both"/>
      </w:pPr>
      <w:r>
        <w:rPr>
          <w:rFonts w:ascii="Georgia" w:cs="Georgia" w:eastAsia="Georgia" w:hAnsi="Georgia"/>
          <w:b w:val="false"/>
          <w:bCs w:val="false"/>
          <w:i w:val="false"/>
          <w:iCs w:val="false"/>
          <w:color w:val="252525"/>
          <w:sz w:val="24"/>
          <w:szCs w:val="24"/>
        </w:rPr>
        <w:t xml:space="preserve">iREACHE LASTMILE. The name was chosen with precision. Innovations — because the REACH 360° Framework is an original Sierra Leonean intellectual contribution to the global community health field, not an adaptation of a global model. Rural Empowerment — because empowerment is not something done to communities but something built with them; the communities most excluded from health outcomes are not passive recipients of our care but active governors of their own health systems. Access — because the fundamental problem this organisation was founded to solve is not quality of care in accessible facilities but access to care in inaccessible communities. Community Health — because the health of the community as a social and governance unit is the level at which we work, not the individual patient episode or the facility utilisation rate. Equity — because equity is the spine of everything we do, not a theme we add to make grant proposals more competitive.</w:t>
      </w:r>
    </w:p>
    <w:p>
      <w:pPr>
        <w:spacing w:after="140" w:before="0"/>
        <w:jc w:val="both"/>
      </w:pPr>
      <w:r>
        <w:rPr>
          <w:rFonts w:ascii="Georgia" w:cs="Georgia" w:eastAsia="Georgia" w:hAnsi="Georgia"/>
          <w:b w:val="false"/>
          <w:bCs w:val="false"/>
          <w:i w:val="false"/>
          <w:iCs w:val="false"/>
          <w:color w:val="252525"/>
          <w:sz w:val="24"/>
          <w:szCs w:val="24"/>
        </w:rPr>
        <w:t xml:space="preserve">LASTMILE. The last mile is the most technically challenging segment of any delivery system — the segment where the route is most difficult, the population density is lowest, the infrastructure is most absent, and the cost per unit delivered is highest. It is also the segment where delivery matters most, because the communities at the last mile are the communities with the highest disease burden, the least access to alternatives, and the most at stake when delivery fails. LASTMILE in our name is not a communications device. It is a programme commitment. We exist to solve the last-mile problem in Sierra Leone's community health system.</w:t>
      </w:r>
    </w:p>
    <w:p>
      <w:pPr>
        <w:pStyle w:val="Heading3"/>
        <w:spacing w:after="80" w:before="220"/>
      </w:pPr>
      <w:r>
        <w:rPr>
          <w:rFonts w:ascii="Georgia" w:cs="Georgia" w:eastAsia="Georgia" w:hAnsi="Georgia"/>
          <w:b/>
          <w:bCs/>
          <w:color w:val="2D6A4F"/>
          <w:sz w:val="24"/>
          <w:szCs w:val="24"/>
        </w:rPr>
        <w:t xml:space="preserve">The Strategic Moment</w:t>
      </w:r>
    </w:p>
    <w:p>
      <w:pPr>
        <w:spacing w:after="140" w:before="0"/>
        <w:jc w:val="both"/>
      </w:pPr>
      <w:r>
        <w:rPr>
          <w:rFonts w:ascii="Georgia" w:cs="Georgia" w:eastAsia="Georgia" w:hAnsi="Georgia"/>
          <w:b w:val="false"/>
          <w:bCs w:val="false"/>
          <w:i w:val="false"/>
          <w:iCs w:val="false"/>
          <w:color w:val="252525"/>
          <w:sz w:val="24"/>
          <w:szCs w:val="24"/>
        </w:rPr>
        <w:t xml:space="preserve">iREACHE LASTMILE was established at the most consequential moment in Sierra Leone's community health history. Three forces converged in 2025 and 2026 to create a window that will not remain open indefinitely. The Government of Sierra Leone's Vision 2030 Community Health Worker Programme established the national mandate for 6,800 professional, paid, digital, and supervised community health workers across all 16 districts — the largest domestic community health investment in Sierra Leone's history. The UNICEF–MasterCard Foundation Integrated Community Health Programme launched in January 2026, providing the financing vehicle for that mandate and explicitly seeking national NGO implementing partners with the technical capacity to deliver at scale. And the International Rescue Committee — which had delivered community health services in Sierra Leone for 26 years — closed its Sierra Leone operations in September 2025, explicitly describing the closure as a handover to strong national organisations.</w:t>
      </w:r>
    </w:p>
    <w:p>
      <w:pPr>
        <w:spacing w:after="140" w:before="0"/>
        <w:jc w:val="both"/>
      </w:pPr>
      <w:r>
        <w:rPr>
          <w:rFonts w:ascii="Georgia" w:cs="Georgia" w:eastAsia="Georgia" w:hAnsi="Georgia"/>
          <w:b w:val="false"/>
          <w:bCs w:val="false"/>
          <w:i w:val="false"/>
          <w:iCs w:val="false"/>
          <w:color w:val="252525"/>
          <w:sz w:val="24"/>
          <w:szCs w:val="24"/>
        </w:rPr>
        <w:t xml:space="preserve">iREACHE LASTMILE was designed to occupy this moment. Every design decision in the REACH 360° Framework — the governance architecture, the financing transition roadmap, the Intelligent Digital Health Systems Integration strategy, the seven-pillar structure — was made in the knowledge that this moment requires not a programme but a system, and not an international organisation but a national institution that will be here after every donor cycle ends.</w:t>
      </w:r>
    </w:p>
    <w:p>
      <w:pPr>
        <w:spacing w:after="0" w:before="0"/>
      </w:pPr>
      <w:r>
        <w:rPr>
          <w:rFonts w:ascii="Georgia" w:cs="Georgia" w:eastAsia="Georgia" w:hAnsi="Georgia"/>
          <w:sz w:val="10"/>
          <w:szCs w:val="10"/>
        </w:rPr>
        <w:t xml:space="preserve"/>
      </w:r>
    </w:p>
    <w:p>
      <w:pPr>
        <w:spacing w:after="0" w:before="0"/>
      </w:pPr>
      <w:r>
        <w:rPr>
          <w:rFonts w:ascii="Georgia" w:cs="Georgia" w:eastAsia="Georgia" w:hAnsi="Georgi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ECECE" w:sz="4"/>
              <w:left w:val="single" w:color="CECECE" w:sz="4"/>
              <w:bottom w:val="single" w:color="CECECE" w:sz="4"/>
              <w:right w:val="single" w:color="CECECE" w:sz="4"/>
            </w:tcBorders>
            <w:shd w:fill="A07820"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THE FOUNDING COMMITMENT</w:t>
            </w:r>
          </w:p>
        </w:tc>
      </w:tr>
      <w:tr>
        <w:trPr>
          <w:tblHeader w:val="false"/>
        </w:trPr>
        <w:tc>
          <w:tcPr>
            <w:tcW w:type="dxa" w:w="9360"/>
            <w:gridSpan w:val="1"/>
            <w:tcBorders>
              <w:top w:val="single" w:color="CECECE" w:sz="4"/>
              <w:left w:val="single" w:color="CECECE" w:sz="4"/>
              <w:bottom w:val="single" w:color="CECECE" w:sz="4"/>
              <w:right w:val="single" w:color="CECECE" w:sz="4"/>
            </w:tcBorders>
            <w:shd w:fill="FAF3E0"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iCs/>
                <w:color w:val="252525"/>
                <w:sz w:val="20"/>
                <w:szCs w:val="20"/>
              </w:rPr>
              <w:t xml:space="preserve">iREACHE LASTMILE was founded on one commitment: that by 2031, Sierra Leone will have a community health system — not a community health programme — that is governed by communities, co-led by government, financed domestically, and continuously strengthened by the intelligence of its own evidence. The REACH 360° Community Health Systems Strengthening Framework is the architecture for that system. BRIDGE 360° LASTMILE CARE is how communities experience it. ProcCHWs are the human infrastructure that makes it real.</w:t>
            </w:r>
          </w:p>
        </w:tc>
      </w:tr>
    </w:tbl>
    <w:p>
      <w:pPr>
        <w:spacing w:after="0" w:before="0"/>
      </w:pPr>
      <w:r>
        <w:rPr>
          <w:rFonts w:ascii="Georgia" w:cs="Georgia" w:eastAsia="Georgia" w:hAnsi="Georgia"/>
          <w:sz w:val="10"/>
          <w:szCs w:val="10"/>
        </w:rPr>
        <w:t xml:space="preserve"/>
      </w:r>
    </w:p>
    <w:p>
      <w:r>
        <w:br w:type="page"/>
      </w:r>
    </w:p>
    <w:p>
      <w:r>
        <w:br w:type="page"/>
      </w:r>
    </w:p>
    <w:p>
      <w:pPr>
        <w:spacing w:after="80" w:before="1200"/>
        <w:jc w:val="left"/>
      </w:pPr>
      <w:r>
        <w:rPr>
          <w:rFonts w:ascii="Georgia" w:cs="Georgia" w:eastAsia="Georgia" w:hAnsi="Georgia"/>
          <w:b/>
          <w:bCs/>
          <w:color w:val="2D6A4F"/>
          <w:sz w:val="48"/>
          <w:szCs w:val="48"/>
        </w:rPr>
        <w:t xml:space="preserve">PART I</w:t>
      </w:r>
    </w:p>
    <w:p>
      <w:pPr>
        <w:pBdr>
          <w:bottom w:val="single" w:color="B55334" w:sz="12"/>
        </w:pBdr>
        <w:spacing w:after="80" w:before="0"/>
        <w:jc w:val="left"/>
      </w:pPr>
      <w:r>
        <w:rPr>
          <w:rFonts w:ascii="Georgia" w:cs="Georgia" w:eastAsia="Georgia" w:hAnsi="Georgia"/>
          <w:b/>
          <w:bCs/>
          <w:color w:val="1A4731"/>
          <w:sz w:val="52"/>
          <w:szCs w:val="52"/>
        </w:rPr>
        <w:t xml:space="preserve">FOUNDATION AND CONTEXT</w:t>
      </w:r>
    </w:p>
    <w:p>
      <w:pPr>
        <w:spacing w:after="0" w:before="60"/>
      </w:pPr>
      <w:r>
        <w:rPr>
          <w:rFonts w:ascii="Georgia" w:cs="Georgia" w:eastAsia="Georgia" w:hAnsi="Georgia"/>
          <w:i/>
          <w:iCs/>
          <w:color w:val="5C5C5C"/>
          <w:sz w:val="22"/>
          <w:szCs w:val="22"/>
        </w:rPr>
        <w:t xml:space="preserve">The epidemiological imperative, the strategic window, and the evidence that grounds the REACH 360° Framework</w:t>
      </w:r>
    </w:p>
    <w:p>
      <w:r>
        <w:br w:type="page"/>
      </w:r>
    </w:p>
    <w:p>
      <w:pPr>
        <w:pStyle w:val="Heading1"/>
        <w:shd w:fill="1A4731" w:val="clear"/>
        <w:spacing w:after="0" w:before="400"/>
      </w:pPr>
      <w:r>
        <w:rPr>
          <w:rFonts w:ascii="Georgia" w:cs="Georgia" w:eastAsia="Georgia" w:hAnsi="Georgia"/>
          <w:b/>
          <w:bCs/>
          <w:color w:val="7BC99A"/>
          <w:sz w:val="18"/>
          <w:szCs w:val="18"/>
        </w:rPr>
        <w:t xml:space="preserve">2  </w:t>
      </w:r>
      <w:r>
        <w:rPr>
          <w:rFonts w:ascii="Georgia" w:cs="Georgia" w:eastAsia="Georgia" w:hAnsi="Georgia"/>
          <w:b/>
          <w:bCs/>
          <w:color w:val="FFFFFF"/>
          <w:sz w:val="34"/>
          <w:szCs w:val="34"/>
        </w:rPr>
        <w:t xml:space="preserve">SIERRA LEONE HEALTH SYSTEMS CONTEXT</w:t>
      </w:r>
    </w:p>
    <w:p>
      <w:pPr>
        <w:pBdr>
          <w:bottom w:val="single" w:color="B55334" w:sz="8"/>
        </w:pBdr>
        <w:spacing w:after="200" w:before="0"/>
      </w:pPr>
      <w:r>
        <w:rPr>
          <w:sz w:val="2"/>
          <w:szCs w:val="2"/>
        </w:rPr>
        <w:t xml:space="preserve"/>
      </w:r>
    </w:p>
    <w:p>
      <w:pPr>
        <w:pBdr>
          <w:left w:val="thick" w:color="B55334" w:sz="18"/>
        </w:pBdr>
        <w:spacing w:after="200" w:before="200"/>
        <w:ind w:left="560" w:right="560"/>
        <w:jc w:val="both"/>
      </w:pPr>
      <w:r>
        <w:rPr>
          <w:rFonts w:ascii="Georgia" w:cs="Georgia" w:eastAsia="Georgia" w:hAnsi="Georgia"/>
          <w:b/>
          <w:bCs/>
          <w:i/>
          <w:iCs/>
          <w:color w:val="1A4731"/>
          <w:sz w:val="24"/>
          <w:szCs w:val="24"/>
        </w:rPr>
        <w:t xml:space="preserve">"Sierra Leone does not have a community health workforce problem. It has a community health systems problem — and the difference is the difference between treating a symptom and curing a disease."</w:t>
      </w:r>
    </w:p>
    <w:p>
      <w:pPr>
        <w:pStyle w:val="Heading2"/>
        <w:pBdr>
          <w:bottom w:val="single" w:color="EAF3EE" w:sz="4"/>
        </w:pBdr>
        <w:spacing w:after="100" w:before="280"/>
      </w:pPr>
      <w:r>
        <w:rPr>
          <w:rFonts w:ascii="Georgia" w:cs="Georgia" w:eastAsia="Georgia" w:hAnsi="Georgia"/>
          <w:b/>
          <w:bCs/>
          <w:color w:val="1A4731"/>
          <w:sz w:val="28"/>
          <w:szCs w:val="28"/>
        </w:rPr>
        <w:t xml:space="preserve">2.1  Epidemiological Profile and Health Burden</w:t>
      </w:r>
    </w:p>
    <w:p>
      <w:pPr>
        <w:spacing w:after="140" w:before="0"/>
        <w:jc w:val="both"/>
      </w:pPr>
      <w:r>
        <w:rPr>
          <w:rFonts w:ascii="Georgia" w:cs="Georgia" w:eastAsia="Georgia" w:hAnsi="Georgia"/>
          <w:b w:val="false"/>
          <w:bCs w:val="false"/>
          <w:i w:val="false"/>
          <w:iCs w:val="false"/>
          <w:color w:val="252525"/>
          <w:sz w:val="24"/>
          <w:szCs w:val="24"/>
        </w:rPr>
        <w:t xml:space="preserve">Sierra Leone carries one of the heaviest preventable disease burdens in sub-Saharan Africa. The 2022 Demographic and Health Survey, national Health Management Information System data, and iREACHE LASTMILE's own Kenema district baseline assessment reveal a landscape defined by persistently high maternal and child mortality, endemic malaria, acute malnutrition, low immunisation coverage, and preventable neonatal deaths. These outcomes are not randomly distributed. They are concentrated in rural and remote chieftaincies where geographic isolation, poverty, gender inequality, and the structural absence of functioning community health infrastructure converge to create communities that are simultaneously most burdened and least 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2400"/>
        <w:gridCol w:w="1560"/>
      </w:tblGrid>
      <w:tr>
        <w:trPr>
          <w:tblHeader/>
        </w:trPr>
        <w:tc>
          <w:tcPr>
            <w:tcW w:type="dxa" w:w="26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Health Indicator</w:t>
            </w:r>
          </w:p>
        </w:tc>
        <w:tc>
          <w:tcPr>
            <w:tcW w:type="dxa" w:w="1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Current Status</w:t>
            </w:r>
          </w:p>
        </w:tc>
        <w:tc>
          <w:tcPr>
            <w:tcW w:type="dxa" w:w="1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Vision 2030 Target</w:t>
            </w:r>
          </w:p>
        </w:tc>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Root Cause of Persistent Gap</w:t>
            </w:r>
          </w:p>
        </w:tc>
        <w:tc>
          <w:tcPr>
            <w:tcW w:type="dxa" w:w="15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REACH 360° Response</w:t>
            </w:r>
          </w:p>
        </w:tc>
      </w:tr>
      <w:tr>
        <w:trPr>
          <w:tblHeader w:val="false"/>
        </w:trPr>
        <w:tc>
          <w:tcPr>
            <w:tcW w:type="dxa" w:w="2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Maternal Mortality Ratio</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354 / 100,000 LB</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 300</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Absent community ANC promotion; late danger sign recognition; referral system failures; transport barriers</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 Community Surveillance + IDHS danger sign support</w:t>
            </w:r>
          </w:p>
        </w:tc>
      </w:tr>
      <w:tr>
        <w:trPr>
          <w:tblHeader w:val="false"/>
        </w:trPr>
        <w:tc>
          <w:tcPr>
            <w:tcW w:type="dxa" w:w="2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Neonatal Mortality Rate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~34 / 1,000 LB</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 12</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Inadequate postnatal surveillance; newborn danger sign gap; absent community follow-up Days 1, 7, 28</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postnatal proactive visits + IDHS newborn risk stratification</w:t>
            </w:r>
          </w:p>
        </w:tc>
      </w:tr>
      <w:tr>
        <w:trPr>
          <w:tblHeader w:val="false"/>
        </w:trPr>
        <w:tc>
          <w:tcPr>
            <w:tcW w:type="dxa" w:w="2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Under-5 Mortality Rate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~90 / 1,000 LB</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 25</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iCCM stockouts; unsupervised CHW clinical quality; supply chain failures at community level</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CHW Workforce System + LSCCS + IDHS clinical support</w:t>
            </w:r>
          </w:p>
        </w:tc>
      </w:tr>
      <w:tr>
        <w:trPr>
          <w:tblHeader w:val="false"/>
        </w:trPr>
        <w:tc>
          <w:tcPr>
            <w:tcW w:type="dxa" w:w="2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DPT3 Vaccination Coverage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C26A0A"/>
                <w:sz w:val="20"/>
                <w:szCs w:val="20"/>
              </w:rPr>
              <w:t xml:space="preserve">~65%</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 95%</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180,000+ zero-dose children annually; absent digital immunisation registry; demand generation failures</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CISS zero-dose prediction + PCHDS immunisation follow-up</w:t>
            </w:r>
          </w:p>
        </w:tc>
      </w:tr>
      <w:tr>
        <w:trPr>
          <w:tblHeader w:val="false"/>
        </w:trPr>
        <w:tc>
          <w:tcPr>
            <w:tcW w:type="dxa" w:w="2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Stunting Prevalence — Under 5</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C26A0A"/>
                <w:sz w:val="20"/>
                <w:szCs w:val="20"/>
              </w:rPr>
              <w:t xml:space="preserve">~32%</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 20%</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Absent monthly MUAC screening; RUTF supply failures; IYCF counselling gaps</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MUAC trajectory analysis + LSCCS RUTF forecasting</w:t>
            </w:r>
          </w:p>
        </w:tc>
      </w:tr>
      <w:tr>
        <w:trPr>
          <w:tblHeader w:val="false"/>
        </w:trPr>
        <w:tc>
          <w:tcPr>
            <w:tcW w:type="dxa" w:w="2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ANC 4+ Visits Coverage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C26A0A"/>
                <w:sz w:val="20"/>
                <w:szCs w:val="20"/>
              </w:rPr>
              <w:t xml:space="preserve">~55%</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 80%</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No proactive community ANC promotion; ProcCHW attrition in volunteer model</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proactive pregnancy identification + CHW Workforce compensation</w:t>
            </w:r>
          </w:p>
        </w:tc>
      </w:tr>
      <w:tr>
        <w:trPr>
          <w:tblHeader w:val="false"/>
        </w:trPr>
        <w:tc>
          <w:tcPr>
            <w:tcW w:type="dxa" w:w="2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Skilled Birth Attendance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C26A0A"/>
                <w:sz w:val="20"/>
                <w:szCs w:val="20"/>
              </w:rPr>
              <w:t xml:space="preserve">~68%</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 85%</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Transport barriers; late ANC initiation; distance from facility; emergency referral failures</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birth planning + TACGS Community Transport Linkage Fund</w:t>
            </w:r>
          </w:p>
        </w:tc>
      </w:tr>
      <w:tr>
        <w:trPr>
          <w:tblHeader w:val="false"/>
        </w:trPr>
        <w:tc>
          <w:tcPr>
            <w:tcW w:type="dxa" w:w="2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Essential Medicine Stockout Rate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~35%</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 5%</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Supply-push distribution; ProcCHWs excluded from national quantification systems</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LSCCS demand forecasting + Traditional Authority Supply Stewardship</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2.2  The Six Systemic Failures</w:t>
      </w:r>
    </w:p>
    <w:p>
      <w:pPr>
        <w:spacing w:after="140" w:before="0"/>
        <w:jc w:val="both"/>
      </w:pPr>
      <w:r>
        <w:rPr>
          <w:rFonts w:ascii="Georgia" w:cs="Georgia" w:eastAsia="Georgia" w:hAnsi="Georgia"/>
          <w:b w:val="false"/>
          <w:bCs w:val="false"/>
          <w:i w:val="false"/>
          <w:iCs w:val="false"/>
          <w:color w:val="252525"/>
          <w:sz w:val="24"/>
          <w:szCs w:val="24"/>
        </w:rPr>
        <w:t xml:space="preserve">Sierra Leone's health outcomes reflect six interconnected system failures that have persisted through decades of donor-funded intervention. Each has been addressed in isolation by successive programmes. None has been addressed simultaneously and comprehensively until the REACH 360° Community Health Systems Strengthening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System Failure</w:t>
            </w:r>
          </w:p>
        </w:tc>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Root Cause</w:t>
            </w:r>
          </w:p>
        </w:tc>
        <w:tc>
          <w:tcPr>
            <w:tcW w:type="dxa" w:w="2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Consequence</w:t>
            </w:r>
          </w:p>
        </w:tc>
        <w:tc>
          <w:tcPr>
            <w:tcW w:type="dxa" w:w="27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REACH 360° Pillar Response</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1. Uncompensated, unsupervised CHW workforce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Volunteer model unsustainable; no performance architecture; no career pathway; no data integration</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&gt;30% annual attrition; communities left without care between programme cycles without exception</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Connected Health Workforce: four-tier supervision, PBI compensation, three-tier career ladder, IDHS attrition prediction</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 Last-mile supply chain collapse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Supply-push distribution; 35% stockout rate; CHWs excluded from national quantification</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Children die of treatable malaria; vaccines unreachable; ProcCHWs cannot fulfil their mandate</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LSCCS: Optimize-Integrate-Sustain sequencing; eLMIS integration; Traditional Authority Supply Stewardship; IDHS demand forecasting</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3. Community intelligence invisible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Post-Ebola surveillance knowledge never formalised; communities treated as data subjects not intelligence sources</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Outbreak signals missed; DHMT planning blind to community reality; zero-dose children systematically unregistered</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CISS: CEIN activating post-Ebola intelligence; DHIS2 integration; real-time district dashboards; IDHS outbreak detection</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4. Financing fragility</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CHW costs excluded from national budgets; 100% donor dependency; programme collapse at every grant end</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Every CHW programme in Sierra Leone's history has collapsed when its donor cycle ended — without a single exception</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SHFS: Shared Sovereignty Financing; five-year domestic transition roadmap; Chieftaincy Track advocacy</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5. Governance exclusion</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Traditional authority excluded from health governance; communities advisory-only; DHMTs under-resourced for co-leadership</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trust erodes; CHW accountability gaps; governance illegitimacy undermines every sustainability effort</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TACGS: Three-authority co-governance; TRIAD Governance Protocol; Community Health Committees with real decision-making authority</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6. Reactive, access-dependent care model</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Sick people must navigate barriers; hardest-to-reach communities most underserved by systems designed for accessible populations</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Equity gaps widen with scale; the most marginalised households systematically and perpetually missed</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Universal proactive monthly household coverage; Traditional Authority Access Endorsement; Agricultural Calendar Alignment</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2.3  Health System Architecture — Sierra Leone</w:t>
      </w:r>
    </w:p>
    <w:p>
      <w:pPr>
        <w:spacing w:after="140" w:before="0"/>
        <w:jc w:val="both"/>
      </w:pPr>
      <w:r>
        <w:rPr>
          <w:rFonts w:ascii="Georgia" w:cs="Georgia" w:eastAsia="Georgia" w:hAnsi="Georgia"/>
          <w:b w:val="false"/>
          <w:bCs w:val="false"/>
          <w:i w:val="false"/>
          <w:iCs w:val="false"/>
          <w:color w:val="252525"/>
          <w:sz w:val="24"/>
          <w:szCs w:val="24"/>
        </w:rPr>
        <w:t xml:space="preserve">Sierra Leone's health system is organised across four levels: national (Ministry of Health headquarters, national programme directorates, and the Medical Stores Department); district (16 District Health Management Teams with genuine governing authority over health resource allocation, staffing, and programme management); facility (Peripheral Health Units, Community Health Centres, and district hospitals); and community (Community Health Workers operating within traditional authority governance structures). The REACH 360° Framework operates at the community level while integrating with every other level simultaneously.</w:t>
      </w:r>
    </w:p>
    <w:p>
      <w:pPr>
        <w:spacing w:after="140" w:before="0"/>
        <w:jc w:val="both"/>
      </w:pPr>
      <w:r>
        <w:rPr>
          <w:rFonts w:ascii="Georgia" w:cs="Georgia" w:eastAsia="Georgia" w:hAnsi="Georgia"/>
          <w:b w:val="false"/>
          <w:bCs w:val="false"/>
          <w:i w:val="false"/>
          <w:iCs w:val="false"/>
          <w:color w:val="252525"/>
          <w:sz w:val="24"/>
          <w:szCs w:val="24"/>
        </w:rPr>
        <w:t xml:space="preserve">The 16 DHMT architecture is the implementation universe for the REACH 360° Framework — not a partnership structure but the governing architecture within which iREACHE LASTMILE operates. District Coordinators office inside DHMT facilities. All supervision activities are DHMT co-led. All ProcCHW appointment letters carry the DHMT District Medical Officer's signature alongside iREACHE LASTMILE's. Every data point generated by the programme flows into the national DHIS2 instance owned by the government of Sierra Leone.</w:t>
      </w:r>
    </w:p>
    <w:p>
      <w:pPr>
        <w:pStyle w:val="Heading2"/>
        <w:pBdr>
          <w:bottom w:val="single" w:color="EAF3EE" w:sz="4"/>
        </w:pBdr>
        <w:spacing w:after="100" w:before="280"/>
      </w:pPr>
      <w:r>
        <w:rPr>
          <w:rFonts w:ascii="Georgia" w:cs="Georgia" w:eastAsia="Georgia" w:hAnsi="Georgia"/>
          <w:b/>
          <w:bCs/>
          <w:color w:val="1A4731"/>
          <w:sz w:val="28"/>
          <w:szCs w:val="28"/>
        </w:rPr>
        <w:t xml:space="preserve">2.4  The Kenema District Baseline</w:t>
      </w:r>
    </w:p>
    <w:p>
      <w:pPr>
        <w:spacing w:after="140" w:before="0"/>
        <w:jc w:val="both"/>
      </w:pPr>
      <w:r>
        <w:rPr>
          <w:rFonts w:ascii="Georgia" w:cs="Georgia" w:eastAsia="Georgia" w:hAnsi="Georgia"/>
          <w:b w:val="false"/>
          <w:bCs w:val="false"/>
          <w:i w:val="false"/>
          <w:iCs w:val="false"/>
          <w:color w:val="252525"/>
          <w:sz w:val="24"/>
          <w:szCs w:val="24"/>
        </w:rPr>
        <w:t xml:space="preserve">Kenema district — iREACHE LASTMILE's headquarters location and first programme district — presents the specific epidemiological and governance context from which the REACH 360° Framework was built. Kenema's maternal mortality rate exceeds the national average. Its remote chieftaincies have zero-dose prevalence above 25 percent. Its road network becomes partially inaccessible during the six-month rainy season. Its communities include survivors of the most concentrated Ebola transmission in Sierra Leone's 2014–2016 outbreak.</w:t>
      </w:r>
    </w:p>
    <w:p>
      <w:pPr>
        <w:spacing w:after="140" w:before="0"/>
        <w:jc w:val="both"/>
      </w:pPr>
      <w:r>
        <w:rPr>
          <w:rFonts w:ascii="Georgia" w:cs="Georgia" w:eastAsia="Georgia" w:hAnsi="Georgia"/>
          <w:b w:val="false"/>
          <w:bCs w:val="false"/>
          <w:i w:val="false"/>
          <w:iCs w:val="false"/>
          <w:color w:val="252525"/>
          <w:sz w:val="24"/>
          <w:szCs w:val="24"/>
        </w:rPr>
        <w:t xml:space="preserve">Kenema was not chosen despite these challenges. It was chosen because of them. A framework that works in Kenema — in communities with the highest burden, the most difficult access, the most complex post-Ebola social dynamics, and the most sophisticated community health intelligence — works everywhere in Sierra Leone. Kenema is not the easiest district to pilot a community health framework. It is the most honest one.</w:t>
      </w:r>
    </w:p>
    <w:p>
      <w:r>
        <w:br w:type="page"/>
      </w:r>
    </w:p>
    <w:p>
      <w:pPr>
        <w:pStyle w:val="Heading1"/>
        <w:shd w:fill="1A4731" w:val="clear"/>
        <w:spacing w:after="0" w:before="400"/>
      </w:pPr>
      <w:r>
        <w:rPr>
          <w:rFonts w:ascii="Georgia" w:cs="Georgia" w:eastAsia="Georgia" w:hAnsi="Georgia"/>
          <w:b/>
          <w:bCs/>
          <w:color w:val="7BC99A"/>
          <w:sz w:val="18"/>
          <w:szCs w:val="18"/>
        </w:rPr>
        <w:t xml:space="preserve">3  </w:t>
      </w:r>
      <w:r>
        <w:rPr>
          <w:rFonts w:ascii="Georgia" w:cs="Georgia" w:eastAsia="Georgia" w:hAnsi="Georgia"/>
          <w:b/>
          <w:bCs/>
          <w:color w:val="FFFFFF"/>
          <w:sz w:val="34"/>
          <w:szCs w:val="34"/>
        </w:rPr>
        <w:t xml:space="preserve">THE STRATEGIC WINDOW — WHY NOW IS THE DEFINING MOMENT</w:t>
      </w:r>
    </w:p>
    <w:p>
      <w:pPr>
        <w:pBdr>
          <w:bottom w:val="single" w:color="B55334" w:sz="8"/>
        </w:pBdr>
        <w:spacing w:after="200" w:before="0"/>
      </w:pPr>
      <w:r>
        <w:rPr>
          <w:sz w:val="2"/>
          <w:szCs w:val="2"/>
        </w:rPr>
        <w:t xml:space="preserve"/>
      </w:r>
    </w:p>
    <w:p>
      <w:pPr>
        <w:spacing w:after="140" w:before="0"/>
        <w:jc w:val="both"/>
      </w:pPr>
      <w:r>
        <w:rPr>
          <w:rFonts w:ascii="Georgia" w:cs="Georgia" w:eastAsia="Georgia" w:hAnsi="Georgia"/>
          <w:b w:val="false"/>
          <w:bCs w:val="false"/>
          <w:i w:val="false"/>
          <w:iCs w:val="false"/>
          <w:color w:val="252525"/>
          <w:sz w:val="24"/>
          <w:szCs w:val="24"/>
        </w:rPr>
        <w:t xml:space="preserve">The convergence of four forces in 2025 and 2026 creates the largest community health financing, policy, and capacity window Sierra Leone has ever seen. This window will not remain open indefinitely. iREACHE LASTMILE was designed to occupy it — not opportunistically, but because the REACH 360° Framework's design was developed in the knowledge that this moment was coming and that it required a specific kind of national institution to convert it into permanent systems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rPr>
          <w:tblHeader/>
        </w:trPr>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Convergence Force</w:t>
            </w:r>
          </w:p>
        </w:tc>
        <w:tc>
          <w:tcPr>
            <w:tcW w:type="dxa" w:w="3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What It Creates</w:t>
            </w:r>
          </w:p>
        </w:tc>
        <w:tc>
          <w:tcPr>
            <w:tcW w:type="dxa" w:w="1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Why It Is Time-Limited</w:t>
            </w:r>
          </w:p>
        </w:tc>
        <w:tc>
          <w:tcPr>
            <w:tcW w:type="dxa" w:w="19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iREACHE LASTMILE Position</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MoH Vision 2030 CHW Programme</w:t>
            </w:r>
          </w:p>
        </w:tc>
        <w:tc>
          <w:tcPr>
            <w:tcW w:type="dxa" w:w="3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mandate for 6,800 professional, paid, digital, supervised CHWs across all 16 districts. The largest domestic community health investment in Sierra Leone's history. Formal government institutional pathway for national CHW programme integration.</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Vision 2030 implementing partner selection occurs 2026–2027. Early entrants shape programme architecture. Late entrants implement within a structure they did not design.</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BRIDGE 360° LASTMILE CARE is the Vision 2030 implementation model. All REACH 360° standards meet or exceed every Vision 2030 requirement.</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UNICEF–MasterCard Foundation Programme (Jan 2026)</w:t>
            </w:r>
          </w:p>
        </w:tc>
        <w:tc>
          <w:tcPr>
            <w:tcW w:type="dxa" w:w="3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Three-year programme targeting 6,800 CHWs across all 16 districts with compensation, digital tools, and training. Open call explicitly seeking national NGO implementing partners with scale delivery capacity.</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Three-year window. National NGO partners selected in early 2026. First-mover advantage is significant in donor implementing partner relationships.</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only national NGO in Sierra Leone with the technical framework, government co-leadership architecture, IDHS integration strategy, and seven-pillar systems design to absorb this programme at national scale.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IRC Programme Closure (Sept 2025)</w:t>
            </w:r>
          </w:p>
        </w:tc>
        <w:tc>
          <w:tcPr>
            <w:tcW w:type="dxa" w:w="3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International Rescue Committee formally closed its 26-year Sierra Leone community health programme, explicitly describing the closure as a handover to strong local organisations. IRC's community networks, datasets, and donor relationships represent substantial transferable assets.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transition window from INGO to national organisation leadership is approximately 18–24 months before new INGO competitors establish themselves in the space IRC vacated.</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 is the national organisation IRC described in its departure statement. Eastern Province — IRC's primary operating area — is iREACHE LASTMILE's headquarters district.</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Sierra Leone Digital Health Readiness (2025)</w:t>
            </w:r>
          </w:p>
        </w:tc>
        <w:tc>
          <w:tcPr>
            <w:tcW w:type="dxa" w:w="3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DHIS2 is operational nationally. National eHealth and Digital Health Policy is in force. MoH has expressed commitment to AI-assisted community health tools within government architecture.</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Digital health investment by early movers creates systems lock-in. Government platform configurations established now shape national architecture for a decade.</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REACH 360° Framework's IDHS integration is designed within government DHIS2 architecture from day one — establishing the model for national AI-assisted community health before any alternative model occupies that space.</w:t>
            </w:r>
          </w:p>
        </w:tc>
      </w:tr>
    </w:tbl>
    <w:p>
      <w:pPr>
        <w:spacing w:after="0" w:before="0"/>
      </w:pPr>
      <w:r>
        <w:rPr>
          <w:rFonts w:ascii="Georgia" w:cs="Georgia" w:eastAsia="Georgia" w:hAnsi="Georgi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THE COMPETITIVE LANDSCAPE — iREACHE LASTMILE'S POSITION</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BRAC Sierra Leone: Closest competitor for UNICEF-MasterCard Foundation implementing partner role. Established Western Area and Northern Province presence. Strengths: existing CHW networks, MasterCard Foundation relationship, 17 years Sierra Leone experience. Gap: no equivalent systems framework, no DESC-level performance architecture, no AI integration strategy, no traditional authority governance model.</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Concern Worldwide: Leads FCDO SLiSL-III consortium (GBP 15M, 6 districts, 2023–2028). PARTNERSHIP OPPORTUNITY not competition. Concern's geographic footprint in Southern and Northern Province complements iREACHE LASTMILE's Eastern Province focus.</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Last Mile Health: Technical assistance only — no direct CHW deployment. COMPLEMENTARY not competitive. LMH's geospatial mapping data and Exemplars in Global Health research are direct inputs to REACH 360° Framework design.</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International NGOs (International): High overhead, low local ownership perception, slower mobilisation, global HQ levy inflating unit costs by 15–25%. iREACHE LASTMILE deploys in new districts within 8 weeks. International organisations require 6–12 months for country programme establishment.</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WELBODI Partnership: Hospital-based, Freetown-centric. COMPLEMENTARY — no community health workforce overlap.</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LASTMILE's Definitive Advantage: The only national Sierra Leonean organisation combining (1) a fully designed seven-pillar community health systems framework, (2) an original theory of community health systems failure and connection, (3) a responsible IDHS integration strategy within government architecture, (4) traditional authority co-governance as a structural programme element, and (5) a five-year domestic financing transition roadmap with the Chieftaincy Track advocacy mechanism.</w:t>
            </w:r>
          </w:p>
        </w:tc>
      </w:tr>
    </w:tbl>
    <w:p>
      <w:pPr>
        <w:spacing w:after="0" w:before="0"/>
      </w:pPr>
      <w:r>
        <w:rPr>
          <w:rFonts w:ascii="Georgia" w:cs="Georgia" w:eastAsia="Georgia" w:hAnsi="Georgia"/>
          <w:sz w:val="10"/>
          <w:szCs w:val="10"/>
        </w:rPr>
        <w:t xml:space="preserve"/>
      </w:r>
    </w:p>
    <w:p>
      <w:r>
        <w:br w:type="page"/>
      </w:r>
    </w:p>
    <w:p>
      <w:pPr>
        <w:pStyle w:val="Heading1"/>
        <w:shd w:fill="1A4731" w:val="clear"/>
        <w:spacing w:after="0" w:before="400"/>
      </w:pPr>
      <w:r>
        <w:rPr>
          <w:rFonts w:ascii="Georgia" w:cs="Georgia" w:eastAsia="Georgia" w:hAnsi="Georgia"/>
          <w:b/>
          <w:bCs/>
          <w:color w:val="7BC99A"/>
          <w:sz w:val="18"/>
          <w:szCs w:val="18"/>
        </w:rPr>
        <w:t xml:space="preserve">4  </w:t>
      </w:r>
      <w:r>
        <w:rPr>
          <w:rFonts w:ascii="Georgia" w:cs="Georgia" w:eastAsia="Georgia" w:hAnsi="Georgia"/>
          <w:b/>
          <w:bCs/>
          <w:color w:val="FFFFFF"/>
          <w:sz w:val="34"/>
          <w:szCs w:val="34"/>
        </w:rPr>
        <w:t xml:space="preserve">THE EVIDENCE BASE</w:t>
      </w:r>
    </w:p>
    <w:p>
      <w:pPr>
        <w:pBdr>
          <w:bottom w:val="single" w:color="B55334" w:sz="8"/>
        </w:pBdr>
        <w:spacing w:after="200" w:before="0"/>
      </w:pPr>
      <w:r>
        <w:rPr>
          <w:sz w:val="2"/>
          <w:szCs w:val="2"/>
        </w:rPr>
        <w:t xml:space="preserve"/>
      </w:r>
    </w:p>
    <w:p>
      <w:pPr>
        <w:pBdr>
          <w:left w:val="thick" w:color="B55334" w:sz="18"/>
        </w:pBdr>
        <w:spacing w:after="200" w:before="200"/>
        <w:ind w:left="560" w:right="560"/>
        <w:jc w:val="both"/>
      </w:pPr>
      <w:r>
        <w:rPr>
          <w:rFonts w:ascii="Georgia" w:cs="Georgia" w:eastAsia="Georgia" w:hAnsi="Georgia"/>
          <w:b/>
          <w:bCs/>
          <w:i/>
          <w:iCs/>
          <w:color w:val="1A4731"/>
          <w:sz w:val="24"/>
          <w:szCs w:val="24"/>
        </w:rPr>
        <w:t xml:space="preserve">"The REACH 360° Framework was built from Sierra Leone's own evidence and validated against global knowledge. Every design choice has a citation. Every original contribution has a crosswalk entry. Every AI application has a WHO Ethics principle governing it."</w:t>
      </w:r>
    </w:p>
    <w:p>
      <w:pPr>
        <w:pStyle w:val="Heading2"/>
        <w:pBdr>
          <w:bottom w:val="single" w:color="EAF3EE" w:sz="4"/>
        </w:pBdr>
        <w:spacing w:after="100" w:before="280"/>
      </w:pPr>
      <w:r>
        <w:rPr>
          <w:rFonts w:ascii="Georgia" w:cs="Georgia" w:eastAsia="Georgia" w:hAnsi="Georgia"/>
          <w:b/>
          <w:bCs/>
          <w:color w:val="1A4731"/>
          <w:sz w:val="28"/>
          <w:szCs w:val="28"/>
        </w:rPr>
        <w:t xml:space="preserve">4.1  WHO Health System Building Blocks</w:t>
      </w:r>
    </w:p>
    <w:p>
      <w:pPr>
        <w:spacing w:after="140" w:before="0"/>
        <w:jc w:val="both"/>
      </w:pPr>
      <w:r>
        <w:rPr>
          <w:rFonts w:ascii="Georgia" w:cs="Georgia" w:eastAsia="Georgia" w:hAnsi="Georgia"/>
          <w:b w:val="false"/>
          <w:bCs w:val="false"/>
          <w:i w:val="false"/>
          <w:iCs w:val="false"/>
          <w:color w:val="252525"/>
          <w:sz w:val="24"/>
          <w:szCs w:val="24"/>
        </w:rPr>
        <w:t xml:space="preserve">The WHO Health System Building Blocks framework (2007) provides the structural completeness test for every community health systems framework — ensuring that no essential system component has been overlooked. The REACH 360° Framework maps across all six building blocks and adds a seventh dimension — Strategic Partnerships and Sustained Impact — that cross-cuts all six building blocks and is not represented in the WHO framework's original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WHO Building Block</w:t>
            </w:r>
          </w:p>
        </w:tc>
        <w:tc>
          <w:tcPr>
            <w:tcW w:type="dxa" w:w="2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REACH 360° Pillar</w:t>
            </w:r>
          </w:p>
        </w:tc>
        <w:tc>
          <w:tcPr>
            <w:tcW w:type="dxa" w:w="2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How REACH 360° Meets the Standard</w:t>
            </w:r>
          </w:p>
        </w:tc>
        <w:tc>
          <w:tcPr>
            <w:tcW w:type="dxa" w:w="23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Original REACH 360° Contribution</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Health Workforce</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Connected Health Workforce</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Triple-connected ProcCHW cadre; four-tier supervision; 8-week certification; three-tier career ladder with government payroll absorption</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Three-Tier Connectivity Standard requiring simultaneous upward, lateral, and downward connections — no international framework requires all three</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Health Information Systems</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CISS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DHIS2 platform; CEIN community surveillance network; three-level simultaneous dashboard access eliminating information asymmetry</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Epidemiological Intelligence Network formalising post-Ebola community surveillance knowledge as a standing health system component</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Access to Essential Medicines</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LSCCS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Optimize-Integrate-Sustain sequencing; eLMIS integration; ProcCHW demand signals driving national quantification</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Traditional Authority Supply Stewardship transforming stockouts from logistics problems into community governance accountability failures</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Health Financing</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SHFS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Five-year domestic financing transition; Shared Sovereignty Financing; government co-financing from Year 1</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Three-party Shared Sovereignty Financing adding traditional authority as a sovereign financing advocate alongside government and donors</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Leadership and Governance</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TACGS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TRIAD Governance Protocol; three-authority co-governance; Community Health Committees with formal decision-making power</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Three-Authority Community Governance formalising traditional authority, government, and community self-governance as co-equal governing partners with defined decision domains</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Service Delivery</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PCHDS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Universal proactive monthly household coverage; integrated seven-area service package; Traditional Authority Access Endorsement</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Agricultural Calendar Alignment Protocol and Post-Ebola Mental Health Pulse Check — Sierra Leone-specific innovations with no international precedent</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Cross-Cutting — Impact</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Strategic Partnerships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Health Systems Innovation and Learning Centre; Knowledge generation; West Africa Learning Exchange; Technical Assistance</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Seventh pillar not in WHO framework — the sustained impact and partnership architecture that makes systems change self-reinforcing beyond individual programme cycles</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4.2  Primary Health Care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PHC Principle</w:t>
            </w:r>
          </w:p>
        </w:tc>
        <w:tc>
          <w:tcPr>
            <w:tcW w:type="dxa" w:w="1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Source</w:t>
            </w:r>
          </w:p>
        </w:tc>
        <w:tc>
          <w:tcPr>
            <w:tcW w:type="dxa" w:w="55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REACH 360° Operationalisation</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Universal Accessibility</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Alma-Ata 1978; Astana 2018</w:t>
            </w:r>
          </w:p>
        </w:tc>
        <w:tc>
          <w:tcPr>
            <w:tcW w:type="dxa" w:w="5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proactive monthly household coverage; Community Transport Linkage Fund; Traditional Authority Access Endorsement enabling entry where cultural norms would otherwise restrict</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Community Participation</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Alma-Ata 1978; Astana 2018</w:t>
            </w:r>
          </w:p>
        </w:tc>
        <w:tc>
          <w:tcPr>
            <w:tcW w:type="dxa" w:w="5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TACGS Community Self-Governance authority — Community Health Committees with formal decision-making power over CHW selection, service prioritisation, and resource allocation; not advisory roles</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Health Promotion and Prevention</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Ottawa Charter 1986</w:t>
            </w:r>
          </w:p>
        </w:tc>
        <w:tc>
          <w:tcPr>
            <w:tcW w:type="dxa" w:w="5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proactive visits interrupt disease progression before crises develop; CEIN activates community surveillance as prevention infrastructure; Agricultural Calendar Alignment ensures no seasonal care gap</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Appropriate Technology</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Alma-Ata 1978 Article VII</w:t>
            </w:r>
          </w:p>
        </w:tc>
        <w:tc>
          <w:tcPr>
            <w:tcW w:type="dxa" w:w="5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DHIS2 platform configured offline-first; MUAC tapes and RDTs calibrated to ProcCHW competency; IDHS AI tools using open-source frameworks transferable to government</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Intersectoral Approach</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Alma-Ata 1978; SDGs</w:t>
            </w:r>
          </w:p>
        </w:tc>
        <w:tc>
          <w:tcPr>
            <w:tcW w:type="dxa" w:w="5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TACGS integrating traditional governance, government health, and community systems; WASH, nutrition, and climate health integrated in single ProcCHW service package</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Community Self-Reliance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Alma-Ata 1978; Astana 2018</w:t>
            </w:r>
          </w:p>
        </w:tc>
        <w:tc>
          <w:tcPr>
            <w:tcW w:type="dxa" w:w="5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CQI ultimate test: community health governance continues when iREACHE LASTMILE reduces presence by 30%; CEIN operates independently; domestic financing at 70-80% by 2031</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4.3  WHO AI Ethics Principles — Applied as Binding Design Constraints</w:t>
      </w:r>
    </w:p>
    <w:p>
      <w:pPr>
        <w:spacing w:after="140" w:before="0"/>
        <w:jc w:val="both"/>
      </w:pPr>
      <w:r>
        <w:rPr>
          <w:rFonts w:ascii="Georgia" w:cs="Georgia" w:eastAsia="Georgia" w:hAnsi="Georgia"/>
          <w:b w:val="false"/>
          <w:bCs w:val="false"/>
          <w:i w:val="false"/>
          <w:iCs w:val="false"/>
          <w:color w:val="252525"/>
          <w:sz w:val="24"/>
          <w:szCs w:val="24"/>
        </w:rPr>
        <w:t xml:space="preserve">The World Health Organization's Ethics and Governance of Artificial Intelligence for Health (2021) establishes six core principles. The REACH 360° Framework applies all six as binding design constraints on every Intelligent Digital Health Systems Integration application — not as aspirational guidelines but as programme governance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WHO AI Ethics Principle</w:t>
            </w:r>
          </w:p>
        </w:tc>
        <w:tc>
          <w:tcPr>
            <w:tcW w:type="dxa" w:w="65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REACH 360° Binding Application</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Protecting human autonomy</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clinical decision support provides alerts and suggestions — it never executes decisions. ProcCHW judgment is always primary. The AI alert feedback protocol requires ProcCHWs to actively confirm, override with rationale, or report errors for every AI alert. Passive AI deference is identified and investigated as automation bias.</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Promoting well-being and safety</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tools validated against Sierra Leone's specific disease burden and community context before deployment. Danger sign recognition models trained on Sierra Leonean clinical data. No tool deployed based on proxy datasets from different epidemiological contexts.</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Ensuring transparency</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Health Committees receive quarterly plain-language AI governance reports explaining what tools are active, what they do, and how to contest outputs. AI models documented in the REACH 360° Crosswalk. No black boxes within BRIDGE 360° LASTMILE CARE.</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Fostering responsibility and accountability</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TRIAD AI Test assigns accountability to all three governing authorities for every AI tool. No AI alert triggers a programme decision without human review. Community contestation of AI outputs is a formal governance right under the TRIAD Governance Protocol.</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Ensuring inclusiveness and equity</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Every AI model validated separately for performance in hard-to-reach versus accessible communities. Performance degradation in marginalised communities triggers model withdrawal and retraining. The Equity Accountability Standard applies to AI tool performance as fully as to programme delivery performance.</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Responsiveness and sustainability</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AI tools built within government platforms and designed for government ownership. No AI capability in iREACHE LASTMILE proprietary systems. Government must operate, monitor, and retrain every AI tool without iREACHE LASTMILE by 2031.</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4.4  International Organisation Evidence Base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400"/>
        <w:gridCol w:w="1760"/>
      </w:tblGrid>
      <w:tr>
        <w:trPr>
          <w:tblHeader/>
        </w:trPr>
        <w:tc>
          <w:tcPr>
            <w:tcW w:type="dxa" w:w="1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Organisation</w:t>
            </w:r>
          </w:p>
        </w:tc>
        <w:tc>
          <w:tcPr>
            <w:tcW w:type="dxa" w:w="3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Primary Evidence Contribution</w:t>
            </w:r>
          </w:p>
        </w:tc>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REACH 360° Application</w:t>
            </w:r>
          </w:p>
        </w:tc>
        <w:tc>
          <w:tcPr>
            <w:tcW w:type="dxa" w:w="17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Dimension</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Living Goods</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2013 Uganda RCT: 27% under-5 mortality reduction at ~$68/DALY attributable to structured supervision — not training, equipment, or compensation alone. Blended fixed stipend plus PBI proven as optimal compensation architecture.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Connected Health Workforce: four-tier supervision; PBI architecture; seven-step supervisory visit protocol; positive reinforcement as primary performance driver</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predictive attrition extends Living Goods data-driven approach from retrospective to predictive</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VillageReach</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Optimize-Integrate-Sustain supply chain model reducing stockouts 40–60%. Government co-financing approach proven in Liberia 2024 CHW kitting national rollout. Drive Sustained Impact principle through strategic partnerships.</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LSCCS: Optimize-Integrate-Sustain sequencing; eLMIS integration; demand-driven quantification. Strategic Partnerships pillar: Pillar 7 directly inspired by VillageReach sustained impact principle.</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demand forecasting extends VillageReach consumption-data principle to predictive AI modelling</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Last Mile Health</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workforce integration model from Liberia. 2024 Sierra Leone sixteen-district geospatial CHW mapping. Digital tools as government assets — not NGO assets — as a non-negotiable design principle.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Connected Health Workforce government co-leadership architecture; career pathway absorption design; geospatial data for LSCCS route optimisation</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Geospatial data foundation for IDHS route optimisation and accessibility mapping</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Muso Health</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Proactive care model proving that removing barriers rather than reducing barriers produces dramatically better equity outcomes. Radical transparency with communities on programme performance data.</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universal proactive monthly household coverage; communities as epidemiological actors; data transparency standard for community governance</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AI visit risk stratification extends Muso's proactive logic from universal to intelligently targeted</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Integrate Health</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DHMTs as primary client — not implementation partner. Accompaniment approach building government decision-making capacity rather than substituting for it.</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TACGS government co-leadership standard; District Coordinators embedded in DHMT facilities; DHMTs as programme governors not consultees</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tools configured for independent DHMT operation — no iREACHE intermediation required</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Community Impact Coalition</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health leadership standards: communities must have genuine decision-making authority over health resources — not advisory roles or consultation rights.</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TACGS Community Health Committees with formal decision-making authority; mandatory representation standards including women, youth, disability, and lowest-income households</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community feedback classification contestable by CHCs through formal TRIAD Governance Protocol mechanism</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Lwala Community Alliance</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ownership of health data drives domestic financing advocacy more effectively than administrative advocacy. Financial management systems before major funding prevents collapse.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SHFS community ownership driving domestic advocacy; Chieftaincy Track model; financial management infrastructure established before major funding</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domestic financing simulation makes advocacy evidence available to communities for their own use — not only for iREACHE LASTMILE's donor reports</w:t>
            </w:r>
          </w:p>
        </w:tc>
      </w:tr>
    </w:tbl>
    <w:p>
      <w:r>
        <w:br w:type="page"/>
      </w:r>
    </w:p>
    <w:p>
      <w:r>
        <w:br w:type="page"/>
      </w:r>
    </w:p>
    <w:p>
      <w:pPr>
        <w:spacing w:after="80" w:before="1200"/>
        <w:jc w:val="left"/>
      </w:pPr>
      <w:r>
        <w:rPr>
          <w:rFonts w:ascii="Georgia" w:cs="Georgia" w:eastAsia="Georgia" w:hAnsi="Georgia"/>
          <w:b/>
          <w:bCs/>
          <w:color w:val="2D6A4F"/>
          <w:sz w:val="48"/>
          <w:szCs w:val="48"/>
        </w:rPr>
        <w:t xml:space="preserve">PART II</w:t>
      </w:r>
    </w:p>
    <w:p>
      <w:pPr>
        <w:pBdr>
          <w:bottom w:val="single" w:color="B55334" w:sz="12"/>
        </w:pBdr>
        <w:spacing w:after="80" w:before="0"/>
        <w:jc w:val="left"/>
      </w:pPr>
      <w:r>
        <w:rPr>
          <w:rFonts w:ascii="Georgia" w:cs="Georgia" w:eastAsia="Georgia" w:hAnsi="Georgia"/>
          <w:b/>
          <w:bCs/>
          <w:color w:val="1A4731"/>
          <w:sz w:val="52"/>
          <w:szCs w:val="52"/>
        </w:rPr>
        <w:t xml:space="preserve">WHO WE ARE</w:t>
      </w:r>
    </w:p>
    <w:p>
      <w:pPr>
        <w:spacing w:after="0" w:before="60"/>
      </w:pPr>
      <w:r>
        <w:rPr>
          <w:rFonts w:ascii="Georgia" w:cs="Georgia" w:eastAsia="Georgia" w:hAnsi="Georgia"/>
          <w:i/>
          <w:iCs/>
          <w:color w:val="5C5C5C"/>
          <w:sz w:val="22"/>
          <w:szCs w:val="22"/>
        </w:rPr>
        <w:t xml:space="preserve">iREACHE LASTMILE — organisational identity, BRIDGE 360° LASTMILE CARE, and the ProcCHW cadre</w:t>
      </w:r>
    </w:p>
    <w:p>
      <w:r>
        <w:br w:type="page"/>
      </w:r>
    </w:p>
    <w:p>
      <w:pPr>
        <w:pStyle w:val="Heading1"/>
        <w:shd w:fill="B55334" w:val="clear"/>
        <w:spacing w:after="0" w:before="400"/>
      </w:pPr>
      <w:r>
        <w:rPr>
          <w:rFonts w:ascii="Georgia" w:cs="Georgia" w:eastAsia="Georgia" w:hAnsi="Georgia"/>
          <w:b/>
          <w:bCs/>
          <w:color w:val="FAF0ED"/>
          <w:sz w:val="18"/>
          <w:szCs w:val="18"/>
        </w:rPr>
        <w:t xml:space="preserve">5  </w:t>
      </w:r>
      <w:r>
        <w:rPr>
          <w:rFonts w:ascii="Georgia" w:cs="Georgia" w:eastAsia="Georgia" w:hAnsi="Georgia"/>
          <w:b/>
          <w:bCs/>
          <w:color w:val="FFFFFF"/>
          <w:sz w:val="34"/>
          <w:szCs w:val="34"/>
        </w:rPr>
        <w:t xml:space="preserve">iREACHE LASTMILE — ORGANISATIONAL IDENTITY</w:t>
      </w:r>
    </w:p>
    <w:p>
      <w:pPr>
        <w:pBdr>
          <w:bottom w:val="single" w:color="1A4731" w:sz="8"/>
        </w:pBdr>
        <w:spacing w:after="200" w:before="0"/>
      </w:pPr>
      <w:r>
        <w:rPr>
          <w:sz w:val="2"/>
          <w:szCs w:val="2"/>
        </w:rPr>
        <w:t xml:space="preserve"/>
      </w:r>
    </w:p>
    <w:p>
      <w:pPr>
        <w:pBdr>
          <w:left w:val="thick" w:color="B55334" w:sz="18"/>
        </w:pBdr>
        <w:spacing w:after="200" w:before="200"/>
        <w:ind w:left="560" w:right="560"/>
        <w:jc w:val="both"/>
      </w:pPr>
      <w:r>
        <w:rPr>
          <w:rFonts w:ascii="Georgia" w:cs="Georgia" w:eastAsia="Georgia" w:hAnsi="Georgia"/>
          <w:b/>
          <w:bCs/>
          <w:i/>
          <w:iCs/>
          <w:color w:val="1A4731"/>
          <w:sz w:val="24"/>
          <w:szCs w:val="24"/>
        </w:rPr>
        <w:t xml:space="preserve">"We are not the Sierra Leonean version of a global model. We are the first nationally-rooted community health systems institution Sierra Leone has produced — designed, from its founding moment, to build a community health system that belongs permanently to this country and to the people who live here."</w:t>
      </w:r>
    </w:p>
    <w:p>
      <w:pPr>
        <w:pStyle w:val="Heading2"/>
        <w:pBdr>
          <w:bottom w:val="single" w:color="FAF0ED" w:sz="4"/>
        </w:pBdr>
        <w:spacing w:after="100" w:before="280"/>
      </w:pPr>
      <w:r>
        <w:rPr>
          <w:rFonts w:ascii="Georgia" w:cs="Georgia" w:eastAsia="Georgia" w:hAnsi="Georgia"/>
          <w:b/>
          <w:bCs/>
          <w:color w:val="B55334"/>
          <w:sz w:val="28"/>
          <w:szCs w:val="28"/>
        </w:rPr>
        <w:t xml:space="preserve">5.1  Vision, Mission, and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val="false"/>
        </w:trPr>
        <w:tc>
          <w:tcPr>
            <w:tcW w:type="dxa" w:w="1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VISION</w:t>
            </w:r>
          </w:p>
        </w:tc>
        <w:tc>
          <w:tcPr>
            <w:tcW w:type="dxa" w:w="7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2"/>
                <w:szCs w:val="22"/>
              </w:rPr>
              <w:t xml:space="preserve">A Sierra Leone where every person — in every community, regardless of geography, poverty, gender, or social circumstance — has equitable access to quality community health care delivered by a professional, compensated, and connected workforce, integrated within a government-owned, domestically financed, and intelligently supported health system.</w:t>
            </w:r>
          </w:p>
        </w:tc>
      </w:tr>
      <w:tr>
        <w:trPr>
          <w:tblHeader w:val="false"/>
        </w:trPr>
        <w:tc>
          <w:tcPr>
            <w:tcW w:type="dxa" w:w="1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MISSION</w:t>
            </w:r>
          </w:p>
        </w:tc>
        <w:tc>
          <w:tcPr>
            <w:tcW w:type="dxa" w:w="796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2"/>
                <w:szCs w:val="22"/>
              </w:rPr>
              <w:t xml:space="preserve">To strengthen Sierra Leone's community health systems by deploying, training, equipping, supervising, compensating, and institutionalising a national workforce of Professional Connected Community Health Workers — governed by communities, integrated into government systems, supported by Intelligent Digital Health Systems, and sustained through domestic financing — through the REACH 360° Community Health Systems Strengthening Framework.</w:t>
            </w:r>
          </w:p>
        </w:tc>
      </w:tr>
      <w:tr>
        <w:trPr>
          <w:tblHeader w:val="false"/>
        </w:trPr>
        <w:tc>
          <w:tcPr>
            <w:tcW w:type="dxa" w:w="1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TAGLINE</w:t>
            </w:r>
          </w:p>
        </w:tc>
        <w:tc>
          <w:tcPr>
            <w:tcW w:type="dxa" w:w="7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iCs/>
                <w:color w:val="B55334"/>
                <w:sz w:val="24"/>
                <w:szCs w:val="24"/>
              </w:rPr>
              <w:t xml:space="preserve">"Empowerment means doing WITH, not doing FOR."</w:t>
            </w:r>
          </w:p>
        </w:tc>
      </w:tr>
    </w:tbl>
    <w:p>
      <w:pPr>
        <w:spacing w:after="0" w:before="0"/>
      </w:pPr>
      <w:r>
        <w:rPr>
          <w:rFonts w:ascii="Georgia" w:cs="Georgia" w:eastAsia="Georgia" w:hAnsi="Georgia"/>
          <w:sz w:val="10"/>
          <w:szCs w:val="10"/>
        </w:rPr>
        <w:t xml:space="preserve"/>
      </w:r>
    </w:p>
    <w:p>
      <w:pPr>
        <w:pStyle w:val="Heading2"/>
        <w:pBdr>
          <w:bottom w:val="single" w:color="FAF0ED" w:sz="4"/>
        </w:pBdr>
        <w:spacing w:after="100" w:before="280"/>
      </w:pPr>
      <w:r>
        <w:rPr>
          <w:rFonts w:ascii="Georgia" w:cs="Georgia" w:eastAsia="Georgia" w:hAnsi="Georgia"/>
          <w:b/>
          <w:bCs/>
          <w:color w:val="B55334"/>
          <w:sz w:val="28"/>
          <w:szCs w:val="28"/>
        </w:rPr>
        <w:t xml:space="preserve">5.2  Organisational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Value</w:t>
            </w:r>
          </w:p>
        </w:tc>
        <w:tc>
          <w:tcPr>
            <w:tcW w:type="dxa" w:w="75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What It Means in Practice at iREACHE LASTMILE</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EQUITY</w:t>
            </w:r>
          </w:p>
        </w:tc>
        <w:tc>
          <w:tcPr>
            <w:tcW w:type="dxa" w:w="7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Equity is the spine of the REACH 360° Framework — not a cross-cutting theme or a compliance requirement. Every resource allocation, system design, AI tool deployment, and advocacy effort is directed first toward the communities most excluded from health outcomes. The communities with the highest burden receive the most intensive support. We measure success by narrowing the gap between the best-served and worst-served communities — not by improving programme averages while inequalities widen.</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EXCELLENCE</w:t>
            </w:r>
          </w:p>
        </w:tc>
        <w:tc>
          <w:tcPr>
            <w:tcW w:type="dxa" w:w="7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 apply the highest technical and operational standards — modelled on Living Goods' supervision rigour, VillageReach's supply chain discipline, Muso's proactive care commitment, and WHO's Responsible AI Ethics principles. We do not deploy tools, protocols, or systems that have not been validated in Sierra Leone's specific context. We publish our methods and our results — including our failures — so that excellence is verifiable rather than claimed.</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ACCOUNTABILITY</w:t>
            </w:r>
          </w:p>
        </w:tc>
        <w:tc>
          <w:tcPr>
            <w:tcW w:type="dxa" w:w="7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 are accountable first to communities, then to government, then to donors — in that order. Community Health Committees govern programme decisions. DHMTs co-lead all supervision. Toll-free accountability hotlines give every community member a direct line to programme leadership. Annual Open House meetings make programme results publicly available and publicly contestable. We do not manage accountability. We build it into programme architecture.</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CO-OWNERSHIP</w:t>
            </w:r>
          </w:p>
        </w:tc>
        <w:tc>
          <w:tcPr>
            <w:tcW w:type="dxa" w:w="7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'Doing WITH, not doing FOR' is a programme design specification, not a communications aspiration. Communities select their ProcCHWs. Traditional Authority Health Governance Councils hold formal programme accountability. Community Health Committees make real governance decisions with real consequences. Co-ownership is the mechanism through which BRIDGE 360° LASTMILE CARE outlasts iREACHE LASTMILE's direct involvement. It is what transforms a programme into a system.</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GOVERNMENT PRIMACY</w:t>
            </w:r>
          </w:p>
        </w:tc>
        <w:tc>
          <w:tcPr>
            <w:tcW w:type="dxa" w:w="7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Every system iREACHE LASTMILE builds is designed from its first day to be owned, financed, and operated by the Government of Sierra Leone. We build no parallel infrastructure. We create no data systems that the government cannot access independently. We design no digital health tools that require iREACHE LASTMILE's technical team to interpret. We measure our success by how little Sierra Leone needs iREACHE LASTMILE at the end of the programme — not by how much.</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EVIDENCE</w:t>
            </w:r>
          </w:p>
        </w:tc>
        <w:tc>
          <w:tcPr>
            <w:tcW w:type="dxa" w:w="7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Every programme decision is grounded in data. The REACH 360° Crosswalk documents the evidence base for every framework element with the precision of a scientific citation — naming the specific international inspiration, the specific Sierra Leone evidence source, and the specific original contribution. We treat our implementation experience as research data and publish it through peer-reviewed journals, open-access Learning Briefs, and the annual REACH 360° Crosswalk update.</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HUMAN PRIMACY IN IDHS</w:t>
            </w:r>
          </w:p>
        </w:tc>
        <w:tc>
          <w:tcPr>
            <w:tcW w:type="dxa" w:w="7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Intelligent Digital Health Systems Integration in the REACH 360° Framework assists human care — it does not replace it. The ProcCHW's judgment, the community's trust, the traditional authority's endorsement, and the government's clinical protocol are always the primary governing layer. AI tools are precision instruments in the ProcCHW's hand. The TRIAD AI Test — requiring traditional authority intelligibility, government ownership, and community contestability for every AI tool — is a non-negotiable design standard.</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DIGNITY</w:t>
            </w:r>
          </w:p>
        </w:tc>
        <w:tc>
          <w:tcPr>
            <w:tcW w:type="dxa" w:w="7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Communities are rights-holders and governing partners — not beneficiaries in the passive sense. We approach every community engagement with cultural humility and the recognition that Sierra Leonean communities understand their health needs and governance structures with a depth and specificity that no external organisation can fully access. We listen before we design. We ask before we assume. We co-create rather than implement.</w:t>
            </w:r>
          </w:p>
        </w:tc>
      </w:tr>
    </w:tbl>
    <w:p>
      <w:pPr>
        <w:spacing w:after="0" w:before="0"/>
      </w:pPr>
      <w:r>
        <w:rPr>
          <w:rFonts w:ascii="Georgia" w:cs="Georgia" w:eastAsia="Georgia" w:hAnsi="Georgia"/>
          <w:sz w:val="10"/>
          <w:szCs w:val="10"/>
        </w:rPr>
        <w:t xml:space="preserve"/>
      </w:r>
    </w:p>
    <w:p>
      <w:pPr>
        <w:pStyle w:val="Heading2"/>
        <w:pBdr>
          <w:bottom w:val="single" w:color="FAF0ED" w:sz="4"/>
        </w:pBdr>
        <w:spacing w:after="100" w:before="280"/>
      </w:pPr>
      <w:r>
        <w:rPr>
          <w:rFonts w:ascii="Georgia" w:cs="Georgia" w:eastAsia="Georgia" w:hAnsi="Georgia"/>
          <w:b/>
          <w:bCs/>
          <w:color w:val="B55334"/>
          <w:sz w:val="28"/>
          <w:szCs w:val="28"/>
        </w:rPr>
        <w:t xml:space="preserve">5.3  Organisational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Fact</w:t>
            </w:r>
          </w:p>
        </w:tc>
        <w:tc>
          <w:tcPr>
            <w:tcW w:type="dxa" w:w="65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Detail</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Legal Form</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Non-governmental, nonprofit, non-partisan organisation registered under the laws of the Republic of Sierra Leone. SLANGO member. MoSWSA registered. Governed by an independent Board of Trustees.</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Headquarters</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Kenema, Eastern Province, Sierra Leone — Freetown Policy and Partnership Liaison Office</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Care Model</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BRIDGE 360° LASTMILE CARE — Building Resilient Integrated Delivery Gateways for Every community</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Frontline Workforce</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Professional Connected Community Health Workers (ProcCHWs) — 6,800 across all 16 districts of Sierra Leone by 2031</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Technical Framework</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REACH 360° Community Health Systems Strengthening Framework — seven pillars, WHO building blocks alignment, Sierra Leone-original contributions, IDHS integration across all pillars</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Digital Health</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Intelligent Digital Health Systems Integration (IDHS) — embedded across all seven pillars within Sierra Leone's national government health information architecture</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Domestic Financing Target</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70–80% government domestic financing by 2031; full government ownership of programme systems before donor exit</w:t>
            </w:r>
          </w:p>
        </w:tc>
      </w:tr>
      <w:tr>
        <w:trPr>
          <w:tblHeader w:val="false"/>
        </w:trPr>
        <w:tc>
          <w:tcPr>
            <w:tcW w:type="dxa" w:w="2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Brand Identity</w:t>
            </w:r>
          </w:p>
        </w:tc>
        <w:tc>
          <w:tcPr>
            <w:tcW w:type="dxa" w:w="6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Deep Forest Green #1A4731 — the colour of growth, community, and the forests of Eastern Province. Burnt Rust Orange #B55334 — the colour of warmth, urgency, and the earth of Sierra Leone. Georgia typeface.</w:t>
            </w:r>
          </w:p>
        </w:tc>
      </w:tr>
    </w:tbl>
    <w:p>
      <w:r>
        <w:br w:type="page"/>
      </w:r>
    </w:p>
    <w:p>
      <w:pPr>
        <w:pStyle w:val="Heading1"/>
        <w:shd w:fill="B55334" w:val="clear"/>
        <w:spacing w:after="0" w:before="400"/>
      </w:pPr>
      <w:r>
        <w:rPr>
          <w:rFonts w:ascii="Georgia" w:cs="Georgia" w:eastAsia="Georgia" w:hAnsi="Georgia"/>
          <w:b/>
          <w:bCs/>
          <w:color w:val="FAF0ED"/>
          <w:sz w:val="18"/>
          <w:szCs w:val="18"/>
        </w:rPr>
        <w:t xml:space="preserve">6  </w:t>
      </w:r>
      <w:r>
        <w:rPr>
          <w:rFonts w:ascii="Georgia" w:cs="Georgia" w:eastAsia="Georgia" w:hAnsi="Georgia"/>
          <w:b/>
          <w:bCs/>
          <w:color w:val="FFFFFF"/>
          <w:sz w:val="34"/>
          <w:szCs w:val="34"/>
        </w:rPr>
        <w:t xml:space="preserve">BRIDGE 360° LASTMILE CARE — OUR MODEL</w:t>
      </w:r>
    </w:p>
    <w:p>
      <w:pPr>
        <w:pBdr>
          <w:bottom w:val="single" w:color="1A4731"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B55334" w:sz="8"/>
              <w:left w:val="single" w:color="B55334" w:sz="8"/>
              <w:bottom w:val="single" w:color="B55334" w:sz="8"/>
              <w:right w:val="single" w:color="B55334" w:sz="8"/>
            </w:tcBorders>
            <w:shd w:fill="B55334" w:val="clear"/>
            <w:tcMar>
              <w:top w:type="dxa" w:w="220"/>
              <w:left w:type="dxa" w:w="300"/>
              <w:bottom w:type="dxa" w:w="220"/>
              <w:right w:type="dxa" w:w="300"/>
            </w:tcMar>
          </w:tcPr>
          <w:p>
            <w:pPr>
              <w:spacing w:after="30" w:before="0"/>
              <w:jc w:val="center"/>
            </w:pPr>
            <w:r>
              <w:rPr>
                <w:rFonts w:ascii="Georgia" w:cs="Georgia" w:eastAsia="Georgia" w:hAnsi="Georgia"/>
                <w:b/>
                <w:bCs/>
                <w:color w:val="FFFFFF"/>
                <w:sz w:val="68"/>
                <w:szCs w:val="68"/>
              </w:rPr>
              <w:t xml:space="preserve">BRIDGE 360° LASTMILE CARE</w:t>
            </w:r>
          </w:p>
          <w:p>
            <w:pPr>
              <w:spacing w:after="50" w:before="0"/>
              <w:jc w:val="center"/>
            </w:pPr>
            <w:r>
              <w:rPr>
                <w:rFonts w:ascii="Georgia" w:cs="Georgia" w:eastAsia="Georgia" w:hAnsi="Georgia"/>
                <w:i/>
                <w:iCs/>
                <w:color w:val="FAF0ED"/>
                <w:sz w:val="22"/>
                <w:szCs w:val="22"/>
              </w:rPr>
              <w:t xml:space="preserve">Building Resilient Integrated Delivery Gateways for Every community</w:t>
            </w:r>
          </w:p>
          <w:p>
            <w:pPr>
              <w:spacing w:after="0" w:before="0"/>
              <w:jc w:val="center"/>
            </w:pPr>
            <w:r>
              <w:rPr>
                <w:rFonts w:ascii="Georgia" w:cs="Georgia" w:eastAsia="Georgia" w:hAnsi="Georgia"/>
                <w:b/>
                <w:bCs/>
                <w:color w:val="FFFFFF"/>
                <w:sz w:val="22"/>
                <w:szCs w:val="22"/>
              </w:rPr>
              <w:t xml:space="preserve">Reaching every household. Connecting every system. Leaving no community behind.</w:t>
            </w:r>
          </w:p>
        </w:tc>
      </w:tr>
    </w:tbl>
    <w:p>
      <w:pPr>
        <w:spacing w:after="0" w:before="0"/>
      </w:pPr>
      <w:r>
        <w:rPr>
          <w:rFonts w:ascii="Georgia" w:cs="Georgia" w:eastAsia="Georgia" w:hAnsi="Georgia"/>
          <w:sz w:val="10"/>
          <w:szCs w:val="10"/>
        </w:rPr>
        <w:t xml:space="preserve"/>
      </w:r>
    </w:p>
    <w:p>
      <w:pPr>
        <w:pStyle w:val="Heading2"/>
        <w:pBdr>
          <w:bottom w:val="single" w:color="FAF0ED" w:sz="4"/>
        </w:pBdr>
        <w:spacing w:after="100" w:before="280"/>
      </w:pPr>
      <w:r>
        <w:rPr>
          <w:rFonts w:ascii="Georgia" w:cs="Georgia" w:eastAsia="Georgia" w:hAnsi="Georgia"/>
          <w:b/>
          <w:bCs/>
          <w:color w:val="B55334"/>
          <w:sz w:val="28"/>
          <w:szCs w:val="28"/>
        </w:rPr>
        <w:t xml:space="preserve">6.1  What BRIDGE 360° LASTMILE CARE Is</w:t>
      </w:r>
    </w:p>
    <w:p>
      <w:pPr>
        <w:spacing w:after="140" w:before="0"/>
        <w:jc w:val="both"/>
      </w:pPr>
      <w:r>
        <w:rPr>
          <w:rFonts w:ascii="Georgia" w:cs="Georgia" w:eastAsia="Georgia" w:hAnsi="Georgia"/>
          <w:b w:val="false"/>
          <w:bCs w:val="false"/>
          <w:i w:val="false"/>
          <w:iCs w:val="false"/>
          <w:color w:val="252525"/>
          <w:sz w:val="24"/>
          <w:szCs w:val="24"/>
        </w:rPr>
        <w:t xml:space="preserve">BRIDGE 360° LASTMILE CARE is iREACHE LASTMILE's model for delivering responsive, connected, and AI-supported community health care in Sierra Leone. It is the operational expression of the REACH 360° Community Health Systems Strengthening Framework — translating the Framework's theoretical architecture into the lived experience of a household in a remote chieftaincy of Kenema district receiving a visit from their ProcCHW on the third Tuesday of every month.</w:t>
      </w:r>
    </w:p>
    <w:p>
      <w:pPr>
        <w:spacing w:after="140" w:before="0"/>
        <w:jc w:val="both"/>
      </w:pPr>
      <w:r>
        <w:rPr>
          <w:rFonts w:ascii="Georgia" w:cs="Georgia" w:eastAsia="Georgia" w:hAnsi="Georgia"/>
          <w:b w:val="false"/>
          <w:bCs w:val="false"/>
          <w:i w:val="false"/>
          <w:iCs w:val="false"/>
          <w:color w:val="252525"/>
          <w:sz w:val="24"/>
          <w:szCs w:val="24"/>
        </w:rPr>
        <w:t xml:space="preserve">The name BRIDGE carries three simultaneous meanings. A bridge connects what cannot connect itself — and BRIDGE 360° LASTMILE CARE connects the three systems that have never governed community health together in Sierra Leone. A bridge is built to last, built for everyone, and built at the point where the crossing is most difficult — and BRIDGE 360° LASTMILE CARE is designed for permanence, universal coverage, and presence in the communities where health access is hardest. And BRIDGE is an acronym: Building Resilient Integrated Delivery Gateways for Every community — naming what the care model actually constructs: gateways through which every community member, regardless of distance or poverty, can access essential health care.</w:t>
      </w:r>
    </w:p>
    <w:p>
      <w:pPr>
        <w:spacing w:after="140" w:before="0"/>
        <w:jc w:val="both"/>
      </w:pPr>
      <w:r>
        <w:rPr>
          <w:rFonts w:ascii="Georgia" w:cs="Georgia" w:eastAsia="Georgia" w:hAnsi="Georgia"/>
          <w:b w:val="false"/>
          <w:bCs w:val="false"/>
          <w:i w:val="false"/>
          <w:iCs w:val="false"/>
          <w:color w:val="252525"/>
          <w:sz w:val="24"/>
          <w:szCs w:val="24"/>
        </w:rPr>
        <w:t xml:space="preserve">The five delivery mechanisms of BRIDGE 360° LASTMILE CARE are not sequential steps. They operate simultaneously and reinforce each other. A ProcCHW making a proactive doorstep visit is simultaneously activating community governance access through their chiefly endorsement, removing barriers through the services they provide at no cost, connecting the household to the government health system through the electronic referral system in their pocket, and building the care infrastructure that will still be operating in that community in 2035.</w:t>
      </w:r>
    </w:p>
    <w:p>
      <w:pPr>
        <w:pStyle w:val="Heading2"/>
        <w:pBdr>
          <w:bottom w:val="single" w:color="FAF0ED" w:sz="4"/>
        </w:pBdr>
        <w:spacing w:after="100" w:before="280"/>
      </w:pPr>
      <w:r>
        <w:rPr>
          <w:rFonts w:ascii="Georgia" w:cs="Georgia" w:eastAsia="Georgia" w:hAnsi="Georgia"/>
          <w:b/>
          <w:bCs/>
          <w:color w:val="B55334"/>
          <w:sz w:val="28"/>
          <w:szCs w:val="28"/>
        </w:rPr>
        <w:t xml:space="preserve">6.2  The Five Delivery Mechanisms</w:t>
      </w:r>
    </w:p>
    <w:p>
      <w:pPr>
        <w:spacing w:after="140" w:before="0"/>
        <w:jc w:val="both"/>
      </w:pPr>
      <w:r>
        <w:rPr>
          <w:rFonts w:ascii="Georgia" w:cs="Georgia" w:eastAsia="Georgia" w:hAnsi="Georgia"/>
          <w:b w:val="false"/>
          <w:bCs w:val="false"/>
          <w:i w:val="false"/>
          <w:iCs w:val="false"/>
          <w:color w:val="252525"/>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val="false"/>
        </w:trPr>
        <w:tc>
          <w:tcPr>
            <w:tcW w:type="dxa" w:w="640"/>
            <w:tcBorders>
              <w:top w:val="single" w:color="B55334" w:sz="8"/>
              <w:left w:val="single" w:color="B55334" w:sz="8"/>
              <w:bottom w:val="single" w:color="B55334" w:sz="8"/>
              <w:right w:val="single" w:color="B55334" w:sz="8"/>
            </w:tcBorders>
            <w:shd w:fill="B55334" w:val="clear"/>
            <w:tcMar>
              <w:top w:type="dxa" w:w="80"/>
              <w:left w:type="dxa" w:w="80"/>
              <w:bottom w:type="dxa" w:w="80"/>
              <w:right w:type="dxa" w:w="80"/>
            </w:tcMar>
            <w:vAlign w:val="center"/>
          </w:tcPr>
          <w:p>
            <w:pPr>
              <w:spacing w:after="0" w:before="0"/>
              <w:jc w:val="center"/>
            </w:pPr>
            <w:r>
              <w:rPr>
                <w:rFonts w:ascii="Georgia" w:cs="Georgia" w:eastAsia="Georgia" w:hAnsi="Georgia"/>
                <w:b/>
                <w:bCs/>
                <w:color w:val="FFFFFF"/>
                <w:sz w:val="36"/>
                <w:szCs w:val="36"/>
              </w:rPr>
              <w:t xml:space="preserve">⬡</w:t>
            </w:r>
          </w:p>
        </w:tc>
        <w:tc>
          <w:tcPr>
            <w:tcW w:type="dxa" w:w="8720"/>
            <w:tcBorders>
              <w:top w:val="single" w:color="B55334" w:sz="8"/>
              <w:left w:val="single" w:color="B55334" w:sz="8"/>
              <w:bottom w:val="single" w:color="B55334" w:sz="8"/>
              <w:right w:val="single" w:color="B55334" w:sz="8"/>
            </w:tcBorders>
            <w:shd w:fill="FAF0ED" w:val="clear"/>
            <w:tcMar>
              <w:top w:type="dxa" w:w="120"/>
              <w:left w:type="dxa" w:w="200"/>
              <w:bottom w:type="dxa" w:w="120"/>
              <w:right w:type="dxa" w:w="160"/>
            </w:tcMar>
            <w:vAlign w:val="top"/>
          </w:tcPr>
          <w:p>
            <w:pPr>
              <w:spacing w:after="50" w:before="0"/>
              <w:jc w:val="left"/>
            </w:pPr>
            <w:r>
              <w:rPr>
                <w:rFonts w:ascii="Georgia" w:cs="Georgia" w:eastAsia="Georgia" w:hAnsi="Georgia"/>
                <w:b/>
                <w:bCs/>
                <w:color w:val="B55334"/>
                <w:sz w:val="24"/>
                <w:szCs w:val="24"/>
              </w:rPr>
              <w:t xml:space="preserve">PROACTIVE DOORSTEP VISITS</w:t>
            </w:r>
          </w:p>
          <w:p>
            <w:pPr>
              <w:spacing w:after="50" w:before="0"/>
              <w:jc w:val="both"/>
            </w:pPr>
            <w:r>
              <w:rPr>
                <w:rFonts w:ascii="Georgia" w:cs="Georgia" w:eastAsia="Georgia" w:hAnsi="Georgia"/>
                <w:color w:val="252525"/>
                <w:sz w:val="21"/>
                <w:szCs w:val="21"/>
              </w:rPr>
              <w:t xml:space="preserve">ProcCHWs do not wait for sick people to find them. Every registered household in every programme community receives a monthly visit — whether or not anyone has reported illness. At each doorstep, ProcCHWs deliver an integrated seven-area service package covering maternal and newborn health, childhood disease diagnosis and treatment, immunisation follow-up, nutrition screening, sexual and reproductive health, disease surveillance, and climate and emergency health — in a single visit, at no cost to the household. The Agricultural Calendar Alignment Protocol formally adjusts visit scheduling around each district's farming calendar so that peak planting and harvesting seasons never become health access gaps.</w:t>
            </w:r>
          </w:p>
          <w:p>
            <w:pPr>
              <w:spacing w:after="80" w:before="0"/>
              <w:jc w:val="left"/>
            </w:pPr>
            <w:r>
              <w:rPr>
                <w:rFonts w:ascii="Georgia" w:cs="Georgia" w:eastAsia="Georgia" w:hAnsi="Georgia"/>
                <w:b/>
                <w:bCs/>
                <w:color w:val="2C4A6E"/>
                <w:sz w:val="19"/>
                <w:szCs w:val="19"/>
              </w:rPr>
              <w:t xml:space="preserve">◈  AI: Intelligent Digital Health Systems Integration: AI-assisted clinical decision support embedded in the government CHW digital platform analyses symptoms entered by the ProcCHW and provides real-time danger sign alerts and treatment guidance in Krio and local languages. AI also generates a risk-stratified monthly visit priority list so that the highest-risk households are reached first in every month's visit cycle. The ProcCHW's clinical judgment remains primary — AI alerts are suggestions, not prescriptions.</w:t>
            </w:r>
          </w:p>
        </w:tc>
      </w:tr>
    </w:tbl>
    <w:p>
      <w:pPr>
        <w:spacing w:after="0" w:before="0"/>
      </w:pPr>
      <w:r>
        <w:rPr>
          <w:rFonts w:ascii="Georgia" w:cs="Georgia" w:eastAsia="Georgia" w:hAnsi="Georgi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val="false"/>
        </w:trPr>
        <w:tc>
          <w:tcPr>
            <w:tcW w:type="dxa" w:w="640"/>
            <w:tcBorders>
              <w:top w:val="single" w:color="B55334" w:sz="8"/>
              <w:left w:val="single" w:color="B55334" w:sz="8"/>
              <w:bottom w:val="single" w:color="B55334" w:sz="8"/>
              <w:right w:val="single" w:color="B55334" w:sz="8"/>
            </w:tcBorders>
            <w:shd w:fill="B55334" w:val="clear"/>
            <w:tcMar>
              <w:top w:type="dxa" w:w="80"/>
              <w:left w:type="dxa" w:w="80"/>
              <w:bottom w:type="dxa" w:w="80"/>
              <w:right w:type="dxa" w:w="80"/>
            </w:tcMar>
            <w:vAlign w:val="center"/>
          </w:tcPr>
          <w:p>
            <w:pPr>
              <w:spacing w:after="0" w:before="0"/>
              <w:jc w:val="center"/>
            </w:pPr>
            <w:r>
              <w:rPr>
                <w:rFonts w:ascii="Georgia" w:cs="Georgia" w:eastAsia="Georgia" w:hAnsi="Georgia"/>
                <w:b/>
                <w:bCs/>
                <w:color w:val="FFFFFF"/>
                <w:sz w:val="36"/>
                <w:szCs w:val="36"/>
              </w:rPr>
              <w:t xml:space="preserve">⬡</w:t>
            </w:r>
          </w:p>
        </w:tc>
        <w:tc>
          <w:tcPr>
            <w:tcW w:type="dxa" w:w="8720"/>
            <w:tcBorders>
              <w:top w:val="single" w:color="B55334" w:sz="8"/>
              <w:left w:val="single" w:color="B55334" w:sz="8"/>
              <w:bottom w:val="single" w:color="B55334" w:sz="8"/>
              <w:right w:val="single" w:color="B55334" w:sz="8"/>
            </w:tcBorders>
            <w:shd w:fill="FAF0ED" w:val="clear"/>
            <w:tcMar>
              <w:top w:type="dxa" w:w="120"/>
              <w:left w:type="dxa" w:w="200"/>
              <w:bottom w:type="dxa" w:w="120"/>
              <w:right w:type="dxa" w:w="160"/>
            </w:tcMar>
            <w:vAlign w:val="top"/>
          </w:tcPr>
          <w:p>
            <w:pPr>
              <w:spacing w:after="50" w:before="0"/>
              <w:jc w:val="left"/>
            </w:pPr>
            <w:r>
              <w:rPr>
                <w:rFonts w:ascii="Georgia" w:cs="Georgia" w:eastAsia="Georgia" w:hAnsi="Georgia"/>
                <w:b/>
                <w:bCs/>
                <w:color w:val="B55334"/>
                <w:sz w:val="24"/>
                <w:szCs w:val="24"/>
              </w:rPr>
              <w:t xml:space="preserve">COMMUNITY GOVERNANCE ACCESS</w:t>
            </w:r>
          </w:p>
          <w:p>
            <w:pPr>
              <w:spacing w:after="50" w:before="0"/>
              <w:jc w:val="both"/>
            </w:pPr>
            <w:r>
              <w:rPr>
                <w:rFonts w:ascii="Georgia" w:cs="Georgia" w:eastAsia="Georgia" w:hAnsi="Georgia"/>
                <w:color w:val="252525"/>
                <w:sz w:val="21"/>
                <w:szCs w:val="21"/>
              </w:rPr>
              <w:t xml:space="preserve">Every BRIDGE 360° LASTMILE CARE ProcCHW is formally nominated by their Paramount or Section Chief with mandatory co-endorsement by the community's women's group. This Traditional Authority Access Endorsement changes the social permission structure for household access fundamentally — in communities where cultural norms would otherwise restrict female ProcCHW entry, chiefly endorsement transforms ProcCHW visits from an external programme's activity into a community governance expectation. Traditional Authority Health Governance Councils meet quarterly with mandatory minimum 50% female membership and hold formal decision-making authority over programme priorities and accountability. Community Health Committees hold formal governance power — not advisory rights — over ProcCHW selection, service prioritisation, and resource allocation. BRIDGE 360° LASTMILE CARE does not give communities a voice in health governance. It gives them governing power.</w:t>
            </w:r>
          </w:p>
          <w:p>
            <w:pPr>
              <w:spacing w:after="80" w:before="0"/>
              <w:jc w:val="left"/>
            </w:pPr>
            <w:r>
              <w:rPr>
                <w:rFonts w:ascii="Georgia" w:cs="Georgia" w:eastAsia="Georgia" w:hAnsi="Georgia"/>
                <w:b/>
                <w:bCs/>
                <w:color w:val="2C4A6E"/>
                <w:sz w:val="19"/>
                <w:szCs w:val="19"/>
              </w:rPr>
              <w:t xml:space="preserve">◈  AI: Intelligent Digital Health Systems Integration: AI community feedback sentiment analysis processes toll-free hotline contacts and community scorecard data to identify patterns in community experience that manual review cannot efficiently surface at scale across all programme districts. All AI classifications are visible to Community Health Committees and formally contestable through the TRIAD Governance Protocol.</w:t>
            </w:r>
          </w:p>
        </w:tc>
      </w:tr>
    </w:tbl>
    <w:p>
      <w:pPr>
        <w:spacing w:after="0" w:before="0"/>
      </w:pPr>
      <w:r>
        <w:rPr>
          <w:rFonts w:ascii="Georgia" w:cs="Georgia" w:eastAsia="Georgia" w:hAnsi="Georgi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val="false"/>
        </w:trPr>
        <w:tc>
          <w:tcPr>
            <w:tcW w:type="dxa" w:w="640"/>
            <w:tcBorders>
              <w:top w:val="single" w:color="B55334" w:sz="8"/>
              <w:left w:val="single" w:color="B55334" w:sz="8"/>
              <w:bottom w:val="single" w:color="B55334" w:sz="8"/>
              <w:right w:val="single" w:color="B55334" w:sz="8"/>
            </w:tcBorders>
            <w:shd w:fill="B55334" w:val="clear"/>
            <w:tcMar>
              <w:top w:type="dxa" w:w="80"/>
              <w:left w:type="dxa" w:w="80"/>
              <w:bottom w:type="dxa" w:w="80"/>
              <w:right w:type="dxa" w:w="80"/>
            </w:tcMar>
            <w:vAlign w:val="center"/>
          </w:tcPr>
          <w:p>
            <w:pPr>
              <w:spacing w:after="0" w:before="0"/>
              <w:jc w:val="center"/>
            </w:pPr>
            <w:r>
              <w:rPr>
                <w:rFonts w:ascii="Georgia" w:cs="Georgia" w:eastAsia="Georgia" w:hAnsi="Georgia"/>
                <w:b/>
                <w:bCs/>
                <w:color w:val="FFFFFF"/>
                <w:sz w:val="36"/>
                <w:szCs w:val="36"/>
              </w:rPr>
              <w:t xml:space="preserve">⬡</w:t>
            </w:r>
          </w:p>
        </w:tc>
        <w:tc>
          <w:tcPr>
            <w:tcW w:type="dxa" w:w="8720"/>
            <w:tcBorders>
              <w:top w:val="single" w:color="B55334" w:sz="8"/>
              <w:left w:val="single" w:color="B55334" w:sz="8"/>
              <w:bottom w:val="single" w:color="B55334" w:sz="8"/>
              <w:right w:val="single" w:color="B55334" w:sz="8"/>
            </w:tcBorders>
            <w:shd w:fill="FAF0ED" w:val="clear"/>
            <w:tcMar>
              <w:top w:type="dxa" w:w="120"/>
              <w:left w:type="dxa" w:w="200"/>
              <w:bottom w:type="dxa" w:w="120"/>
              <w:right w:type="dxa" w:w="160"/>
            </w:tcMar>
            <w:vAlign w:val="top"/>
          </w:tcPr>
          <w:p>
            <w:pPr>
              <w:spacing w:after="50" w:before="0"/>
              <w:jc w:val="left"/>
            </w:pPr>
            <w:r>
              <w:rPr>
                <w:rFonts w:ascii="Georgia" w:cs="Georgia" w:eastAsia="Georgia" w:hAnsi="Georgia"/>
                <w:b/>
                <w:bCs/>
                <w:color w:val="B55334"/>
                <w:sz w:val="24"/>
                <w:szCs w:val="24"/>
              </w:rPr>
              <w:t xml:space="preserve">CARE WITHOUT BARRIERS</w:t>
            </w:r>
          </w:p>
          <w:p>
            <w:pPr>
              <w:spacing w:after="50" w:before="0"/>
              <w:jc w:val="both"/>
            </w:pPr>
            <w:r>
              <w:rPr>
                <w:rFonts w:ascii="Georgia" w:cs="Georgia" w:eastAsia="Georgia" w:hAnsi="Georgia"/>
                <w:color w:val="252525"/>
                <w:sz w:val="21"/>
                <w:szCs w:val="21"/>
              </w:rPr>
              <w:t xml:space="preserve">BRIDGE 360° LASTMILE CARE removes four barrier categories that have historically excluded Sierra Leone's most marginalised communities from the care they need and are entitled to. The financial barrier is removed through full alignment with Sierra Leone's Free Healthcare Initiative — all ProcCHW services at no cost within the FHC mandate. The transport barrier is removed through the Community Transport Linkage Fund, administered by Community Health Committees and accessible to any household unable to cover PHU transport costs. The geographic barrier is removed through the Rainy Season Routing Protocol, which pre-positions essential medicines in road-inaccessible communities before road closure each year, and through a district motorbike logistics network that maintains commodity flows when vehicles cannot reach communities. The social and gender barrier is removed through Traditional Authority Access Endorsement and a minimum 60% female ProcCHW workforce in every district.</w:t>
            </w:r>
          </w:p>
          <w:p>
            <w:pPr>
              <w:spacing w:after="80" w:before="0"/>
              <w:jc w:val="left"/>
            </w:pPr>
            <w:r>
              <w:rPr>
                <w:rFonts w:ascii="Georgia" w:cs="Georgia" w:eastAsia="Georgia" w:hAnsi="Georgia"/>
                <w:b/>
                <w:bCs/>
                <w:color w:val="2C4A6E"/>
                <w:sz w:val="19"/>
                <w:szCs w:val="19"/>
              </w:rPr>
              <w:t xml:space="preserve">◈  AI: Intelligent Digital Health Systems Integration: AI demand forecasting predicts which communities face stockout risk before it materialises — ensuring that the medicines needed to deliver barrier-free care are pre-positioned before the barrier becomes a gap. AI referral prioritisation identifies which referrals are highest-risk for non-completion due to transport barriers, directing Community Transport Linkage Fund resources to the patients most likely to fall through without them.</w:t>
            </w:r>
          </w:p>
        </w:tc>
      </w:tr>
    </w:tbl>
    <w:p>
      <w:pPr>
        <w:spacing w:after="0" w:before="0"/>
      </w:pPr>
      <w:r>
        <w:rPr>
          <w:rFonts w:ascii="Georgia" w:cs="Georgia" w:eastAsia="Georgia" w:hAnsi="Georgi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val="false"/>
        </w:trPr>
        <w:tc>
          <w:tcPr>
            <w:tcW w:type="dxa" w:w="640"/>
            <w:tcBorders>
              <w:top w:val="single" w:color="B55334" w:sz="8"/>
              <w:left w:val="single" w:color="B55334" w:sz="8"/>
              <w:bottom w:val="single" w:color="B55334" w:sz="8"/>
              <w:right w:val="single" w:color="B55334" w:sz="8"/>
            </w:tcBorders>
            <w:shd w:fill="B55334" w:val="clear"/>
            <w:tcMar>
              <w:top w:type="dxa" w:w="80"/>
              <w:left w:type="dxa" w:w="80"/>
              <w:bottom w:type="dxa" w:w="80"/>
              <w:right w:type="dxa" w:w="80"/>
            </w:tcMar>
            <w:vAlign w:val="center"/>
          </w:tcPr>
          <w:p>
            <w:pPr>
              <w:spacing w:after="0" w:before="0"/>
              <w:jc w:val="center"/>
            </w:pPr>
            <w:r>
              <w:rPr>
                <w:rFonts w:ascii="Georgia" w:cs="Georgia" w:eastAsia="Georgia" w:hAnsi="Georgia"/>
                <w:b/>
                <w:bCs/>
                <w:color w:val="FFFFFF"/>
                <w:sz w:val="36"/>
                <w:szCs w:val="36"/>
              </w:rPr>
              <w:t xml:space="preserve">⬡</w:t>
            </w:r>
          </w:p>
        </w:tc>
        <w:tc>
          <w:tcPr>
            <w:tcW w:type="dxa" w:w="8720"/>
            <w:tcBorders>
              <w:top w:val="single" w:color="B55334" w:sz="8"/>
              <w:left w:val="single" w:color="B55334" w:sz="8"/>
              <w:bottom w:val="single" w:color="B55334" w:sz="8"/>
              <w:right w:val="single" w:color="B55334" w:sz="8"/>
            </w:tcBorders>
            <w:shd w:fill="FAF0ED" w:val="clear"/>
            <w:tcMar>
              <w:top w:type="dxa" w:w="120"/>
              <w:left w:type="dxa" w:w="200"/>
              <w:bottom w:type="dxa" w:w="120"/>
              <w:right w:type="dxa" w:w="160"/>
            </w:tcMar>
            <w:vAlign w:val="top"/>
          </w:tcPr>
          <w:p>
            <w:pPr>
              <w:spacing w:after="50" w:before="0"/>
              <w:jc w:val="left"/>
            </w:pPr>
            <w:r>
              <w:rPr>
                <w:rFonts w:ascii="Georgia" w:cs="Georgia" w:eastAsia="Georgia" w:hAnsi="Georgia"/>
                <w:b/>
                <w:bCs/>
                <w:color w:val="B55334"/>
                <w:sz w:val="24"/>
                <w:szCs w:val="24"/>
              </w:rPr>
              <w:t xml:space="preserve">CONNECTED GOVERNMENT REFERRAL</w:t>
            </w:r>
          </w:p>
          <w:p>
            <w:pPr>
              <w:spacing w:after="50" w:before="0"/>
              <w:jc w:val="both"/>
            </w:pPr>
            <w:r>
              <w:rPr>
                <w:rFonts w:ascii="Georgia" w:cs="Georgia" w:eastAsia="Georgia" w:hAnsi="Georgia"/>
                <w:color w:val="252525"/>
                <w:sz w:val="21"/>
                <w:szCs w:val="21"/>
              </w:rPr>
              <w:t xml:space="preserve">When a ProcCHW identifies a patient requiring care beyond their scope — an obstetric danger sign, a child with severe acute malnutrition, an infant with severe respiratory distress — BRIDGE 360° LASTMILE CARE's closed-loop electronic referral system connects that patient to a government Peripheral Health Unit immediately. The PHU receives notification before the patient arrives. Arrival is confirmed by facility staff. The clinical outcome is recorded within fourteen days. If the patient does not arrive within the expected window, the ProcCHW receives an automated alert to follow up and facilitate transport. Every referral connects to Sierra Leone's government health system — not to iREACHE LASTMILE facilities, not to private services. All data flows automatically into Sierra Leone's national DHIS2 in real time. The government sees every household visit, every case treated, every referral made, every vaccine tracked, and every stockout reported. iREACHE LASTMILE holds no exclusive data.</w:t>
            </w:r>
          </w:p>
          <w:p>
            <w:pPr>
              <w:spacing w:after="80" w:before="0"/>
              <w:jc w:val="left"/>
            </w:pPr>
            <w:r>
              <w:rPr>
                <w:rFonts w:ascii="Georgia" w:cs="Georgia" w:eastAsia="Georgia" w:hAnsi="Georgia"/>
                <w:b/>
                <w:bCs/>
                <w:color w:val="2C4A6E"/>
                <w:sz w:val="19"/>
                <w:szCs w:val="19"/>
              </w:rPr>
              <w:t xml:space="preserve">◈  AI: Intelligent Digital Health Systems Integration: AI obstetric danger sign pattern recognition identifies when the combination of recorded clinical findings constitutes an emergency pattern requiring immediate referral — even when no single finding alone crosses a formal threshold. AI referral urgency scoring routes the most critical cases to the telehealth hotline for immediate clinical nurse review alongside the standard electronic referral pathway.</w:t>
            </w:r>
          </w:p>
        </w:tc>
      </w:tr>
    </w:tbl>
    <w:p>
      <w:pPr>
        <w:spacing w:after="0" w:before="0"/>
      </w:pPr>
      <w:r>
        <w:rPr>
          <w:rFonts w:ascii="Georgia" w:cs="Georgia" w:eastAsia="Georgia" w:hAnsi="Georgi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val="false"/>
        </w:trPr>
        <w:tc>
          <w:tcPr>
            <w:tcW w:type="dxa" w:w="640"/>
            <w:tcBorders>
              <w:top w:val="single" w:color="B55334" w:sz="8"/>
              <w:left w:val="single" w:color="B55334" w:sz="8"/>
              <w:bottom w:val="single" w:color="B55334" w:sz="8"/>
              <w:right w:val="single" w:color="B55334" w:sz="8"/>
            </w:tcBorders>
            <w:shd w:fill="B55334" w:val="clear"/>
            <w:tcMar>
              <w:top w:type="dxa" w:w="80"/>
              <w:left w:type="dxa" w:w="80"/>
              <w:bottom w:type="dxa" w:w="80"/>
              <w:right w:type="dxa" w:w="80"/>
            </w:tcMar>
            <w:vAlign w:val="center"/>
          </w:tcPr>
          <w:p>
            <w:pPr>
              <w:spacing w:after="0" w:before="0"/>
              <w:jc w:val="center"/>
            </w:pPr>
            <w:r>
              <w:rPr>
                <w:rFonts w:ascii="Georgia" w:cs="Georgia" w:eastAsia="Georgia" w:hAnsi="Georgia"/>
                <w:b/>
                <w:bCs/>
                <w:color w:val="FFFFFF"/>
                <w:sz w:val="36"/>
                <w:szCs w:val="36"/>
              </w:rPr>
              <w:t xml:space="preserve">⬡</w:t>
            </w:r>
          </w:p>
        </w:tc>
        <w:tc>
          <w:tcPr>
            <w:tcW w:type="dxa" w:w="8720"/>
            <w:tcBorders>
              <w:top w:val="single" w:color="B55334" w:sz="8"/>
              <w:left w:val="single" w:color="B55334" w:sz="8"/>
              <w:bottom w:val="single" w:color="B55334" w:sz="8"/>
              <w:right w:val="single" w:color="B55334" w:sz="8"/>
            </w:tcBorders>
            <w:shd w:fill="FAF0ED" w:val="clear"/>
            <w:tcMar>
              <w:top w:type="dxa" w:w="120"/>
              <w:left w:type="dxa" w:w="200"/>
              <w:bottom w:type="dxa" w:w="120"/>
              <w:right w:type="dxa" w:w="160"/>
            </w:tcMar>
            <w:vAlign w:val="top"/>
          </w:tcPr>
          <w:p>
            <w:pPr>
              <w:spacing w:after="50" w:before="0"/>
              <w:jc w:val="left"/>
            </w:pPr>
            <w:r>
              <w:rPr>
                <w:rFonts w:ascii="Georgia" w:cs="Georgia" w:eastAsia="Georgia" w:hAnsi="Georgia"/>
                <w:b/>
                <w:bCs/>
                <w:color w:val="B55334"/>
                <w:sz w:val="24"/>
                <w:szCs w:val="24"/>
              </w:rPr>
              <w:t xml:space="preserve">CARE THAT LASTS</w:t>
            </w:r>
          </w:p>
          <w:p>
            <w:pPr>
              <w:spacing w:after="50" w:before="0"/>
              <w:jc w:val="both"/>
            </w:pPr>
            <w:r>
              <w:rPr>
                <w:rFonts w:ascii="Georgia" w:cs="Georgia" w:eastAsia="Georgia" w:hAnsi="Georgia"/>
                <w:color w:val="252525"/>
                <w:sz w:val="21"/>
                <w:szCs w:val="21"/>
              </w:rPr>
              <w:t xml:space="preserve">BRIDGE 360° LASTMILE CARE is designed to make itself unnecessary as an externally managed programme. By 2031, 70 to 80 percent of programme costs will be financed from Sierra Leone's domestic government budgets. District Health Management Teams will co-lead all supervision activities. Traditional Authority Health Governance Councils will advocate directly to District Councils for ProcCHW budget lines using the evidence that the REACH 360° Framework has generated. The Community Epidemiological Intelligence Network will operate as a government-integrated surveillance system independent of iREACHE LASTMILE's facilitation. Community Health Committees will govern their communities' health priorities with the confidence of three years of practice and the legitimacy of traditional authority endorsement. The ultimate programme test: if iREACHE LASTMILE reduces its presence in a community by thirty percent, do the three systems — traditional authority, government health, and community epidemiological — continue to govern community health together? The answer must be yes. That is what it means to have built a system rather than run a programme.</w:t>
            </w:r>
          </w:p>
          <w:p>
            <w:pPr>
              <w:spacing w:after="80" w:before="0"/>
              <w:jc w:val="left"/>
            </w:pPr>
            <w:r>
              <w:rPr>
                <w:rFonts w:ascii="Georgia" w:cs="Georgia" w:eastAsia="Georgia" w:hAnsi="Georgia"/>
                <w:b/>
                <w:bCs/>
                <w:color w:val="2C4A6E"/>
                <w:sz w:val="19"/>
                <w:szCs w:val="19"/>
              </w:rPr>
              <w:t xml:space="preserve">◈  AI: Intelligent Digital Health Systems Integration: All AI tools are built within government platforms and designed for government operation by 2031. The AI capability transfers with the programme — not away from it. Government technical staff are trained in model monitoring and retraining from Year 3 of the programme cycle. When iREACHE LASTMILE's direct role ends, the intelligent digital health system continues under government ownership and community governance.</w:t>
            </w:r>
          </w:p>
        </w:tc>
      </w:tr>
    </w:tbl>
    <w:p>
      <w:pPr>
        <w:spacing w:after="0" w:before="0"/>
      </w:pPr>
      <w:r>
        <w:rPr>
          <w:rFonts w:ascii="Georgia" w:cs="Georgia" w:eastAsia="Georgia" w:hAnsi="Georgia"/>
          <w:sz w:val="10"/>
          <w:szCs w:val="10"/>
        </w:rPr>
        <w:t xml:space="preserve"/>
      </w:r>
    </w:p>
    <w:p>
      <w:pPr>
        <w:pStyle w:val="Heading2"/>
        <w:pBdr>
          <w:bottom w:val="single" w:color="FAF0ED" w:sz="4"/>
        </w:pBdr>
        <w:spacing w:after="100" w:before="280"/>
      </w:pPr>
      <w:r>
        <w:rPr>
          <w:rFonts w:ascii="Georgia" w:cs="Georgia" w:eastAsia="Georgia" w:hAnsi="Georgia"/>
          <w:b/>
          <w:bCs/>
          <w:color w:val="B55334"/>
          <w:sz w:val="28"/>
          <w:szCs w:val="28"/>
        </w:rPr>
        <w:t xml:space="preserve">6.3  What Makes BRIDGE 360° LASTMILE CARE Distinctively Sierra Leonean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BRIDGE 360° Original Element</w:t>
            </w:r>
          </w:p>
        </w:tc>
        <w:tc>
          <w:tcPr>
            <w:tcW w:type="dxa" w:w="3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What It Is</w:t>
            </w:r>
          </w:p>
        </w:tc>
        <w:tc>
          <w:tcPr>
            <w:tcW w:type="dxa" w:w="31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Why No Other Model Has It</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Community Epidemiological Intelligence Network (CEIN)</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Formalises the disease detection, risk communication, and community mobilisation capabilities that Sierra Leonean communities built during the 2014–2016 Ebola outbreak as a standing, community-governed, DHMT-integrated health system surveillance component</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Built from the knowledge that communities in Eastern Province generated through surviving Ebola. No international framework was built from this experience because no international framework was designed here.</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Traditional Authority Access Endorsement</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Paramount and Section Chief formal endorsement changes the social permission structure for ProcCHW household access in communities where cultural norms restrict entry — transforming ProcCHW visits from an external activity into a community governance expectation</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Sierra Leone's chieftaincy governance system — with its specific authority structures and social enforcement capacity — has no direct equivalent in Uganda, Mali, Liberia, or Kenya where comparable CHW models operate</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Agricultural Calendar Alignment Protocol</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visit scheduling formally adjusted around each district's specific farming calendar with Community Health Committee co-development — ensuring that the weeks of peak agricultural labour, which women disproportionately carry, do not become health access gaps</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Sierra Leone's smallholder farming seasons determine women's availability more decisively than any administrative calendar. Only a model built from community reality accounts for this.</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Post-Ebola Mental Health Pulse Check</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Basic psychological health screening integrated into routine BRIDGE 360° LASTMILE CARE household visits in communities directly affected by the 2014–2016 outbreak. Screening tool validated with Sierra Leonean clinical psychologists. Positive screens referred to PHU mental health officers.</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No community health model anywhere in the world has operationalised post-Ebola mental health screening as a routine primary care component. This element is unique to Sierra Leone's epidemiological history and to iREACHE LASTMILE's founding location.</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Shared Sovereignty Financing with Chieftaincy Track</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Traditional authority as a third financing sovereignty actor — Paramount Chiefs advocating to District Councils for ProcCHW budget lines within their chiefdoms, using chieftaincy's specific political standing in local government that administrative health advocacy cannot match</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Sierra Leone's Constitutional provisions for chieftaincy authority within District Council governance create an advocacy pathway that exists in this specific form nowhere else in West Africa</w:t>
            </w:r>
          </w:p>
        </w:tc>
      </w:tr>
    </w:tbl>
    <w:p>
      <w:r>
        <w:br w:type="page"/>
      </w:r>
    </w:p>
    <w:p>
      <w:pPr>
        <w:pStyle w:val="Heading1"/>
        <w:shd w:fill="B55334" w:val="clear"/>
        <w:spacing w:after="0" w:before="400"/>
      </w:pPr>
      <w:r>
        <w:rPr>
          <w:rFonts w:ascii="Georgia" w:cs="Georgia" w:eastAsia="Georgia" w:hAnsi="Georgia"/>
          <w:b/>
          <w:bCs/>
          <w:color w:val="FAF0ED"/>
          <w:sz w:val="18"/>
          <w:szCs w:val="18"/>
        </w:rPr>
        <w:t xml:space="preserve">7  </w:t>
      </w:r>
      <w:r>
        <w:rPr>
          <w:rFonts w:ascii="Georgia" w:cs="Georgia" w:eastAsia="Georgia" w:hAnsi="Georgia"/>
          <w:b/>
          <w:bCs/>
          <w:color w:val="FFFFFF"/>
          <w:sz w:val="34"/>
          <w:szCs w:val="34"/>
        </w:rPr>
        <w:t xml:space="preserve">THE ProcCHW CADRE — PROFESSIONAL CONNECTED COMMUNITY HEALTH WORKERS</w:t>
      </w:r>
    </w:p>
    <w:p>
      <w:pPr>
        <w:pBdr>
          <w:bottom w:val="single" w:color="1A4731"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1A4731" w:sz="6"/>
              <w:left w:val="single" w:color="1A4731" w:sz="6"/>
              <w:bottom w:val="single" w:color="1A4731" w:sz="6"/>
              <w:right w:val="single" w:color="1A4731" w:sz="6"/>
            </w:tcBorders>
            <w:shd w:fill="1A4731" w:val="clear"/>
            <w:tcMar>
              <w:top w:type="dxa" w:w="180"/>
              <w:left w:type="dxa" w:w="280"/>
              <w:bottom w:type="dxa" w:w="180"/>
              <w:right w:type="dxa" w:w="280"/>
            </w:tcMar>
          </w:tcPr>
          <w:p>
            <w:pPr>
              <w:spacing w:after="20" w:before="0"/>
              <w:jc w:val="left"/>
            </w:pPr>
            <w:r>
              <w:rPr>
                <w:rFonts w:ascii="Georgia" w:cs="Georgia" w:eastAsia="Georgia" w:hAnsi="Georgia"/>
                <w:b/>
                <w:bCs/>
                <w:color w:val="FFFFFF"/>
                <w:sz w:val="72"/>
                <w:szCs w:val="72"/>
              </w:rPr>
              <w:t xml:space="preserve">ProcCHW</w:t>
            </w:r>
          </w:p>
          <w:p>
            <w:pPr>
              <w:spacing w:after="30" w:before="0"/>
              <w:jc w:val="left"/>
            </w:pPr>
            <w:r>
              <w:rPr>
                <w:rFonts w:ascii="Georgia" w:cs="Georgia" w:eastAsia="Georgia" w:hAnsi="Georgia"/>
                <w:b/>
                <w:bCs/>
                <w:color w:val="7BC99A"/>
                <w:sz w:val="28"/>
                <w:szCs w:val="28"/>
              </w:rPr>
              <w:t xml:space="preserve">Professional Connected Community Health Worker</w:t>
            </w:r>
          </w:p>
          <w:p>
            <w:pPr>
              <w:spacing w:after="0" w:before="0"/>
              <w:jc w:val="left"/>
            </w:pPr>
            <w:r>
              <w:rPr>
                <w:rFonts w:ascii="Georgia" w:cs="Georgia" w:eastAsia="Georgia" w:hAnsi="Georgia"/>
                <w:i/>
                <w:iCs/>
                <w:color w:val="FFFFFF"/>
                <w:sz w:val="20"/>
                <w:szCs w:val="20"/>
              </w:rPr>
              <w:t xml:space="preserve">Certified  ·  Compensated  ·  Triple-Connected  ·  AI-Supported  ·  Government-Integrated  ·  Community-Governed  ·  Career-Pathed</w:t>
            </w:r>
          </w:p>
        </w:tc>
      </w:tr>
    </w:tbl>
    <w:p>
      <w:pPr>
        <w:spacing w:after="0" w:before="0"/>
      </w:pPr>
      <w:r>
        <w:rPr>
          <w:rFonts w:ascii="Georgia" w:cs="Georgia" w:eastAsia="Georgia" w:hAnsi="Georgia"/>
          <w:sz w:val="10"/>
          <w:szCs w:val="10"/>
        </w:rPr>
        <w:t xml:space="preserve"/>
      </w:r>
    </w:p>
    <w:p>
      <w:pPr>
        <w:pStyle w:val="Heading2"/>
        <w:pBdr>
          <w:bottom w:val="single" w:color="FAF0ED" w:sz="4"/>
        </w:pBdr>
        <w:spacing w:after="100" w:before="280"/>
      </w:pPr>
      <w:r>
        <w:rPr>
          <w:rFonts w:ascii="Georgia" w:cs="Georgia" w:eastAsia="Georgia" w:hAnsi="Georgia"/>
          <w:b/>
          <w:bCs/>
          <w:color w:val="B55334"/>
          <w:sz w:val="28"/>
          <w:szCs w:val="28"/>
        </w:rPr>
        <w:t xml:space="preserve">7.1  Who ProcCHWs Are — and Why They Are Different</w:t>
      </w:r>
    </w:p>
    <w:p>
      <w:pPr>
        <w:spacing w:after="140" w:before="0"/>
        <w:jc w:val="both"/>
      </w:pPr>
      <w:r>
        <w:rPr>
          <w:rFonts w:ascii="Georgia" w:cs="Georgia" w:eastAsia="Georgia" w:hAnsi="Georgia"/>
          <w:b w:val="false"/>
          <w:bCs w:val="false"/>
          <w:i w:val="false"/>
          <w:iCs w:val="false"/>
          <w:color w:val="252525"/>
          <w:sz w:val="24"/>
          <w:szCs w:val="24"/>
        </w:rPr>
        <w:t xml:space="preserve">Professional Connected Community Health Workers are something entirely new in Sierra Leone's community health landscape. They are not volunteers. They are not government extension workers deployed into the field without training, equipment, or support structures. They are not programme-specific CHWs whose mandate disappears when a grant cycle ends. They are certified, compensated, AI-supported, government-integrated community health professionals who function simultaneously as care deliverers, community intelligence nodes, and connectors between three previously isolated governance systems.</w:t>
      </w:r>
    </w:p>
    <w:p>
      <w:pPr>
        <w:spacing w:after="140" w:before="0"/>
        <w:jc w:val="both"/>
      </w:pPr>
      <w:r>
        <w:rPr>
          <w:rFonts w:ascii="Georgia" w:cs="Georgia" w:eastAsia="Georgia" w:hAnsi="Georgia"/>
          <w:b w:val="false"/>
          <w:bCs w:val="false"/>
          <w:i w:val="false"/>
          <w:iCs w:val="false"/>
          <w:color w:val="252525"/>
          <w:sz w:val="24"/>
          <w:szCs w:val="24"/>
        </w:rPr>
        <w:t xml:space="preserve">The word Professional in ProcCHW names what makes this cadre different from every CHW Sierra Leone has previously deployed: they are compensated for their work through a structured salary and performance incentive; they hold a recognised certification co-issued by iREACHE LASTMILE and the Ministry of Health; they follow clinical protocols validated to national standards; they use government-owned digital health tools; and they have a defined career pathway that moves progressively toward full government employment. The word Connected names the defining architectural standard: every ProcCHW maintains three simultaneous active connections — upward to their supervisor, laterally to their peer network, and downward to their community's governance structures. A ProcCHW without any one of these connections is not yet fully functional within the REACH 360° Framework.</w:t>
      </w:r>
    </w:p>
    <w:p>
      <w:pPr>
        <w:pStyle w:val="Heading2"/>
        <w:pBdr>
          <w:bottom w:val="single" w:color="FAF0ED" w:sz="4"/>
        </w:pBdr>
        <w:spacing w:after="100" w:before="280"/>
      </w:pPr>
      <w:r>
        <w:rPr>
          <w:rFonts w:ascii="Georgia" w:cs="Georgia" w:eastAsia="Georgia" w:hAnsi="Georgia"/>
          <w:b/>
          <w:bCs/>
          <w:color w:val="B55334"/>
          <w:sz w:val="28"/>
          <w:szCs w:val="28"/>
        </w:rPr>
        <w:t xml:space="preserve">7.2  Selection and Appointment — A Governance Act</w:t>
      </w:r>
    </w:p>
    <w:p>
      <w:pPr>
        <w:spacing w:after="140" w:before="0"/>
        <w:jc w:val="both"/>
      </w:pPr>
      <w:r>
        <w:rPr>
          <w:rFonts w:ascii="Georgia" w:cs="Georgia" w:eastAsia="Georgia" w:hAnsi="Georgia"/>
          <w:b w:val="false"/>
          <w:bCs w:val="false"/>
          <w:i w:val="false"/>
          <w:iCs w:val="false"/>
          <w:color w:val="252525"/>
          <w:sz w:val="24"/>
          <w:szCs w:val="24"/>
        </w:rPr>
        <w:t xml:space="preserve">ProcCHW selection is a governance act, not a programme recruitment exercise. The five-stage process is designed to ensure that every appointment carries community legitimacy, government recognition, and programme accountability simultaneously. A ProcCHW selected only by the programme but not by their community's traditional authority has a fundamentally different accountability relationship than one endorsed by their chief. A ProcCHW selected without DHMT verification is not recognised within the government health system. Both dimensions are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000"/>
        <w:gridCol w:w="2400"/>
        <w:gridCol w:w="1960"/>
      </w:tblGrid>
      <w:tr>
        <w:trPr>
          <w:tblHeader/>
        </w:trPr>
        <w:tc>
          <w:tcPr>
            <w:tcW w:type="dxa" w:w="6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Stage</w:t>
            </w:r>
          </w:p>
        </w:tc>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Process</w:t>
            </w:r>
          </w:p>
        </w:tc>
        <w:tc>
          <w:tcPr>
            <w:tcW w:type="dxa" w:w="20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Who Acts</w:t>
            </w:r>
          </w:p>
        </w:tc>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Standard Required</w:t>
            </w:r>
          </w:p>
        </w:tc>
        <w:tc>
          <w:tcPr>
            <w:tcW w:type="dxa" w:w="19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Equity Safeguard</w:t>
            </w:r>
          </w:p>
        </w:tc>
      </w:tr>
      <w:tr>
        <w:trPr>
          <w:tblHeader w:val="false"/>
        </w:trPr>
        <w:tc>
          <w:tcPr>
            <w:tcW w:type="dxa" w:w="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1</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Vacancy Announcement</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 DC with Traditional Authority</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Vacancy publicly announced at chieftaincy level; selection criteria accessible in Krio and local language to all community members</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Criteria translated and read aloud at community announcement for non-literate community members</w:t>
            </w:r>
          </w:p>
        </w:tc>
      </w:tr>
      <w:tr>
        <w:trPr>
          <w:tblHeader w:val="false"/>
        </w:trPr>
        <w:tc>
          <w:tcPr>
            <w:tcW w:type="dxa" w:w="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2</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Traditional Authority Nomination</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Paramount or Section Chief</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Chief formally nominates community resident meeting residence and age criteria; nomination transparent and publicly announced</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Mandatory women's group co-endorsement alongside chief nomination — equal governance authority to challenge exclusionary nomination patterns</w:t>
            </w:r>
          </w:p>
        </w:tc>
      </w:tr>
      <w:tr>
        <w:trPr>
          <w:tblHeader w:val="false"/>
        </w:trPr>
        <w:tc>
          <w:tcPr>
            <w:tcW w:type="dxa" w:w="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3</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DHMT Technical Verification</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DHMT District Medical Officer</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Literacy and numeracy assessment; digital readiness screening; background verification; safeguarding check against government register</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Assessment available in four regional languages; digital readiness support sessions provided before assessment to prevent digital exclusion</w:t>
            </w:r>
          </w:p>
        </w:tc>
      </w:tr>
      <w:tr>
        <w:trPr>
          <w:tblHeader w:val="false"/>
        </w:trPr>
        <w:tc>
          <w:tcPr>
            <w:tcW w:type="dxa" w:w="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4</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Acceptance Confirmation</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Health Committee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CHC formally votes on nominated candidate; community objection process available to all members</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CHC must meet mandatory representation standards — 50% female, youth representative, disability representative, lowest-income household members — before exercising this governance authority</w:t>
            </w:r>
          </w:p>
        </w:tc>
      </w:tr>
      <w:tr>
        <w:trPr>
          <w:tblHeader w:val="false"/>
        </w:trPr>
        <w:tc>
          <w:tcPr>
            <w:tcW w:type="dxa" w:w="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5</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Joint Formal Appointment</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 + DHMT DMO jointly sign appointment letter; public ceremony attended by chief</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Formal appointment letter co-signed by iREACHE LASTMILE DC and DHMT District Medical Officer; public ceremony creates community witness to ProcCHW obligations</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Ceremony conducted in community at time convenient to women's schedules; conducted in local language</w:t>
            </w:r>
          </w:p>
        </w:tc>
      </w:tr>
    </w:tbl>
    <w:p>
      <w:pPr>
        <w:spacing w:after="0" w:before="0"/>
      </w:pPr>
      <w:r>
        <w:rPr>
          <w:rFonts w:ascii="Georgia" w:cs="Georgia" w:eastAsia="Georgia" w:hAnsi="Georgia"/>
          <w:sz w:val="10"/>
          <w:szCs w:val="10"/>
        </w:rPr>
        <w:t xml:space="preserve"/>
      </w:r>
    </w:p>
    <w:p>
      <w:pPr>
        <w:pStyle w:val="Heading2"/>
        <w:pBdr>
          <w:bottom w:val="single" w:color="FAF0ED" w:sz="4"/>
        </w:pBdr>
        <w:spacing w:after="100" w:before="280"/>
      </w:pPr>
      <w:r>
        <w:rPr>
          <w:rFonts w:ascii="Georgia" w:cs="Georgia" w:eastAsia="Georgia" w:hAnsi="Georgia"/>
          <w:b/>
          <w:bCs/>
          <w:color w:val="B55334"/>
          <w:sz w:val="28"/>
          <w:szCs w:val="28"/>
        </w:rPr>
        <w:t xml:space="preserve">7.3  Eight-Week Certification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400"/>
        <w:gridCol w:w="2200"/>
        <w:gridCol w:w="1560"/>
      </w:tblGrid>
      <w:tr>
        <w:trPr>
          <w:tblHeader/>
        </w:trPr>
        <w:tc>
          <w:tcPr>
            <w:tcW w:type="dxa" w:w="1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Phase</w:t>
            </w:r>
          </w:p>
        </w:tc>
        <w:tc>
          <w:tcPr>
            <w:tcW w:type="dxa" w:w="1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Duration</w:t>
            </w:r>
          </w:p>
        </w:tc>
        <w:tc>
          <w:tcPr>
            <w:tcW w:type="dxa" w:w="3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Core Curriculum Content</w:t>
            </w:r>
          </w:p>
        </w:tc>
        <w:tc>
          <w:tcPr>
            <w:tcW w:type="dxa" w:w="2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Dimension</w:t>
            </w:r>
          </w:p>
        </w:tc>
        <w:tc>
          <w:tcPr>
            <w:tcW w:type="dxa" w:w="15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Certification Output</w:t>
            </w:r>
          </w:p>
        </w:tc>
      </w:tr>
      <w:tr>
        <w:trPr>
          <w:tblHeader w:val="false"/>
        </w:trPr>
        <w:tc>
          <w:tcPr>
            <w:tcW w:type="dxa" w:w="1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Phase 1: Sierra Leone Foundation</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3 weeks residential</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Sierra Leone DHS disease burden for deployment district; Free Healthcare Initiative; iCCM — malaria, pneumonia, diarrhea; MNCH danger signs and ANC facilitation; MUAC nutrition screening; EPI immunisation schedule; community surveillance and CEIN protocols; WASH; family planning counselling; Post-Ebola Mental Health Pulse Check; data recording fundamentals</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Introduction to IDHS tools: what AI clinical decision support does, what it does not do, how to interpret alerts, when to override, how to report errors. Human primacy principle established from first training day.</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Seven-domain written and oral assessment at 75%+ minimum before field phase. MoH-iREACHE joint provisional certification.</w:t>
            </w:r>
          </w:p>
        </w:tc>
      </w:tr>
      <w:tr>
        <w:trPr>
          <w:tblHeader w:val="false"/>
        </w:trPr>
        <w:tc>
          <w:tcPr>
            <w:tcW w:type="dxa" w:w="1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Phase 2: Platform and IDHS Skills</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 week residential</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Sierra Leone government CHW digital platform — all modules: household registration, iCCM case management, electronic referral tracking, stock reporting, immunisation registry, disease surveillance weekly reporting, telehealth hotline access; DHIS2 mobile synchronisation</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Practical training on AI clinical alert interpretation; MUAC trajectory analysis dashboard; AI demand forecasting outputs for stock awareness; AI alert override protocol; mandatory AI error reporting procedure; TRIAD AI Test explained as a governance right ProcCHWs can invoke</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Platform proficiency assessment at 85%+ including correct AI alert interpretation and override protocol. Digital health competency badge issued.</w:t>
            </w:r>
          </w:p>
        </w:tc>
      </w:tr>
      <w:tr>
        <w:trPr>
          <w:tblHeader w:val="false"/>
        </w:trPr>
        <w:tc>
          <w:tcPr>
            <w:tcW w:type="dxa" w:w="1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Phase 3: Supervised Field Practice</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4 weeks community-based</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clinical and digital skills applied under direct ProcCHW Supervisor observation; community relationship building; TRIAD governance engagement; referral pathway navigation; supply chain management in practice; CEIN activation protocol; Agricultural Calendar Protocol application; Traditional Authority relationship engagement</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Supervisor assesses AI alert interaction in real household visits: correct interpretation, appropriate overrides with rationale, accurate error reporting. AI tool competency is a standalone supervisory assessment domain.</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Field competency sign-off across all seven domains plus IDHS competency by ProcCHW Supervisor. Joint MoH-iREACHE final appointment letter. Public appointment ceremony.</w:t>
            </w:r>
          </w:p>
        </w:tc>
      </w:tr>
      <w:tr>
        <w:trPr>
          <w:tblHeader w:val="false"/>
        </w:trPr>
        <w:tc>
          <w:tcPr>
            <w:tcW w:type="dxa" w:w="1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Continuous Learning</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 ongoing</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Protocol updates; disease surveillance alerts; platform feature updates; case study peer review; Post-Ebola mental health screening refresher; agricultural calendar update for coming season; CEIN refresher</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 AI model update briefing when clinical decision support algorithms are retrained; AI alert accuracy trend shared with ProcCHW cohort; peer learning on AI edge cases where ProcCHW judgment correctly overrode an AI alert</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CPD points logged in government digital platform. Annual seven-domain competency reassessment. AI tool competency reassessed bi-annually.</w:t>
            </w:r>
          </w:p>
        </w:tc>
      </w:tr>
    </w:tbl>
    <w:p>
      <w:pPr>
        <w:spacing w:after="0" w:before="0"/>
      </w:pPr>
      <w:r>
        <w:rPr>
          <w:rFonts w:ascii="Georgia" w:cs="Georgia" w:eastAsia="Georgia" w:hAnsi="Georgia"/>
          <w:sz w:val="10"/>
          <w:szCs w:val="10"/>
        </w:rPr>
        <w:t xml:space="preserve"/>
      </w:r>
    </w:p>
    <w:p>
      <w:pPr>
        <w:pStyle w:val="Heading2"/>
        <w:pBdr>
          <w:bottom w:val="single" w:color="FAF0ED" w:sz="4"/>
        </w:pBdr>
        <w:spacing w:after="100" w:before="280"/>
      </w:pPr>
      <w:r>
        <w:rPr>
          <w:rFonts w:ascii="Georgia" w:cs="Georgia" w:eastAsia="Georgia" w:hAnsi="Georgia"/>
          <w:b/>
          <w:bCs/>
          <w:color w:val="B55334"/>
          <w:sz w:val="28"/>
          <w:szCs w:val="28"/>
        </w:rPr>
        <w:t xml:space="preserve">7.4  ProcCHW Equipment and Clinical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Category</w:t>
            </w:r>
          </w:p>
        </w:tc>
        <w:tc>
          <w:tcPr>
            <w:tcW w:type="dxa" w:w="69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Items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Government Digital Platform Device</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Android smartphone with Sierra Leone government CHW digital platform — offline-first design, automatic DHIS2 synchronisation when connected. Solar charger and hand-crank backup charger. Protective case. Monthly call credit and data bundle. All modules: household registration, iCCM case management, electronic referral, stock reporting, immunisation registry, disease surveillance, telehealth access, CEIN event reporting.</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IDHS Clinical Decision Support</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clinical alert layer embedded within government CHW platform: real-time iCCM danger sign pattern recognition; MNCH danger sign combination analysis; MUAC trajectory analysis showing nutritional trend over time; malaria RDT quality flag for inconsistent results; zero-dose child risk-stratified follow-up list; AI referral urgency scoring. Offline functionality — all AI tools available without connectivity. Alert language: Krio and four regional languages.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Clinical Diagnostics</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Malaria rapid diagnostic tests (RDTs); MUAC measurement tape (colour-banded); digital thermometer; blood pressure cuff; pulse oximeter; pregnancy test strips; infant weighing scale with hanging mechanism; bilateral pitting edema assessment guide card</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Essential Medicines — iCCM</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Artemether-Lumefantrine (malaria — all weight bands); Amoxicillin dispersible tablets (pneumonia — all ages); Oral Rehydration Salts with zinc (diarrhea); iron-folate supplements (antenatal care); Vitamin A supplements; oral contraceptive pills and male condoms (family planning); Misoprostol for postpartum haemorrhage prevention (certified senior ProcCHWs only under MoH protocol)</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Job Aids and Reference Materials</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Laminated colour-coded iCCM treatment algorithm cards; ANC danger sign checklist; MUAC colour-band reference card; Agricultural Calendar district card; CEIN event recognition and reporting guide; immunisation schedule chart; household registration forms (paper backup); community census tracking cards; emergency referral forms (paper backup)</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Identity, Safety, and Protection</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 and MoH co-branded deep forest green (#1A4731) vest with ProcCHW identification; government-issued photo ID card with toll-free accountability hotline number on reverse; basic PPE (gloves, face mask, hand sanitiser); safety whistle; emergency contact card; safeguarding reporting protocol card; torch</w:t>
            </w:r>
          </w:p>
        </w:tc>
      </w:tr>
    </w:tbl>
    <w:p>
      <w:pPr>
        <w:spacing w:after="0" w:before="0"/>
      </w:pPr>
      <w:r>
        <w:rPr>
          <w:rFonts w:ascii="Georgia" w:cs="Georgia" w:eastAsia="Georgia" w:hAnsi="Georgia"/>
          <w:sz w:val="10"/>
          <w:szCs w:val="10"/>
        </w:rPr>
        <w:t xml:space="preserve"/>
      </w:r>
    </w:p>
    <w:p>
      <w:pPr>
        <w:pStyle w:val="Heading2"/>
        <w:pBdr>
          <w:bottom w:val="single" w:color="FAF0ED" w:sz="4"/>
        </w:pBdr>
        <w:spacing w:after="100" w:before="280"/>
      </w:pPr>
      <w:r>
        <w:rPr>
          <w:rFonts w:ascii="Georgia" w:cs="Georgia" w:eastAsia="Georgia" w:hAnsi="Georgia"/>
          <w:b/>
          <w:bCs/>
          <w:color w:val="B55334"/>
          <w:sz w:val="28"/>
          <w:szCs w:val="28"/>
        </w:rPr>
        <w:t xml:space="preserve">7.5  Compensation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Component</w:t>
            </w:r>
          </w:p>
        </w:tc>
        <w:tc>
          <w:tcPr>
            <w:tcW w:type="dxa" w:w="3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Parameters</w:t>
            </w:r>
          </w:p>
        </w:tc>
        <w:tc>
          <w:tcPr>
            <w:tcW w:type="dxa" w:w="27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Equity Safeguards</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Fixed Monthly Stipend — 50–60% of package</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SLL 400,000–600,000 per month (approximately USD 18–27 at current rates). Provides income security and predictability. Paid on the 1st of every month via mobile money without exception and without administrative delay. IDHS anomaly detection flags any payment processing error before release.</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Equal for all ProcCHWs at same tier regardless of gender, geographic location, or ethnicity. Annual review against official cost-of-living data. One missed payment date destroys three months of trust — the payment system IS the retention system.</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Performance-Based Incentive — 40–50% of package</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Up to SLL 400,000 additional per month. Five weighted domains: Household visit coverage rate 30%; Data reporting quality score 20%; Referral completion rate 20%; Zero-dose child identification and follow-up 15%; Stock reporting timeliness 15%. IDHS anomaly detection flags PBI scores that are statistical outliers from ProcCHW's own historical trajectory for supervisor verification before payment release.</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Equity adjustment mechanism for structural barriers: rainy season road inaccessibility, market day conflicts, cultural observance schedules, documented safety incidents. Annual gender pay gap audit — gap exceeding 5% within comparable community types triggers mandatory District Coordinator investigation.</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In-Kind Equipment Value</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Complete clinical diagnostics kit; government digital platform device; personal protective equipment; job aids and reference materials. Annual replacement value approximately USD 120 per ProcCHW. Provided at no cost to ProcCHW at appointment and replaced under 72-hour guarantee if damaged or lost.</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72-hour device replacement guarantee applies regardless of community geographic accessibility. District-level spare device inventory maintained for immediate exchange. Geographic isolation cannot disadvantage ProcCHWs in equipment access.</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Career Progression Premium</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Senior ProcCHW: +SLL 150,000 per month above standard tier stipend. ProcCHW Supervisor: full salary position at approximately USD 120 per month, co-funded with DHMT from Year 3. Progression criteria published, accessible to all ProcCHWs, and applied transparently.</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 equity review of promotion rates disaggregated by gender. Female ProcCHWs' domestic and agricultural responsibilities explicitly excluded as permissible grounds for withholding promotion eligibility. Systematic gender promotion gap triggers criteria and process review.</w:t>
            </w:r>
          </w:p>
        </w:tc>
      </w:tr>
    </w:tbl>
    <w:p>
      <w:pPr>
        <w:spacing w:after="0" w:before="0"/>
      </w:pPr>
      <w:r>
        <w:rPr>
          <w:rFonts w:ascii="Georgia" w:cs="Georgia" w:eastAsia="Georgia" w:hAnsi="Georgia"/>
          <w:sz w:val="10"/>
          <w:szCs w:val="10"/>
        </w:rPr>
        <w:t xml:space="preserve"/>
      </w:r>
    </w:p>
    <w:p>
      <w:pPr>
        <w:pStyle w:val="Heading2"/>
        <w:pBdr>
          <w:bottom w:val="single" w:color="FAF0ED" w:sz="4"/>
        </w:pBdr>
        <w:spacing w:after="100" w:before="280"/>
      </w:pPr>
      <w:r>
        <w:rPr>
          <w:rFonts w:ascii="Georgia" w:cs="Georgia" w:eastAsia="Georgia" w:hAnsi="Georgia"/>
          <w:b/>
          <w:bCs/>
          <w:color w:val="B55334"/>
          <w:sz w:val="28"/>
          <w:szCs w:val="28"/>
        </w:rPr>
        <w:t xml:space="preserve">7.6  Three-Tier Connectivity Standard</w:t>
      </w:r>
    </w:p>
    <w:p>
      <w:pPr>
        <w:spacing w:after="140" w:before="0"/>
        <w:jc w:val="both"/>
      </w:pPr>
      <w:r>
        <w:rPr>
          <w:rFonts w:ascii="Georgia" w:cs="Georgia" w:eastAsia="Georgia" w:hAnsi="Georgia"/>
          <w:b w:val="false"/>
          <w:bCs w:val="false"/>
          <w:i w:val="false"/>
          <w:iCs w:val="false"/>
          <w:color w:val="252525"/>
          <w:sz w:val="24"/>
          <w:szCs w:val="24"/>
        </w:rPr>
        <w:t xml:space="preserve">The defining characteristic of a ProcCHW — the element that distinguishes this cadre from every CHW Sierra Leone has previously deployed — is the simultaneous maintenance of three active connections. A ProcCHW who is well supervised but disconnected from community governance is a service agent without accountability. A ProcCHW connected to their community but reporting to a separate data system outside government architecture is an isolated worker outside the grid. All three connections must be active and verifiable for a ProcCHW to count as fully functional within the REACH 360°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Connection</w:t>
            </w:r>
          </w:p>
        </w:tc>
        <w:tc>
          <w:tcPr>
            <w:tcW w:type="dxa" w:w="2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Connected To</w:t>
            </w:r>
          </w:p>
        </w:tc>
        <w:tc>
          <w:tcPr>
            <w:tcW w:type="dxa" w:w="26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Human Mechanism</w:t>
            </w:r>
          </w:p>
        </w:tc>
        <w:tc>
          <w:tcPr>
            <w:tcW w:type="dxa" w:w="31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Enhancement</w:t>
            </w:r>
          </w:p>
        </w:tc>
      </w:tr>
      <w:tr>
        <w:trPr>
          <w:tblHeader w:val="false"/>
        </w:trPr>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UPWARD</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Supervisor through the Connected Health Workforce four-tier supervision architecture</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Weekly Senior ProcCHW mobile check-in; monthly ProcCHW Supervisor field visit with minimum two observed household visits; daily government platform dashboard monitoring</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predictive attrition model analyses ProcCHW data submission patterns, PBI trajectory, connectivity metrics, and peer engagement to generate a 60-day attrition risk score — highest-risk ProcCHWs automatically surfaced to supervisor's priority field visit queue before performance decline becomes visible in outcome metrics</w:t>
            </w:r>
          </w:p>
        </w:tc>
      </w:tr>
      <w:tr>
        <w:trPr>
          <w:tblHeader w:val="false"/>
        </w:trPr>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LATERAL</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Peer network through Senior ProcCHW peer leader and monthly peer learning sessions</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Weekly WhatsApp peer learning group facilitated by Senior ProcCHW; monthly minimum 2-hour peer learning session with case discussion, protocol review, and shared problem-solving; annual national ProcCHW conference</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clinical question routing: when a ProcCHW submits a clinical question to the peer network, AI searches the programme's resolved case database and surfaces the three most relevant clinical precedents — reducing wait time for guidance and building a searchable clinical knowledge base from the network's own accumulated experience</w:t>
            </w:r>
          </w:p>
        </w:tc>
      </w:tr>
      <w:tr>
        <w:trPr>
          <w:tblHeader w:val="false"/>
        </w:trPr>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DOWNWARD</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governance through Community Health Committee and Traditional Authority Health Governance Council</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 CHC review of ProcCHW performance; bi-annual community scorecard with independent facilitation; annual Open House accountability meeting; ongoing household relationship within community</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community feedback classification identifies patterns in hotline contacts and scorecard narrative responses across all programme communities — surfacing systemic issues that no individual district review would catch. All classifications visible to CHCs and formally contestable through TRIAD Governance Protocol. AI pattern identification never triggers ProcCHW disciplinary action without human investigation.</w:t>
            </w:r>
          </w:p>
        </w:tc>
      </w:tr>
    </w:tbl>
    <w:p>
      <w:pPr>
        <w:spacing w:after="0" w:before="0"/>
      </w:pPr>
      <w:r>
        <w:rPr>
          <w:rFonts w:ascii="Georgia" w:cs="Georgia" w:eastAsia="Georgia" w:hAnsi="Georgia"/>
          <w:sz w:val="10"/>
          <w:szCs w:val="10"/>
        </w:rPr>
        <w:t xml:space="preserve"/>
      </w:r>
    </w:p>
    <w:p>
      <w:pPr>
        <w:pStyle w:val="Heading2"/>
        <w:pBdr>
          <w:bottom w:val="single" w:color="FAF0ED" w:sz="4"/>
        </w:pBdr>
        <w:spacing w:after="100" w:before="280"/>
      </w:pPr>
      <w:r>
        <w:rPr>
          <w:rFonts w:ascii="Georgia" w:cs="Georgia" w:eastAsia="Georgia" w:hAnsi="Georgia"/>
          <w:b/>
          <w:bCs/>
          <w:color w:val="B55334"/>
          <w:sz w:val="28"/>
          <w:szCs w:val="28"/>
        </w:rPr>
        <w:t xml:space="preserve">7.7  Three-Tier Career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2600"/>
        <w:gridCol w:w="1560"/>
      </w:tblGrid>
      <w:tr>
        <w:trPr>
          <w:tblHeader/>
        </w:trPr>
        <w:tc>
          <w:tcPr>
            <w:tcW w:type="dxa" w:w="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Tier</w:t>
            </w:r>
          </w:p>
        </w:tc>
        <w:tc>
          <w:tcPr>
            <w:tcW w:type="dxa" w:w="2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Title</w:t>
            </w:r>
          </w:p>
        </w:tc>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Eligibility Criteria</w:t>
            </w:r>
          </w:p>
        </w:tc>
        <w:tc>
          <w:tcPr>
            <w:tcW w:type="dxa" w:w="26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Role Responsibilities</w:t>
            </w:r>
          </w:p>
        </w:tc>
        <w:tc>
          <w:tcPr>
            <w:tcW w:type="dxa" w:w="15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Government Alignment</w:t>
            </w:r>
          </w:p>
        </w:tc>
      </w:tr>
      <w:tr>
        <w:trPr>
          <w:tblHeader w:val="false"/>
        </w:trPr>
        <w:tc>
          <w:tcPr>
            <w:tcW w:type="dxa" w:w="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FFFFFF"/>
                <w:sz w:val="20"/>
                <w:szCs w:val="20"/>
              </w:rPr>
              <w:t xml:space="preserve">Tier 1</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ProcCHW</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Completion of 8-week certification across all seven domains at 75%+; IDHS competency at 85%+; joint MoH-iREACHE appointment letter; community appointment ceremony</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proactive household visits; integrated seven-area service delivery; data recording and weekly reporting; stock management; electronic referral facilitation; CEIN activation; community governance participation</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Joint MoH-iREACHE appointment — career progression designed from day one for government payroll absorption by Year 5</w:t>
            </w:r>
          </w:p>
        </w:tc>
      </w:tr>
      <w:tr>
        <w:trPr>
          <w:tblHeader w:val="false"/>
        </w:trPr>
        <w:tc>
          <w:tcPr>
            <w:tcW w:type="dxa" w:w="800"/>
            <w:gridSpan w:val="1"/>
            <w:tcBorders>
              <w:top w:val="single" w:color="CECECE" w:sz="4"/>
              <w:left w:val="single" w:color="CECECE" w:sz="4"/>
              <w:bottom w:val="single" w:color="CECECE" w:sz="4"/>
              <w:right w:val="single" w:color="CECECE" w:sz="4"/>
            </w:tcBorders>
            <w:shd w:fill="2D6A4F"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FFFFFF"/>
                <w:sz w:val="20"/>
                <w:szCs w:val="20"/>
              </w:rPr>
              <w:t xml:space="preserve">Tier 2</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Senior ProcCHW / Peer Leader</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Minimum 12 months Tier 1 service; top 15% PBI score for 6 consecutive months; peer nomination; DHMT endorsement; 3-day Senior ProcCHW orientation training</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Tier 1 responsibilities; weekly remote check-in and performance support for 8–10 assigned ProcCHWs; peer learning session facilitation; first-line clinical question response; stock level monitoring across peer group</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Senior ProcCHW grade corresponds to Government of Sierra Leone Community Health Officer Grade II; premium paid from iREACHE compensation fund transitioning to government co-payment from Year 3</w:t>
            </w:r>
          </w:p>
        </w:tc>
      </w:tr>
      <w:tr>
        <w:trPr>
          <w:tblHeader w:val="false"/>
        </w:trPr>
        <w:tc>
          <w:tcPr>
            <w:tcW w:type="dxa" w:w="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FFFFFF"/>
                <w:sz w:val="20"/>
                <w:szCs w:val="20"/>
              </w:rPr>
              <w:t xml:space="preserve">Tier 3</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ProcCHW Supervisor</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Minimum 18 months Tier 2 service; supervisory competency assessment passed at 80%+; DHMT District Medical Officer endorsement; 5-day Supervisor Induction Training; iREACHE HR Committee approval</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Professional supervision of 25–30 ProcCHWs; monthly field visits with seven-step protocol; competency assessment; PBI verification; supply chain coordination; DHMT relationship liaison; TRIAD governance participation; data quality assurance</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Full salaried position at approximately USD 120/month; co-funded with DHMT from Year 3; designed for full DHMT staff roster absorption by Year 5; NASSIT registered</w:t>
            </w:r>
          </w:p>
        </w:tc>
      </w:tr>
    </w:tbl>
    <w:p>
      <w:r>
        <w:br w:type="page"/>
      </w:r>
    </w:p>
    <w:p>
      <w:r>
        <w:br w:type="page"/>
      </w:r>
    </w:p>
    <w:p>
      <w:pPr>
        <w:spacing w:after="80" w:before="1200"/>
        <w:jc w:val="left"/>
      </w:pPr>
      <w:r>
        <w:rPr>
          <w:rFonts w:ascii="Georgia" w:cs="Georgia" w:eastAsia="Georgia" w:hAnsi="Georgia"/>
          <w:b/>
          <w:bCs/>
          <w:color w:val="2D6A4F"/>
          <w:sz w:val="48"/>
          <w:szCs w:val="48"/>
        </w:rPr>
        <w:t xml:space="preserve">PART III</w:t>
      </w:r>
    </w:p>
    <w:p>
      <w:pPr>
        <w:pBdr>
          <w:bottom w:val="single" w:color="B55334" w:sz="12"/>
        </w:pBdr>
        <w:spacing w:after="80" w:before="0"/>
        <w:jc w:val="left"/>
      </w:pPr>
      <w:r>
        <w:rPr>
          <w:rFonts w:ascii="Georgia" w:cs="Georgia" w:eastAsia="Georgia" w:hAnsi="Georgia"/>
          <w:b/>
          <w:bCs/>
          <w:color w:val="1A4731"/>
          <w:sz w:val="52"/>
          <w:szCs w:val="52"/>
        </w:rPr>
        <w:t xml:space="preserve">THE THEORY</w:t>
      </w:r>
    </w:p>
    <w:p>
      <w:pPr>
        <w:spacing w:after="0" w:before="60"/>
      </w:pPr>
      <w:r>
        <w:rPr>
          <w:rFonts w:ascii="Georgia" w:cs="Georgia" w:eastAsia="Georgia" w:hAnsi="Georgia"/>
          <w:i/>
          <w:iCs/>
          <w:color w:val="5C5C5C"/>
          <w:sz w:val="22"/>
          <w:szCs w:val="22"/>
        </w:rPr>
        <w:t xml:space="preserve">The Three-Systems Connection Theory, the Four Constitutional Foundations, and the Intelligent Digital Health Systems Integration Architecture</w:t>
      </w:r>
    </w:p>
    <w:p>
      <w:r>
        <w:br w:type="page"/>
      </w:r>
    </w:p>
    <w:p>
      <w:pPr>
        <w:pStyle w:val="Heading1"/>
        <w:shd w:fill="1A4731" w:val="clear"/>
        <w:spacing w:after="0" w:before="400"/>
      </w:pPr>
      <w:r>
        <w:rPr>
          <w:rFonts w:ascii="Georgia" w:cs="Georgia" w:eastAsia="Georgia" w:hAnsi="Georgia"/>
          <w:b/>
          <w:bCs/>
          <w:color w:val="7BC99A"/>
          <w:sz w:val="18"/>
          <w:szCs w:val="18"/>
        </w:rPr>
        <w:t xml:space="preserve">8  </w:t>
      </w:r>
      <w:r>
        <w:rPr>
          <w:rFonts w:ascii="Georgia" w:cs="Georgia" w:eastAsia="Georgia" w:hAnsi="Georgia"/>
          <w:b/>
          <w:bCs/>
          <w:color w:val="FFFFFF"/>
          <w:sz w:val="34"/>
          <w:szCs w:val="34"/>
        </w:rPr>
        <w:t xml:space="preserve">THE THREE-SYSTEMS CONNECTION THEORY</w:t>
      </w:r>
    </w:p>
    <w:p>
      <w:pPr>
        <w:pBdr>
          <w:bottom w:val="single" w:color="B55334"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1A4731" w:sz="8"/>
              <w:left w:val="single" w:color="1A4731" w:sz="8"/>
              <w:bottom w:val="single" w:color="1A4731" w:sz="8"/>
              <w:right w:val="single" w:color="1A4731" w:sz="8"/>
            </w:tcBorders>
            <w:shd w:fill="1A4731" w:val="clear"/>
            <w:tcMar>
              <w:top w:type="dxa" w:w="200"/>
              <w:left w:type="dxa" w:w="280"/>
              <w:bottom w:type="dxa" w:w="200"/>
              <w:right w:type="dxa" w:w="280"/>
            </w:tcMar>
          </w:tcPr>
          <w:p>
            <w:pPr>
              <w:spacing w:after="20" w:before="0"/>
              <w:jc w:val="left"/>
            </w:pPr>
            <w:r>
              <w:rPr>
                <w:rFonts w:ascii="Georgia" w:cs="Georgia" w:eastAsia="Georgia" w:hAnsi="Georgia"/>
                <w:b/>
                <w:bCs/>
                <w:color w:val="7BC99A"/>
                <w:sz w:val="18"/>
                <w:szCs w:val="18"/>
              </w:rPr>
              <w:t xml:space="preserve">THE ORIGINAL DIAGNOSIS</w:t>
            </w:r>
          </w:p>
          <w:p>
            <w:pPr>
              <w:spacing w:after="20" w:before="0"/>
              <w:jc w:val="left"/>
            </w:pPr>
            <w:r>
              <w:rPr>
                <w:rFonts w:ascii="Georgia" w:cs="Georgia" w:eastAsia="Georgia" w:hAnsi="Georgia"/>
                <w:b/>
                <w:bCs/>
                <w:color w:val="FFFFFF"/>
                <w:sz w:val="30"/>
                <w:szCs w:val="30"/>
              </w:rPr>
              <w:t xml:space="preserve">Sierra Leone's community health crisis is not a CHW performance problem.</w:t>
            </w:r>
          </w:p>
          <w:p>
            <w:pPr>
              <w:spacing w:after="20" w:before="0"/>
              <w:jc w:val="left"/>
            </w:pPr>
            <w:r>
              <w:rPr>
                <w:rFonts w:ascii="Georgia" w:cs="Georgia" w:eastAsia="Georgia" w:hAnsi="Georgia"/>
                <w:b/>
                <w:bCs/>
                <w:color w:val="7BC99A"/>
                <w:sz w:val="30"/>
                <w:szCs w:val="30"/>
              </w:rPr>
              <w:t xml:space="preserve">It is a systems disconnection problem.</w:t>
            </w:r>
          </w:p>
          <w:p>
            <w:pPr>
              <w:spacing w:after="0" w:before="0"/>
              <w:jc w:val="both"/>
            </w:pPr>
            <w:r>
              <w:rPr>
                <w:rFonts w:ascii="Georgia" w:cs="Georgia" w:eastAsia="Georgia" w:hAnsi="Georgia"/>
                <w:color w:val="FFFFFF"/>
                <w:sz w:val="20"/>
                <w:szCs w:val="20"/>
              </w:rPr>
              <w:t xml:space="preserve">Three systems that must govern community health together have been operating in near-total isolation for decades. Every programme that treated CHW performance as the primary problem failed because it addressed a symptom while leaving the disconnection — the disease — untreated.</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8.1  Why the Standard Diagnosis Is Wrong</w:t>
      </w:r>
    </w:p>
    <w:p>
      <w:pPr>
        <w:spacing w:after="140" w:before="0"/>
        <w:jc w:val="both"/>
      </w:pPr>
      <w:r>
        <w:rPr>
          <w:rFonts w:ascii="Georgia" w:cs="Georgia" w:eastAsia="Georgia" w:hAnsi="Georgia"/>
          <w:b w:val="false"/>
          <w:bCs w:val="false"/>
          <w:i w:val="false"/>
          <w:iCs w:val="false"/>
          <w:color w:val="252525"/>
          <w:sz w:val="24"/>
          <w:szCs w:val="24"/>
        </w:rPr>
        <w:t xml:space="preserve">The standard diagnosis of Sierra Leone's community health crisis runs as follows: CHWs are poorly trained, inadequately equipped, insufficiently supervised, and uncompensated — therefore if we address these four deficiencies, health outcomes will improve. This diagnosis is not false. CHWs in Sierra Leone have historically been all of these things. But the diagnosis is incomplete in a way that has made every previous solution temporary.</w:t>
      </w:r>
    </w:p>
    <w:p>
      <w:pPr>
        <w:spacing w:after="140" w:before="0"/>
        <w:jc w:val="both"/>
      </w:pPr>
      <w:r>
        <w:rPr>
          <w:rFonts w:ascii="Georgia" w:cs="Georgia" w:eastAsia="Georgia" w:hAnsi="Georgia"/>
          <w:b w:val="false"/>
          <w:bCs w:val="false"/>
          <w:i w:val="false"/>
          <w:iCs w:val="false"/>
          <w:color w:val="252525"/>
          <w:sz w:val="24"/>
          <w:szCs w:val="24"/>
        </w:rPr>
        <w:t xml:space="preserve">A CHW who is well trained, well equipped, well supervised, and appropriately compensated but operating inside a disconnected system — where traditional authority structures have no role in health governance, where community surveillance intelligence never reaches DHMT planning, and where the government health system remains institutionally and geographically distant — is a high-performing individual inside a failing system. Individual performance improvements in a disconnected system produce episodic health gains during the programme cycle and systemic collapse when the programme ends. The gains disappear because the system that produced the need for those gains has not changed.</w:t>
      </w:r>
    </w:p>
    <w:p>
      <w:pPr>
        <w:pStyle w:val="Heading2"/>
        <w:pBdr>
          <w:bottom w:val="single" w:color="EAF3EE" w:sz="4"/>
        </w:pBdr>
        <w:spacing w:after="100" w:before="280"/>
      </w:pPr>
      <w:r>
        <w:rPr>
          <w:rFonts w:ascii="Georgia" w:cs="Georgia" w:eastAsia="Georgia" w:hAnsi="Georgia"/>
          <w:b/>
          <w:bCs/>
          <w:color w:val="1A4731"/>
          <w:sz w:val="28"/>
          <w:szCs w:val="28"/>
        </w:rPr>
        <w:t xml:space="preserve">8.2  The Three Systems</w:t>
      </w:r>
    </w:p>
    <w:p>
      <w:pPr>
        <w:pStyle w:val="Heading3"/>
        <w:spacing w:after="80" w:before="220"/>
      </w:pPr>
      <w:r>
        <w:rPr>
          <w:rFonts w:ascii="Georgia" w:cs="Georgia" w:eastAsia="Georgia" w:hAnsi="Georgia"/>
          <w:b/>
          <w:bCs/>
          <w:color w:val="2D6A4F"/>
          <w:sz w:val="24"/>
          <w:szCs w:val="24"/>
        </w:rPr>
        <w:t xml:space="preserve">System One — The Traditional Authority System</w:t>
      </w:r>
    </w:p>
    <w:p>
      <w:pPr>
        <w:spacing w:after="140" w:before="0"/>
        <w:jc w:val="both"/>
      </w:pPr>
      <w:r>
        <w:rPr>
          <w:rFonts w:ascii="Georgia" w:cs="Georgia" w:eastAsia="Georgia" w:hAnsi="Georgia"/>
          <w:b w:val="false"/>
          <w:bCs w:val="false"/>
          <w:i w:val="false"/>
          <w:iCs w:val="false"/>
          <w:color w:val="252525"/>
          <w:sz w:val="24"/>
          <w:szCs w:val="24"/>
        </w:rPr>
        <w:t xml:space="preserve">The Traditional Authority System comprises Paramount Chiefs, Section Chiefs, Bondo and Poro societies, women's governance networks, farmers' cooperatives, and the full infrastructure of community social governance through which chieftaincy authority is exercised in Sierra Leone's communities. This system has been present in Sierra Leone's governance architecture longer than any other institution. It holds three forms of authority that no external programme can replicate or substitute for: social legitimacy — the community's fundamental belief that traditional authority has the right to govern community affairs; social enforcement capacity — the tools to ensure community compliance with governance decisions without requiring government legal enforcement; and embedded knowledge — an understanding of community social dynamics, resource distribution, and vulnerability that no external assessment can fully access from outside.</w:t>
      </w:r>
    </w:p>
    <w:p>
      <w:pPr>
        <w:spacing w:after="140" w:before="0"/>
        <w:jc w:val="both"/>
      </w:pPr>
      <w:r>
        <w:rPr>
          <w:rFonts w:ascii="Georgia" w:cs="Georgia" w:eastAsia="Georgia" w:hAnsi="Georgia"/>
          <w:b w:val="false"/>
          <w:bCs w:val="false"/>
          <w:i w:val="false"/>
          <w:iCs w:val="false"/>
          <w:color w:val="252525"/>
          <w:sz w:val="24"/>
          <w:szCs w:val="24"/>
        </w:rPr>
        <w:t xml:space="preserve">The Traditional Authority System has been treated as a community engagement mechanism in every external health programme Sierra Leone has hosted. A stakeholder to be consulted before implementation begins. A channel for community mobilisation. A political formality to be observed and then moved past. This treatment profoundly misreads what traditional authority actually is in Sierra Leone's governance landscape. It is not a consultation mechanism. It is a governing authority. The REACH 360° Framework is the first community health architecture to treat it as such — and to give it defined, enforceable, accountable governance power within the TACGS pillar's TRIAD Governance Protocol.</w:t>
      </w:r>
    </w:p>
    <w:p>
      <w:pPr>
        <w:pStyle w:val="Heading3"/>
        <w:spacing w:after="80" w:before="220"/>
      </w:pPr>
      <w:r>
        <w:rPr>
          <w:rFonts w:ascii="Georgia" w:cs="Georgia" w:eastAsia="Georgia" w:hAnsi="Georgia"/>
          <w:b/>
          <w:bCs/>
          <w:color w:val="2D6A4F"/>
          <w:sz w:val="24"/>
          <w:szCs w:val="24"/>
        </w:rPr>
        <w:t xml:space="preserve">System Two — The Government Health System</w:t>
      </w:r>
    </w:p>
    <w:p>
      <w:pPr>
        <w:spacing w:after="140" w:before="0"/>
        <w:jc w:val="both"/>
      </w:pPr>
      <w:r>
        <w:rPr>
          <w:rFonts w:ascii="Georgia" w:cs="Georgia" w:eastAsia="Georgia" w:hAnsi="Georgia"/>
          <w:b w:val="false"/>
          <w:bCs w:val="false"/>
          <w:i w:val="false"/>
          <w:iCs w:val="false"/>
          <w:color w:val="252525"/>
          <w:sz w:val="24"/>
          <w:szCs w:val="24"/>
        </w:rPr>
        <w:t xml:space="preserve">The Government Health System comprises the Ministry of Health, District Health Management Teams, Peripheral Health Units, national programme directorates, and the formal architecture of Sierra Leone's health sector. This system holds legal authority over health resource allocation and clinical standards. It has technical capacity in clinical knowledge, epidemiological training, and programme management. And it has access to national and international resources — government budgets, donor financing, and global health technical assistance — that no other system in Sierra Leone's community health landscape can independently access.</w:t>
      </w:r>
    </w:p>
    <w:p>
      <w:pPr>
        <w:spacing w:after="140" w:before="0"/>
        <w:jc w:val="both"/>
      </w:pPr>
      <w:r>
        <w:rPr>
          <w:rFonts w:ascii="Georgia" w:cs="Georgia" w:eastAsia="Georgia" w:hAnsi="Georgia"/>
          <w:b w:val="false"/>
          <w:bCs w:val="false"/>
          <w:i w:val="false"/>
          <w:iCs w:val="false"/>
          <w:color w:val="252525"/>
          <w:sz w:val="24"/>
          <w:szCs w:val="24"/>
        </w:rPr>
        <w:t xml:space="preserve">The Government Health System's critical structural weakness is distance — institutional, geographic, and social distance from the communities it is designed to serve. DHMTs are based in district towns. PHUs serve catchment areas limited by staffing constraints and road accessibility. The communities with the highest disease burden are exactly the communities most distant from the Government Health System's functional reach. ProcCHWs exist to bridge this distance — but only when they are genuinely integrated into the Government Health System's data architecture, supply chain, and governance structures, not when they create the appearance of reach without the reality of system connection.</w:t>
      </w:r>
    </w:p>
    <w:p>
      <w:pPr>
        <w:pStyle w:val="Heading3"/>
        <w:spacing w:after="80" w:before="220"/>
      </w:pPr>
      <w:r>
        <w:rPr>
          <w:rFonts w:ascii="Georgia" w:cs="Georgia" w:eastAsia="Georgia" w:hAnsi="Georgia"/>
          <w:b/>
          <w:bCs/>
          <w:color w:val="2D6A4F"/>
          <w:sz w:val="24"/>
          <w:szCs w:val="24"/>
        </w:rPr>
        <w:t xml:space="preserve">System Three — The Community Epidemiological System</w:t>
      </w:r>
    </w:p>
    <w:p>
      <w:pPr>
        <w:spacing w:after="140" w:before="0"/>
        <w:jc w:val="both"/>
      </w:pPr>
      <w:r>
        <w:rPr>
          <w:rFonts w:ascii="Georgia" w:cs="Georgia" w:eastAsia="Georgia" w:hAnsi="Georgia"/>
          <w:b w:val="false"/>
          <w:bCs w:val="false"/>
          <w:i w:val="false"/>
          <w:iCs w:val="false"/>
          <w:color w:val="252525"/>
          <w:sz w:val="24"/>
          <w:szCs w:val="24"/>
        </w:rPr>
        <w:t xml:space="preserve">The Community Epidemiological System is the most original element of the REACH 360° Framework's theoretical architecture and the system that has been most completely invisible to every previous community health framework applied in Sierra Leone. It is the health intelligence that communities themselves hold and generate — and it is, in Sierra Leone's post-Ebola context, the most current and most proximate health intelligence available anywhere in the country.</w:t>
      </w:r>
    </w:p>
    <w:p>
      <w:pPr>
        <w:spacing w:after="140" w:before="0"/>
        <w:jc w:val="both"/>
      </w:pPr>
      <w:r>
        <w:rPr>
          <w:rFonts w:ascii="Georgia" w:cs="Georgia" w:eastAsia="Georgia" w:hAnsi="Georgia"/>
          <w:b w:val="false"/>
          <w:bCs w:val="false"/>
          <w:i w:val="false"/>
          <w:iCs w:val="false"/>
          <w:color w:val="252525"/>
          <w:sz w:val="24"/>
          <w:szCs w:val="24"/>
        </w:rPr>
        <w:t xml:space="preserve">This system has three components. First: the epidemiological knowledge that communities in Eastern Province and across Sierra Leone generated during the 2014–2016 Ebola outbreak — the disease detection capabilities, contact tracing instincts, risk communication networks, and community emergency response protocols that communities developed through the experience of survival. This knowledge is not held in any database or documentation system. It is held in communities — in the memory of survivors, in the social networks through which health information flows. Second: the informal health surveillance that every community conducts continuously — community-level awareness of seasonal disease patterns, monitoring of which households have sick children, knowledge of water sources contaminated in the dry season. Third: the community-level mapping of vulnerability — which families cannot afford transport to the PHU, which mothers have been missed in every previous programme, which children have never received a vaccine.</w:t>
      </w:r>
    </w:p>
    <w:p>
      <w:pPr>
        <w:spacing w:after="140" w:before="0"/>
        <w:jc w:val="both"/>
      </w:pPr>
      <w:r>
        <w:rPr>
          <w:rFonts w:ascii="Georgia" w:cs="Georgia" w:eastAsia="Georgia" w:hAnsi="Georgia"/>
          <w:b w:val="false"/>
          <w:bCs w:val="false"/>
          <w:i w:val="false"/>
          <w:iCs w:val="false"/>
          <w:color w:val="252525"/>
          <w:sz w:val="24"/>
          <w:szCs w:val="24"/>
        </w:rPr>
        <w:t xml:space="preserve">The REACH 360° Framework's Community Epidemiological Intelligence Network formalises this system — activating what communities already know and connecting it to the national health information architecture through DHIS2, not replacing it with something new.</w:t>
      </w:r>
    </w:p>
    <w:p>
      <w:pPr>
        <w:pStyle w:val="Heading2"/>
        <w:pBdr>
          <w:bottom w:val="single" w:color="EAF3EE" w:sz="4"/>
        </w:pBdr>
        <w:spacing w:after="100" w:before="280"/>
      </w:pPr>
      <w:r>
        <w:rPr>
          <w:rFonts w:ascii="Georgia" w:cs="Georgia" w:eastAsia="Georgia" w:hAnsi="Georgia"/>
          <w:b/>
          <w:bCs/>
          <w:color w:val="1A4731"/>
          <w:sz w:val="28"/>
          <w:szCs w:val="28"/>
        </w:rPr>
        <w:t xml:space="preserve">8.3  The Connection Mechanism — ProcCHW as Systems Connector</w:t>
      </w:r>
    </w:p>
    <w:p>
      <w:pPr>
        <w:spacing w:after="140" w:before="0"/>
        <w:jc w:val="both"/>
      </w:pPr>
      <w:r>
        <w:rPr>
          <w:rFonts w:ascii="Georgia" w:cs="Georgia" w:eastAsia="Georgia" w:hAnsi="Georgia"/>
          <w:b w:val="false"/>
          <w:bCs w:val="false"/>
          <w:i w:val="false"/>
          <w:iCs w:val="false"/>
          <w:color w:val="252525"/>
          <w:sz w:val="24"/>
          <w:szCs w:val="24"/>
        </w:rPr>
        <w:t xml:space="preserve">The repositioning of the Community Health Worker from service delivery agent to systems connector is the theoretical contribution that makes the REACH 360° Framework original. The ProcCHW is the human infrastructure through which the three systems exchange intelligence, align authority, and govern community health together. This is not an additional function layered on top of service delivery. It is the primary function — from which service delivery quality, sustainability, and equity all derive.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Dimension</w:t>
            </w:r>
          </w:p>
        </w:tc>
        <w:tc>
          <w:tcPr>
            <w:tcW w:type="dxa" w:w="30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CHW as Service Delivery Agent</w:t>
            </w:r>
          </w:p>
        </w:tc>
        <w:tc>
          <w:tcPr>
            <w:tcW w:type="dxa" w:w="39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ProcCHW as Systems Connector</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Primary Function</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Deliver health services to registered households</w:t>
            </w:r>
          </w:p>
        </w:tc>
        <w:tc>
          <w:tcPr>
            <w:tcW w:type="dxa" w:w="3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Connect the Traditional Authority System, Government Health System, and Community Epidemiological System so they function as an integrated governance whole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Performance Measurement</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Services delivered: households visited, cases treated, vaccines tracked, referrals made</w:t>
            </w:r>
          </w:p>
        </w:tc>
        <w:tc>
          <w:tcPr>
            <w:tcW w:type="dxa" w:w="3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Connection quality: are the three systems exchanging intelligence, aligning authority, and governing health together because this ProcCHW is present? — measured through the Connection Quality Index</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Primary Accountability</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To the programme that trains, equips, and supervises them</w:t>
            </w:r>
          </w:p>
        </w:tc>
        <w:tc>
          <w:tcPr>
            <w:tcW w:type="dxa" w:w="3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To all three systems simultaneously — traditional authority (nomination and endorsement), government health authority (appointment co-signature and data ownership), and community self-governance (CHC review and Open House accountability)</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Programme Success Criterion</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High output metrics maintained for the duration of the programme cycle</w:t>
            </w:r>
          </w:p>
        </w:tc>
        <w:tc>
          <w:tcPr>
            <w:tcW w:type="dxa" w:w="3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 systems continuing to govern community health together after iREACHE LASTMILE reduces its programme presence — measured through the Connection Quality Index 30% presence reduction test</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Equity Logic</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Equity means all households receiving comparable service quality</w:t>
            </w:r>
          </w:p>
        </w:tc>
        <w:tc>
          <w:tcPr>
            <w:tcW w:type="dxa" w:w="3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Equity means all three systems functioning as an integrated whole in all communities including the most marginalised — because the most disconnected communities are always the most marginalised</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Role of IDHS</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Digital tools help CHW record, report, and access clinical protocols</w:t>
            </w:r>
          </w:p>
        </w:tc>
        <w:tc>
          <w:tcPr>
            <w:tcW w:type="dxa" w:w="3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processes data from all three systems simultaneously to surface intelligence that no single system generates alone — making the ProcCHW a more effective connector, not a more efficient service agent</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9  </w:t>
      </w:r>
      <w:r>
        <w:rPr>
          <w:rFonts w:ascii="Georgia" w:cs="Georgia" w:eastAsia="Georgia" w:hAnsi="Georgia"/>
          <w:b/>
          <w:bCs/>
          <w:color w:val="FFFFFF"/>
          <w:sz w:val="34"/>
          <w:szCs w:val="34"/>
        </w:rPr>
        <w:t xml:space="preserve">THE FOUR CONSTITUTIONAL FOUNDATIONS</w:t>
      </w:r>
    </w:p>
    <w:p>
      <w:pPr>
        <w:pBdr>
          <w:bottom w:val="single" w:color="B55334" w:sz="8"/>
        </w:pBdr>
        <w:spacing w:after="200" w:before="0"/>
      </w:pPr>
      <w:r>
        <w:rPr>
          <w:sz w:val="2"/>
          <w:szCs w:val="2"/>
        </w:rPr>
        <w:t xml:space="preserve"/>
      </w:r>
    </w:p>
    <w:p>
      <w:pPr>
        <w:spacing w:after="140" w:before="0"/>
        <w:jc w:val="both"/>
      </w:pPr>
      <w:r>
        <w:rPr>
          <w:rFonts w:ascii="Georgia" w:cs="Georgia" w:eastAsia="Georgia" w:hAnsi="Georgia"/>
          <w:b w:val="false"/>
          <w:bCs w:val="false"/>
          <w:i w:val="false"/>
          <w:iCs w:val="false"/>
          <w:color w:val="252525"/>
          <w:sz w:val="24"/>
          <w:szCs w:val="24"/>
        </w:rPr>
        <w:t xml:space="preserve">The Four Constitutional Foundations are Sierra Leone's specific starting conditions that precede every design decision in the REACH 360° Framework — including every IDHS design decision. They are not in any international framework because they are specific to Sierra Leone. They are not negotiable programme design choices. They are constitutional facts of Sierra Leone's governance, policy, history, and institutional architecture that any community health framework must account for fully or fail because of its failure to account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00"/>
        <w:gridCol w:w="1760"/>
      </w:tblGrid>
      <w:tr>
        <w:trPr>
          <w:tblHeader/>
        </w:trPr>
        <w:tc>
          <w:tcPr>
            <w:tcW w:type="dxa" w:w="1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Foundation</w:t>
            </w:r>
          </w:p>
        </w:tc>
        <w:tc>
          <w:tcPr>
            <w:tcW w:type="dxa" w:w="3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What It Is</w:t>
            </w:r>
          </w:p>
        </w:tc>
        <w:tc>
          <w:tcPr>
            <w:tcW w:type="dxa" w:w="2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How the REACH 360° Framework Responds</w:t>
            </w:r>
          </w:p>
        </w:tc>
        <w:tc>
          <w:tcPr>
            <w:tcW w:type="dxa" w:w="17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Implication</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ONE — Chieftaincy as Legitimate Health Governance Authority</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Paramount and Section Chiefs are governing authorities — not stakeholders — with real power over land, social relationships, community behaviour, and resource distribution in their chiefdoms. This authority predates the Sierra Leonean state.</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TACGS formalises traditional authority as a co-equal governing partner with defined decision-making domains in the TRIAD Governance Protocol. Traditional Authority Supply Stewardship gives chiefs formal commodity governance accountability. Chieftaincy Track gives chiefs a financing advocacy role.</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Every AI tool must pass the Traditional Authority Intelligibility dimension of the TRIAD AI Test. A Paramount Chief must be able to understand what the tool does and have formal authority to query its outputs.</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TWO — Free Healthcare Initiative as the Policy Universe</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Sierra Leone committed in 2010 to free health care for pregnant women, lactating mothers, and children under five. Communities have expectations about cost-free care that shape every dimension of the ProcCHW-household relationship.</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BRIDGE 360° LASTMILE CARE services delivered at no cost within FHC mandate. Community Transport Linkage Fund fills the gap between the FHC policy commitment and the household experience of that commitment. IDHS tools create no new cost barriers.</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tools must not create access conditions that effectively undermine the FHC commitment. Any AI tool that, in practice, redirects resources away from FHC-eligible populations — even through unintended algorithmic patterns — must be retrained.</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THREE — Post-Ebola Community Intelligence as a Health System Asset</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2014–2016 Ebola outbreak gave Sierra Leonean communities — particularly in Eastern Province — disease detection, risk communication, and emergency response capabilities that no training programme produced. These capabilities exist today.</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CEIN within the Community Intelligence and Surveillance System formalises these post-Ebola capabilities as a standing health system component — not a trauma legacy to manage but an epidemiological intelligence infrastructure to activate, govern, and integrate into national IDSR.</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outbreak detection models trained on CEIN data must be validated specifically against Ebola-affected community detection patterns. Sierra Leone's post-Ebola community intelligence is the training data. It must be treated as such — not proxied by data from different epidemiological contexts.</w:t>
            </w:r>
          </w:p>
        </w:tc>
      </w:tr>
      <w:tr>
        <w:trPr>
          <w:tblHeader w:val="false"/>
        </w:trPr>
        <w:tc>
          <w:tcPr>
            <w:tcW w:type="dxa" w:w="1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FOUR — Sixteen-District DHMT Architecture as the Implementation Universe</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Sierra Leone's health system is organised through 16 DHMTs with genuine governing authority over health resource allocation, staffing, and programme management in their districts. This is not an administrative convenience — it is the actual governance architecture through which health decisions are made.</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REACH 360° Framework operates within this architecture — not alongside it. iREACHE LASTMILE District Coordinators office inside DHMT facilities. All supervision is DHMT co-led. DHMTs co-sign all ProcCHW appointments. DHMTs access all programme data directly through DHIS2 without iREACHE intermediation.</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AI tools must be configured within DHIS2 instances that DHMTs access independently. No AI capability in separate technical architecture requiring iREACHE LASTMILE as intermediary between AI output and DHMT decision-maker.</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10  </w:t>
      </w:r>
      <w:r>
        <w:rPr>
          <w:rFonts w:ascii="Georgia" w:cs="Georgia" w:eastAsia="Georgia" w:hAnsi="Georgia"/>
          <w:b/>
          <w:bCs/>
          <w:color w:val="FFFFFF"/>
          <w:sz w:val="34"/>
          <w:szCs w:val="34"/>
        </w:rPr>
        <w:t xml:space="preserve">INTELLIGENT DIGITAL HEALTH SYSTEMS INTEGRATION</w:t>
      </w:r>
    </w:p>
    <w:p>
      <w:pPr>
        <w:pBdr>
          <w:bottom w:val="single" w:color="B55334" w:sz="8"/>
        </w:pBdr>
        <w:spacing w:after="200" w:before="0"/>
      </w:pPr>
      <w:r>
        <w:rPr>
          <w:sz w:val="2"/>
          <w:szCs w:val="2"/>
        </w:rPr>
        <w:t xml:space="preserve"/>
      </w:r>
    </w:p>
    <w:p>
      <w:pPr>
        <w:pBdr>
          <w:left w:val="thick" w:color="B55334" w:sz="18"/>
        </w:pBdr>
        <w:spacing w:after="200" w:before="200"/>
        <w:ind w:left="560" w:right="560"/>
        <w:jc w:val="both"/>
      </w:pPr>
      <w:r>
        <w:rPr>
          <w:rFonts w:ascii="Georgia" w:cs="Georgia" w:eastAsia="Georgia" w:hAnsi="Georgia"/>
          <w:b/>
          <w:bCs/>
          <w:i/>
          <w:iCs/>
          <w:color w:val="1A4731"/>
          <w:sz w:val="24"/>
          <w:szCs w:val="24"/>
        </w:rPr>
        <w:t xml:space="preserve">"Digital health tools are not the innovation. How they are governed, owned, and used in service of human connection — that is the innovation. Intelligent Digital Health Systems Integration in the REACH 360° Framework is not a technology programme. It is a governance principle implemented through technology."</w:t>
      </w:r>
    </w:p>
    <w:p>
      <w:pPr>
        <w:pStyle w:val="Heading2"/>
        <w:pBdr>
          <w:bottom w:val="single" w:color="EAF3EE" w:sz="4"/>
        </w:pBdr>
        <w:spacing w:after="100" w:before="280"/>
      </w:pPr>
      <w:r>
        <w:rPr>
          <w:rFonts w:ascii="Georgia" w:cs="Georgia" w:eastAsia="Georgia" w:hAnsi="Georgia"/>
          <w:b/>
          <w:bCs/>
          <w:color w:val="1A4731"/>
          <w:sz w:val="28"/>
          <w:szCs w:val="28"/>
        </w:rPr>
        <w:t xml:space="preserve">10.1  What Intelligent Digital Health Systems Integration Means</w:t>
      </w:r>
    </w:p>
    <w:p>
      <w:pPr>
        <w:spacing w:after="140" w:before="0"/>
        <w:jc w:val="both"/>
      </w:pPr>
      <w:r>
        <w:rPr>
          <w:rFonts w:ascii="Georgia" w:cs="Georgia" w:eastAsia="Georgia" w:hAnsi="Georgia"/>
          <w:b w:val="false"/>
          <w:bCs w:val="false"/>
          <w:i w:val="false"/>
          <w:iCs w:val="false"/>
          <w:color w:val="252525"/>
          <w:sz w:val="24"/>
          <w:szCs w:val="24"/>
        </w:rPr>
        <w:t xml:space="preserve">Intelligent Digital Health Systems Integration — IDHS — is the dimension of the REACH 360° Framework that deploys digital tools, including AI-assisted capabilities, within Sierra Leone's national government health information architecture to strengthen the three-systems connection that is the Framework's core purpose. IDHS is not a standalone pillar. It is a horizontal dimension that runs through all seven pillars — enhancing what each pillar does without substituting for the human systems, governance structures, and community relationships that each pillar is built on.</w:t>
      </w:r>
    </w:p>
    <w:p>
      <w:pPr>
        <w:spacing w:after="140" w:before="0"/>
        <w:jc w:val="both"/>
      </w:pPr>
      <w:r>
        <w:rPr>
          <w:rFonts w:ascii="Georgia" w:cs="Georgia" w:eastAsia="Georgia" w:hAnsi="Georgia"/>
          <w:b w:val="false"/>
          <w:bCs w:val="false"/>
          <w:i w:val="false"/>
          <w:iCs w:val="false"/>
          <w:color w:val="252525"/>
          <w:sz w:val="24"/>
          <w:szCs w:val="24"/>
        </w:rPr>
        <w:t xml:space="preserve">The word Intelligent distinguishes AI-enhanced tools from standard digital health tools — communicating that REACH 360° Framework's digital health investment includes machine learning, algorithmic decision support, and predictive analytics capabilities that standard DHIS2 configurations do not possess. The word Digital positions these capabilities within the established digital health policy frameworks of the WHO, UNICEF, FCDO, GAVI, and the Global Fund — using language that maps to donor investment categories and government policy frameworks. The word Integration names the design principle: all tools integrate into existing government systems rather than creating parallel architecture.</w:t>
      </w:r>
    </w:p>
    <w:p>
      <w:pPr>
        <w:pStyle w:val="Heading2"/>
        <w:pBdr>
          <w:bottom w:val="single" w:color="EAF3EE" w:sz="4"/>
        </w:pBdr>
        <w:spacing w:after="100" w:before="280"/>
      </w:pPr>
      <w:r>
        <w:rPr>
          <w:rFonts w:ascii="Georgia" w:cs="Georgia" w:eastAsia="Georgia" w:hAnsi="Georgia"/>
          <w:b/>
          <w:bCs/>
          <w:color w:val="1A4731"/>
          <w:sz w:val="28"/>
          <w:szCs w:val="28"/>
        </w:rPr>
        <w:t xml:space="preserve">10.2  IDHS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Principle</w:t>
            </w:r>
          </w:p>
        </w:tc>
        <w:tc>
          <w:tcPr>
            <w:tcW w:type="dxa" w:w="4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What It Means</w:t>
            </w:r>
          </w:p>
        </w:tc>
        <w:tc>
          <w:tcPr>
            <w:tcW w:type="dxa" w:w="27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What Failure Looks Like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Human systems first</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No IDHS tool is deployed until the human system it supports is established and functioning. PCHDS proactive visits must be operational before AI visit scheduling is activated. Supply chain data quality must reach 90%+ before AI demand forecasting is deployed.</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demand forecasting deployed before ProcCHW stock reporting is accurate — the AI amplifies errors in the underlying data rather than improving supply chain performance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Government platform, always</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Every IDHS tool operates within Sierra Leone's national government health information architecture — DHIS2, eLMIS, and national health information systems. No proprietary iREACHE LASTMILE platforms. DHMTs access all AI outputs directly without iREACHE intermediation.</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 builds a proprietary AI dashboard. When iREACHE funding ends, the dashboard disappears and with it the community health intelligence it was generating.</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TRIAD AI Test mandatory</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Every IDHS tool passes three governance tests before deployment: Traditional Authority Intelligibility — can a chief understand it and formally query it? Government Health Authority Ownership — does DHMT access it independently? Community Self-Governance Contestability — can CHCs challenge its outputs through TRIAD Protocol?</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 AI tool affecting household visit scheduling is deployed without CHC knowledge. Communities cannot contest why their household is consistently deprioritised. AI governance operates above community authority.</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Equity validation mandatory</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Every AI model validated for equitable performance across community types — accessible vs hard-to-reach, male-headed vs female-headed households, high-data-quality vs low-data-quality communities — before district-wide deployment.</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zero-dose prediction model performs well in communities with complete household registration data but systematically underestimates risk in communities with data gaps — which are typically the most marginalised.</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ProcCHW judgment is primary</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alerts are suggestions, not prescriptions. The healthy AI alert override rate is 5–20%. Below 5% indicates automation bias — ProcCHW over-deferring to AI. Above 20% indicates model accuracy problems. Both ranges trigger investigation.</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 ProcCHW follows an AI danger sign alert to refer a patient even though their direct clinical observation indicates the patient is not in danger. The referral causes unnecessary travel cost and facility visit for a patient who did not need it.</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Open-source tools only</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No proprietary AI models requiring vendor licensing. All IDHS tools use open-source frameworks — DHIS2 program rules, TensorFlow, OR-Tools, Prophet — that the Sierra Leone government can independently operate, modify, and retrain without iREACHE LASTMILE or commercial vendor.</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 licenses a proprietary AI clinical decision support tool. Vendor raises licensing fees. Government cannot afford continuation. AI capability disappears at the moment the programme needs it most — at scale.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Published and peer-reviewed</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Every IDHS application generates a pre-registered evaluation submitted for peer review — including applications that underperform or fail. AI Learning Briefs published quarterly. iREACHE LASTMILE contributes to global knowledge about responsible IDHS in community health.</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tool failures are not reported because they create reputational risk. Global community health field does not learn from Sierra Leone's experience. The same mistake is repeated elsewhere.</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10.3  IDHS Applications Across Seven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600"/>
        <w:gridCol w:w="1760"/>
      </w:tblGrid>
      <w:tr>
        <w:trPr>
          <w:tblHeader/>
        </w:trPr>
        <w:tc>
          <w:tcPr>
            <w:tcW w:type="dxa" w:w="2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Pillar</w:t>
            </w:r>
          </w:p>
        </w:tc>
        <w:tc>
          <w:tcPr>
            <w:tcW w:type="dxa" w:w="3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Application</w:t>
            </w:r>
          </w:p>
        </w:tc>
        <w:tc>
          <w:tcPr>
            <w:tcW w:type="dxa" w:w="26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Technical Architecture</w:t>
            </w:r>
          </w:p>
        </w:tc>
        <w:tc>
          <w:tcPr>
            <w:tcW w:type="dxa" w:w="17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Deployment Phase</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Connected Health Workforce</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Predictive attrition modelling; personalised supervisory visit agenda generation; PBI integrity anomaly detection; career progression analytics</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Logistic regression on platform engagement metrics; statistical anomaly detection on PBI scores; runs within DHIS2 HR module</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Attrition + PBI: Activation Phase 2027. Personalised agenda: Integration Phase 2028.</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CISS</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outbreak signal detection within DHIS2 IDSR module; zero-dose child prediction; CEIN community text classification; equity gap surfacing on district dashboard</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Statistical process control on IDSR syndrome data; logistic regression on household characteristics; NLP model trained on Krio health vocabulary (Year 3+)</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Outbreak detection + zero-dose: Integration Phase 2028. Krio NLP: Scale Phase 2030.</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LSCCS</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21-day stockout prediction; rainy season route optimisation; expiry date portfolio management; Traditional Authority Supply Steward automated alert</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ARIMA/Prophet time-series on consumption data within eLMIS server; OR-Tools route optimisation with LMH geospatial data; SMS gateway for TA Supply Steward</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Basic stockout alert: Activation Phase 2027. Full AI forecasting: Integration Phase 2028.</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SHFS</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Domestic financing scenario simulation for advocacy; PBI payment integrity monitoring; chieftaincy health performance summaries for Traditional Authority advocacy</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Health economic simulation model; automated chieftaincy dashboard in DHIS2; finance module integrity checks</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PBI integrity: Activation 2027. Financing simulation: Integration 2028. TA summaries: Scale 2029.</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TACGS</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feedback sentiment classification (contestable by CHCs); quarterly plain-language AI governance report generation; TRIAD AI Test compliance tracking</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Text classification on hotline contacts and scorecard narratives; automated quarterly report generator; TRIAD AI Test compliance dashboard within DHIS2</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Feedback classification: Activation 2027. Governance reports: Activation 2027. TRIAD tracking: Activation 2027.</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PCHDS</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iCCM danger sign pattern recognition; MUAC trajectory analysis with SAM prediction; obstetric emergency combination alert; zero-dose risk-stratified visit scheduling; agricultural calendar compliance analysis</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DHIS2 program rules for clinical alerts; time-series model on sequential MUAC measurements; logistic regression on immunisation risk factors; all tools offline-capable</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iCCM alerts + MUAC: Activation 2027. All PCHDS IDHS tools active by Integration Phase 2028.</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Strategic Partnerships</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literature synthesis for Learning Briefs; knowledge management system for Centre; policy simulation for government advocacy</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Open-source LLM for literature synthesis support; knowledge graph for Centre publications; health economic model for policy advocacy</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Knowledge management: Year 2. Policy simulation: Year 3. Literature synthesis: Year 3.</w:t>
            </w:r>
          </w:p>
        </w:tc>
      </w:tr>
    </w:tbl>
    <w:p>
      <w:r>
        <w:br w:type="page"/>
      </w:r>
    </w:p>
    <w:p>
      <w:r>
        <w:br w:type="page"/>
      </w:r>
    </w:p>
    <w:p>
      <w:pPr>
        <w:spacing w:after="80" w:before="1200"/>
        <w:jc w:val="left"/>
      </w:pPr>
      <w:r>
        <w:rPr>
          <w:rFonts w:ascii="Georgia" w:cs="Georgia" w:eastAsia="Georgia" w:hAnsi="Georgia"/>
          <w:b/>
          <w:bCs/>
          <w:color w:val="2D6A4F"/>
          <w:sz w:val="48"/>
          <w:szCs w:val="48"/>
        </w:rPr>
        <w:t xml:space="preserve">PART IV</w:t>
      </w:r>
    </w:p>
    <w:p>
      <w:pPr>
        <w:pBdr>
          <w:bottom w:val="single" w:color="B55334" w:sz="12"/>
        </w:pBdr>
        <w:spacing w:after="80" w:before="0"/>
        <w:jc w:val="left"/>
      </w:pPr>
      <w:r>
        <w:rPr>
          <w:rFonts w:ascii="Georgia" w:cs="Georgia" w:eastAsia="Georgia" w:hAnsi="Georgia"/>
          <w:b/>
          <w:bCs/>
          <w:color w:val="1A4731"/>
          <w:sz w:val="52"/>
          <w:szCs w:val="52"/>
        </w:rPr>
        <w:t xml:space="preserve">THE REACH 360° FRAMEWORK</w:t>
      </w:r>
    </w:p>
    <w:p>
      <w:pPr>
        <w:spacing w:after="0" w:before="60"/>
      </w:pPr>
      <w:r>
        <w:rPr>
          <w:rFonts w:ascii="Georgia" w:cs="Georgia" w:eastAsia="Georgia" w:hAnsi="Georgia"/>
          <w:i/>
          <w:iCs/>
          <w:color w:val="5C5C5C"/>
          <w:sz w:val="22"/>
          <w:szCs w:val="22"/>
        </w:rPr>
        <w:t xml:space="preserve">Architecture overview, seven-pillar design logic, equity spine, and IDHS integration architecture</w:t>
      </w:r>
    </w:p>
    <w:p>
      <w:r>
        <w:br w:type="page"/>
      </w:r>
    </w:p>
    <w:p>
      <w:pPr>
        <w:pStyle w:val="Heading1"/>
        <w:shd w:fill="1A4731" w:val="clear"/>
        <w:spacing w:after="0" w:before="400"/>
      </w:pPr>
      <w:r>
        <w:rPr>
          <w:rFonts w:ascii="Georgia" w:cs="Georgia" w:eastAsia="Georgia" w:hAnsi="Georgia"/>
          <w:b/>
          <w:bCs/>
          <w:color w:val="7BC99A"/>
          <w:sz w:val="18"/>
          <w:szCs w:val="18"/>
        </w:rPr>
        <w:t xml:space="preserve">11  </w:t>
      </w:r>
      <w:r>
        <w:rPr>
          <w:rFonts w:ascii="Georgia" w:cs="Georgia" w:eastAsia="Georgia" w:hAnsi="Georgia"/>
          <w:b/>
          <w:bCs/>
          <w:color w:val="FFFFFF"/>
          <w:sz w:val="34"/>
          <w:szCs w:val="34"/>
        </w:rPr>
        <w:t xml:space="preserve">THE REACH 360° FRAMEWORK — ARCHITECTURE AND OVERVIEW</w:t>
      </w:r>
    </w:p>
    <w:p>
      <w:pPr>
        <w:pBdr>
          <w:bottom w:val="single" w:color="B55334" w:sz="8"/>
        </w:pBdr>
        <w:spacing w:after="200" w:before="0"/>
      </w:pPr>
      <w:r>
        <w:rPr>
          <w:sz w:val="2"/>
          <w:szCs w:val="2"/>
        </w:rPr>
        <w:t xml:space="preserve"/>
      </w:r>
    </w:p>
    <w:p>
      <w:pPr>
        <w:pBdr>
          <w:left w:val="thick" w:color="B55334" w:sz="18"/>
        </w:pBdr>
        <w:spacing w:after="200" w:before="200"/>
        <w:ind w:left="560" w:right="560"/>
        <w:jc w:val="both"/>
      </w:pPr>
      <w:r>
        <w:rPr>
          <w:rFonts w:ascii="Georgia" w:cs="Georgia" w:eastAsia="Georgia" w:hAnsi="Georgia"/>
          <w:b/>
          <w:bCs/>
          <w:i/>
          <w:iCs/>
          <w:color w:val="1A4731"/>
          <w:sz w:val="24"/>
          <w:szCs w:val="24"/>
        </w:rPr>
        <w:t xml:space="preserve">"REACH 360° means complete rotation with no blind spots, full circle connection with self-sustaining governance, and full coverage with no person outside the circle of care. That is not a communications aspiration. It is a programme design specification enforced through the Equity Accountability Standard."</w:t>
      </w:r>
    </w:p>
    <w:p>
      <w:pPr>
        <w:pStyle w:val="Heading2"/>
        <w:pBdr>
          <w:bottom w:val="single" w:color="EAF3EE" w:sz="4"/>
        </w:pBdr>
        <w:spacing w:after="100" w:before="280"/>
      </w:pPr>
      <w:r>
        <w:rPr>
          <w:rFonts w:ascii="Georgia" w:cs="Georgia" w:eastAsia="Georgia" w:hAnsi="Georgia"/>
          <w:b/>
          <w:bCs/>
          <w:color w:val="1A4731"/>
          <w:sz w:val="28"/>
          <w:szCs w:val="28"/>
        </w:rPr>
        <w:t xml:space="preserve">11.1  The Framework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Level</w:t>
            </w:r>
          </w:p>
        </w:tc>
        <w:tc>
          <w:tcPr>
            <w:tcW w:type="dxa" w:w="2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Name</w:t>
            </w:r>
          </w:p>
        </w:tc>
        <w:tc>
          <w:tcPr>
            <w:tcW w:type="dxa" w:w="59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Content</w:t>
            </w:r>
          </w:p>
        </w:tc>
      </w:tr>
      <w:tr>
        <w:trPr>
          <w:tblHeader w:val="false"/>
        </w:trPr>
        <w:tc>
          <w:tcPr>
            <w:tcW w:type="dxa" w:w="1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1</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Global and National Foundation</w:t>
            </w:r>
          </w:p>
        </w:tc>
        <w:tc>
          <w:tcPr>
            <w:tcW w:type="dxa" w:w="5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WHO Health System Building Blocks (2007); PHC Alma-Ata 1978 and Astana 2018; UHC Framework; SDGs 1, 2, 3, 5, 10, 13, 17; WHO AI Ethics 2021; Sierra Leone NHSSP; National CHW Policy 2024; Vision 2030 CHW Programme; Free Healthcare Initiative 2010; Sierra Leone IDSR Framework; National eHealth and Digital Health Policy</w:t>
            </w:r>
          </w:p>
        </w:tc>
      </w:tr>
      <w:tr>
        <w:trPr>
          <w:tblHeader w:val="false"/>
        </w:trPr>
        <w:tc>
          <w:tcPr>
            <w:tcW w:type="dxa" w:w="1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2</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Theoretical Architecture</w:t>
            </w:r>
          </w:p>
        </w:tc>
        <w:tc>
          <w:tcPr>
            <w:tcW w:type="dxa" w:w="5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Three-Systems Connection Theory — Sierra Leone's community health crisis is a systems disconnection problem; Four Constitutional Foundations specific to Sierra Leone's governance reality; Equity as the structural spine of all seven pillars; Connection Quality Index as primary measurement architecture; Intelligent Digital Health Systems Integration as horizontal design dimension</w:t>
            </w:r>
          </w:p>
        </w:tc>
      </w:tr>
      <w:tr>
        <w:trPr>
          <w:tblHeader w:val="false"/>
        </w:trPr>
        <w:tc>
          <w:tcPr>
            <w:tcW w:type="dxa" w:w="1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3</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Seven REACH 360° Pillars</w:t>
            </w:r>
          </w:p>
        </w:tc>
        <w:tc>
          <w:tcPr>
            <w:tcW w:type="dxa" w:w="5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Connected Health Workforce (CHW) | Community Intelligence and Surveillance System (CISS) | Last-Mile Supply Chain and Commodity Access (LSCCS) | Sustainable Health Financing and Domestic Resource Mobilisation (SHFS) | Three-Authority Community Governance and Accountability (TACGS) | Proactive Community Health Service Delivery (PCHDS) | Driving Sustained Impact Through Strategic Partnerships</w:t>
            </w:r>
          </w:p>
        </w:tc>
      </w:tr>
      <w:tr>
        <w:trPr>
          <w:tblHeader w:val="false"/>
        </w:trPr>
        <w:tc>
          <w:tcPr>
            <w:tcW w:type="dxa" w:w="1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4</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Continuous Systems Cycle</w:t>
            </w:r>
          </w:p>
        </w:tc>
        <w:tc>
          <w:tcPr>
            <w:tcW w:type="dxa" w:w="5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LISTEN → MAP → CO-CREATE → CONNECT → DELIVER → MEASURE → LEARN → STRENGTHEN → SUSTAIN → SCALE — a closed loop returning to LISTEN at a higher level of system integration with each completed cycle</w:t>
            </w:r>
          </w:p>
        </w:tc>
      </w:tr>
      <w:tr>
        <w:trPr>
          <w:tblHeader w:val="false"/>
        </w:trPr>
        <w:tc>
          <w:tcPr>
            <w:tcW w:type="dxa" w:w="1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5</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Nine Programme Areas</w:t>
            </w:r>
          </w:p>
        </w:tc>
        <w:tc>
          <w:tcPr>
            <w:tcW w:type="dxa" w:w="5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Maternal and Newborn Health | Childhood Disease (iCCM) | Immunisation and Zero-Dose Reduction | Nutrition Systems | Sexual and Reproductive Health | Community Disease Surveillance | Intelligent Digital Health Systems | Last-Mile Health Supply Chain | Emergency Response and WASH</w:t>
            </w:r>
          </w:p>
        </w:tc>
      </w:tr>
      <w:tr>
        <w:trPr>
          <w:tblHeader w:val="false"/>
        </w:trPr>
        <w:tc>
          <w:tcPr>
            <w:tcW w:type="dxa" w:w="12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6</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Measurement Architecture</w:t>
            </w:r>
          </w:p>
        </w:tc>
        <w:tc>
          <w:tcPr>
            <w:tcW w:type="dxa" w:w="5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Output Impact (pillar KPIs) → Outcome Impact (health status) → Systems Impact (Connection Quality Index) → IDHS Impact (AI Readiness and Responsible Deployment Index) → Equity Impact (Equity Progress Threshold) → Stronger Community Health Systems | Better Outcomes | Government Capacity | Health Equity | Universal Health Coverage</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11.2  Equity as the Framework's Spine</w:t>
      </w:r>
    </w:p>
    <w:p>
      <w:pPr>
        <w:spacing w:after="140" w:before="0"/>
        <w:jc w:val="both"/>
      </w:pPr>
      <w:r>
        <w:rPr>
          <w:rFonts w:ascii="Georgia" w:cs="Georgia" w:eastAsia="Georgia" w:hAnsi="Georgia"/>
          <w:b w:val="false"/>
          <w:bCs w:val="false"/>
          <w:i w:val="false"/>
          <w:iCs w:val="false"/>
          <w:color w:val="252525"/>
          <w:sz w:val="24"/>
          <w:szCs w:val="24"/>
        </w:rPr>
        <w:t xml:space="preserve">Equity is not a cross-cutting theme in the REACH 360° Framework. It is the structural logic that determines why each pillar is designed the way it is. The reason the Framework starts with the three-systems connection theory rather than a CHW performance theory is an equity reason: the communities most excluded from health outcomes in Sierra Leone are not excluded because their CHWs perform badly — they are excluded because the three governance systems that should protect them are disconnected. The most disconnected communities are always the most marginalised.</w:t>
      </w:r>
    </w:p>
    <w:p>
      <w:pPr>
        <w:spacing w:after="140" w:before="0"/>
        <w:jc w:val="both"/>
      </w:pPr>
      <w:r>
        <w:rPr>
          <w:rFonts w:ascii="Georgia" w:cs="Georgia" w:eastAsia="Georgia" w:hAnsi="Georgia"/>
          <w:b w:val="false"/>
          <w:bCs w:val="false"/>
          <w:i w:val="false"/>
          <w:iCs w:val="false"/>
          <w:color w:val="252525"/>
          <w:sz w:val="24"/>
          <w:szCs w:val="24"/>
        </w:rPr>
        <w:t xml:space="preserve">Equity operates in the REACH 360° Framework at four simultaneous levels. Structural equity — changing the systems that produce inequitable outcomes. Targeting equity — resources, supervision intensity, and commodity priority weighted toward the most marginalised communities. Process equity — governance processes that are themselves equitable, including mandatory CHC representation standards. And outcomes equity — the narrowing of health outcome gaps between Sierra Leone's most and least advantaged communities, enforced through the Equity Accountability Standard's Equity Progress Threshold.</w:t>
      </w:r>
    </w:p>
    <w:p>
      <w:pPr>
        <w:pStyle w:val="Heading2"/>
        <w:pBdr>
          <w:bottom w:val="single" w:color="EAF3EE" w:sz="4"/>
        </w:pBdr>
        <w:spacing w:after="100" w:before="280"/>
      </w:pPr>
      <w:r>
        <w:rPr>
          <w:rFonts w:ascii="Georgia" w:cs="Georgia" w:eastAsia="Georgia" w:hAnsi="Georgia"/>
          <w:b/>
          <w:bCs/>
          <w:color w:val="1A4731"/>
          <w:sz w:val="28"/>
          <w:szCs w:val="28"/>
        </w:rPr>
        <w:t xml:space="preserve">11.3  The Seven-Pillar Integration Logic</w:t>
      </w:r>
    </w:p>
    <w:p>
      <w:pPr>
        <w:spacing w:after="140" w:before="0"/>
        <w:jc w:val="both"/>
      </w:pPr>
      <w:r>
        <w:rPr>
          <w:rFonts w:ascii="Georgia" w:cs="Georgia" w:eastAsia="Georgia" w:hAnsi="Georgia"/>
          <w:b w:val="false"/>
          <w:bCs w:val="false"/>
          <w:i w:val="false"/>
          <w:iCs w:val="false"/>
          <w:color w:val="252525"/>
          <w:sz w:val="24"/>
          <w:szCs w:val="24"/>
        </w:rPr>
        <w:t xml:space="preserve">The seven pillars are one integrated system — not parallel programmes. Each pillar is essential to the others. The failure of any single pillar undermines the whole.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rPr>
          <w:tblHeader/>
        </w:trPr>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If This Pillar Fails</w:t>
            </w:r>
          </w:p>
        </w:tc>
        <w:tc>
          <w:tcPr>
            <w:tcW w:type="dxa" w:w="73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This Is What Happens to the System</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Connected Health Workforce</w:t>
            </w:r>
          </w:p>
        </w:tc>
        <w:tc>
          <w:tcPr>
            <w:tcW w:type="dxa" w:w="7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There is no human infrastructure through which the three systems can exchange intelligence. ProcCHWs are the connectors. Without them functioning as triple-connected systems connectors — not service delivery agents — the entire framework is a theoretical document without an operational expression.</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CISS</w:t>
            </w:r>
          </w:p>
        </w:tc>
        <w:tc>
          <w:tcPr>
            <w:tcW w:type="dxa" w:w="7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intelligence remains invisible to government decision-making. DHMT planning remains blind to the most current and proximate health intelligence in Sierra Leone. Outbreak signals go undetected. Zero-dose children go unregistered. The information asymmetry that makes equity impossible persists.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LSCCS</w:t>
            </w:r>
          </w:p>
        </w:tc>
        <w:tc>
          <w:tcPr>
            <w:tcW w:type="dxa" w:w="7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ProcCHWs arrive at households with empty kits. The care model collapses because the care cannot be delivered. Community trust erodes when a ProcCHW visits but cannot treat. All other pillar investments are undermined by a supply chain that cannot sustain them.</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SHFS</w:t>
            </w:r>
          </w:p>
        </w:tc>
        <w:tc>
          <w:tcPr>
            <w:tcW w:type="dxa" w:w="7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programme becomes another donor-dependent initiative that collapses when the funding cycle ends. All other pillar achievements — the trained ProcCHWs, the functioning CEIN, the integrated supply chain, the governance structures — disappear with the programme. Sierra Leone's community health history repeats itself one more time.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TACGS</w:t>
            </w:r>
          </w:p>
        </w:tc>
        <w:tc>
          <w:tcPr>
            <w:tcW w:type="dxa" w:w="7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trust in the programme erodes. Traditional authority becomes a community mobilisation mechanism rather than a governing authority. Programme decisions are made without community governance. ProcCHW accountability to communities is aspirational rather than structural. The difference between an NGO-run programme and a community-governed system disappears.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PCHDS</w:t>
            </w:r>
          </w:p>
        </w:tc>
        <w:tc>
          <w:tcPr>
            <w:tcW w:type="dxa" w:w="7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care never reaches the communities that need it most. The framework's equity commitment exists on paper but not at the doorstep. Proactive care theory is validated in a document while reactive care practice continues in communities. The pulse of the system stops beating.</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Strategic Partnerships</w:t>
            </w:r>
          </w:p>
        </w:tc>
        <w:tc>
          <w:tcPr>
            <w:tcW w:type="dxa" w:w="7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framework generates no knowledge beyond its own communities. iREACHE LASTMILE's implementation experience contributes nothing to global learning. Sierra Leone's post-Ebola community health intelligence — which has something to teach the world — remains a local programme story rather than a global health evidence contribution.</w:t>
            </w:r>
          </w:p>
        </w:tc>
      </w:tr>
    </w:tbl>
    <w:p>
      <w:r>
        <w:br w:type="page"/>
      </w:r>
    </w:p>
    <w:p>
      <w:r>
        <w:br w:type="page"/>
      </w:r>
    </w:p>
    <w:p>
      <w:pPr>
        <w:spacing w:after="80" w:before="1200"/>
        <w:jc w:val="left"/>
      </w:pPr>
      <w:r>
        <w:rPr>
          <w:rFonts w:ascii="Georgia" w:cs="Georgia" w:eastAsia="Georgia" w:hAnsi="Georgia"/>
          <w:b/>
          <w:bCs/>
          <w:color w:val="2D6A4F"/>
          <w:sz w:val="48"/>
          <w:szCs w:val="48"/>
        </w:rPr>
        <w:t xml:space="preserve">PART V</w:t>
      </w:r>
    </w:p>
    <w:p>
      <w:pPr>
        <w:pBdr>
          <w:bottom w:val="single" w:color="B55334" w:sz="12"/>
        </w:pBdr>
        <w:spacing w:after="80" w:before="0"/>
        <w:jc w:val="left"/>
      </w:pPr>
      <w:r>
        <w:rPr>
          <w:rFonts w:ascii="Georgia" w:cs="Georgia" w:eastAsia="Georgia" w:hAnsi="Georgia"/>
          <w:b/>
          <w:bCs/>
          <w:color w:val="1A4731"/>
          <w:sz w:val="52"/>
          <w:szCs w:val="52"/>
        </w:rPr>
        <w:t xml:space="preserve">THE SEVEN PILLARS</w:t>
      </w:r>
    </w:p>
    <w:p>
      <w:pPr>
        <w:spacing w:after="0" w:before="60"/>
      </w:pPr>
      <w:r>
        <w:rPr>
          <w:rFonts w:ascii="Georgia" w:cs="Georgia" w:eastAsia="Georgia" w:hAnsi="Georgia"/>
          <w:i/>
          <w:iCs/>
          <w:color w:val="5C5C5C"/>
          <w:sz w:val="22"/>
          <w:szCs w:val="22"/>
        </w:rPr>
        <w:t xml:space="preserve">Each pillar addresses one WHO Health System Building Block with Sierra Leone's original contribution and Intelligent Digital Health Systems Integration</w:t>
      </w:r>
    </w:p>
    <w:p>
      <w:r>
        <w:br w:type="page"/>
      </w:r>
    </w:p>
    <w:p>
      <w:pPr>
        <w:pStyle w:val="Heading1"/>
        <w:shd w:fill="1A4731" w:val="clear"/>
        <w:spacing w:after="0" w:before="400"/>
      </w:pPr>
      <w:r>
        <w:rPr>
          <w:rFonts w:ascii="Georgia" w:cs="Georgia" w:eastAsia="Georgia" w:hAnsi="Georgia"/>
          <w:b/>
          <w:bCs/>
          <w:color w:val="7BC99A"/>
          <w:sz w:val="18"/>
          <w:szCs w:val="18"/>
        </w:rPr>
        <w:t xml:space="preserve">12  </w:t>
      </w:r>
      <w:r>
        <w:rPr>
          <w:rFonts w:ascii="Georgia" w:cs="Georgia" w:eastAsia="Georgia" w:hAnsi="Georgia"/>
          <w:b/>
          <w:bCs/>
          <w:color w:val="FFFFFF"/>
          <w:sz w:val="34"/>
          <w:szCs w:val="34"/>
        </w:rPr>
        <w:t xml:space="preserve">PILLAR 1 — CONNECTED HEALTH WORKFORCE</w:t>
      </w:r>
    </w:p>
    <w:p>
      <w:pPr>
        <w:pBdr>
          <w:bottom w:val="single" w:color="B55334"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1A4731" w:sz="6"/>
              <w:left w:val="single" w:color="1A4731" w:sz="6"/>
              <w:bottom w:val="single" w:color="1A4731" w:sz="6"/>
              <w:right w:val="single" w:color="1A4731" w:sz="6"/>
            </w:tcBorders>
            <w:shd w:fill="1A4731" w:val="clear"/>
            <w:tcMar>
              <w:top w:type="dxa" w:w="120"/>
              <w:left w:type="dxa" w:w="120"/>
              <w:bottom w:type="dxa" w:w="120"/>
              <w:right w:type="dxa" w:w="120"/>
            </w:tcMar>
            <w:vAlign w:val="center"/>
          </w:tcPr>
          <w:p>
            <w:pPr>
              <w:spacing w:after="20" w:before="0"/>
              <w:jc w:val="center"/>
            </w:pPr>
            <w:r>
              <w:rPr>
                <w:rFonts w:ascii="Georgia" w:cs="Georgia" w:eastAsia="Georgia" w:hAnsi="Georgia"/>
                <w:b/>
                <w:bCs/>
                <w:color w:val="7BC99A"/>
                <w:sz w:val="16"/>
                <w:szCs w:val="16"/>
              </w:rPr>
              <w:t xml:space="preserve">PILLAR 1</w:t>
            </w:r>
          </w:p>
          <w:p>
            <w:pPr>
              <w:spacing w:after="0" w:before="0"/>
              <w:jc w:val="center"/>
            </w:pPr>
            <w:r>
              <w:rPr>
                <w:rFonts w:ascii="Georgia" w:cs="Georgia" w:eastAsia="Georgia" w:hAnsi="Georgia"/>
                <w:b/>
                <w:bCs/>
                <w:color w:val="FFFFFF"/>
                <w:sz w:val="38"/>
                <w:szCs w:val="38"/>
              </w:rPr>
              <w:t xml:space="preserve">CHW</w:t>
            </w:r>
          </w:p>
        </w:tc>
        <w:tc>
          <w:tcPr>
            <w:tcW w:type="dxa" w:w="7560"/>
            <w:tcBorders>
              <w:top w:val="single" w:color="1A4731" w:sz="6"/>
              <w:left w:val="single" w:color="1A4731" w:sz="6"/>
              <w:bottom w:val="single" w:color="1A4731" w:sz="6"/>
              <w:right w:val="single" w:color="1A4731" w:sz="6"/>
            </w:tcBorders>
            <w:shd w:fill="EAF3EE" w:val="clear"/>
            <w:tcMar>
              <w:top w:type="dxa" w:w="120"/>
              <w:left w:type="dxa" w:w="200"/>
              <w:bottom w:type="dxa" w:w="120"/>
              <w:right w:type="dxa" w:w="120"/>
            </w:tcMar>
            <w:vAlign w:val="top"/>
          </w:tcPr>
          <w:p>
            <w:pPr>
              <w:spacing w:after="40" w:before="0"/>
              <w:jc w:val="left"/>
            </w:pPr>
            <w:r>
              <w:rPr>
                <w:rFonts w:ascii="Georgia" w:cs="Georgia" w:eastAsia="Georgia" w:hAnsi="Georgia"/>
                <w:b/>
                <w:bCs/>
                <w:color w:val="1A4731"/>
                <w:sz w:val="26"/>
                <w:szCs w:val="26"/>
              </w:rPr>
              <w:t xml:space="preserve">Connected Health Workforce</w:t>
            </w:r>
          </w:p>
          <w:p>
            <w:pPr>
              <w:spacing w:after="30" w:before="0"/>
              <w:jc w:val="left"/>
            </w:pPr>
            <w:r>
              <w:rPr>
                <w:rFonts w:ascii="Georgia" w:cs="Georgia" w:eastAsia="Georgia" w:hAnsi="Georgia"/>
                <w:b/>
                <w:bCs/>
                <w:color w:val="B55334"/>
                <w:sz w:val="19"/>
                <w:szCs w:val="19"/>
              </w:rPr>
              <w:t xml:space="preserve">WHO: Health Workforce</w:t>
            </w:r>
          </w:p>
          <w:p>
            <w:pPr>
              <w:spacing w:after="30" w:before="0"/>
              <w:jc w:val="left"/>
            </w:pPr>
            <w:r>
              <w:rPr>
                <w:rFonts w:ascii="Georgia" w:cs="Georgia" w:eastAsia="Georgia" w:hAnsi="Georgia"/>
                <w:i/>
                <w:iCs/>
                <w:color w:val="5C5C5C"/>
                <w:sz w:val="20"/>
                <w:szCs w:val="20"/>
              </w:rPr>
              <w:t xml:space="preserve">6,800 ProcCHWs as a nationally connected network — every node triple-connected, supervised, compensated, and career-pathed toward government employment</w:t>
            </w:r>
          </w:p>
          <w:p>
            <w:pPr>
              <w:spacing w:after="0" w:before="0"/>
              <w:jc w:val="left"/>
            </w:pPr>
            <w:r>
              <w:rPr>
                <w:rFonts w:ascii="Georgia" w:cs="Georgia" w:eastAsia="Georgia" w:hAnsi="Georgia"/>
                <w:b/>
                <w:bCs/>
                <w:color w:val="2C4A6E"/>
                <w:sz w:val="19"/>
                <w:szCs w:val="19"/>
              </w:rPr>
              <w:t xml:space="preserve">◈ AI: Predictive attrition | Personalised supervision agendas | PBI integrity detection | Career progression analytics</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12.1  The Pillar Purpose</w:t>
      </w:r>
    </w:p>
    <w:p>
      <w:pPr>
        <w:spacing w:after="140" w:before="0"/>
        <w:jc w:val="both"/>
      </w:pPr>
      <w:r>
        <w:rPr>
          <w:rFonts w:ascii="Georgia" w:cs="Georgia" w:eastAsia="Georgia" w:hAnsi="Georgia"/>
          <w:b w:val="false"/>
          <w:bCs w:val="false"/>
          <w:i w:val="false"/>
          <w:iCs w:val="false"/>
          <w:color w:val="252525"/>
          <w:sz w:val="24"/>
          <w:szCs w:val="24"/>
        </w:rPr>
        <w:t xml:space="preserve">The Connected Health Workforce pillar builds, connects, supports, and continuously develops the ProcCHW workforce that is the human infrastructure of the REACH 360° Framework. It draws its primary evidence base from Living Goods' 2013 Uganda randomised controlled trial, which demonstrated that structured supervision — not training, equipment, or compensation alone — drives a 27% reduction in under-five mortality. Every design decision in this pillar is made against that finding: supervision is the lever. The pillar architecture is the system that makes supervision effective, equitable, and self-sustaining.</w:t>
      </w:r>
    </w:p>
    <w:p>
      <w:pPr>
        <w:pStyle w:val="Heading2"/>
        <w:pBdr>
          <w:bottom w:val="single" w:color="EAF3EE" w:sz="4"/>
        </w:pBdr>
        <w:spacing w:after="100" w:before="280"/>
      </w:pPr>
      <w:r>
        <w:rPr>
          <w:rFonts w:ascii="Georgia" w:cs="Georgia" w:eastAsia="Georgia" w:hAnsi="Georgia"/>
          <w:b/>
          <w:bCs/>
          <w:color w:val="1A4731"/>
          <w:sz w:val="28"/>
          <w:szCs w:val="28"/>
        </w:rPr>
        <w:t xml:space="preserve">12.2  The Four-Tier Supervision Hierarchy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000"/>
        <w:gridCol w:w="1400"/>
        <w:gridCol w:w="2400"/>
        <w:gridCol w:w="2360"/>
      </w:tblGrid>
      <w:tr>
        <w:trPr>
          <w:tblHeader/>
        </w:trPr>
        <w:tc>
          <w:tcPr>
            <w:tcW w:type="dxa" w:w="7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Tier</w:t>
            </w:r>
          </w:p>
        </w:tc>
        <w:tc>
          <w:tcPr>
            <w:tcW w:type="dxa" w:w="1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Role</w:t>
            </w:r>
          </w:p>
        </w:tc>
        <w:tc>
          <w:tcPr>
            <w:tcW w:type="dxa" w:w="10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Ratio</w:t>
            </w:r>
          </w:p>
        </w:tc>
        <w:tc>
          <w:tcPr>
            <w:tcW w:type="dxa" w:w="1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Frequency</w:t>
            </w:r>
          </w:p>
        </w:tc>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Key Accountability</w:t>
            </w:r>
          </w:p>
        </w:tc>
        <w:tc>
          <w:tcPr>
            <w:tcW w:type="dxa" w:w="23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Support</w:t>
            </w:r>
          </w:p>
        </w:tc>
      </w:tr>
      <w:tr>
        <w:trPr>
          <w:tblHeader w:val="false"/>
        </w:trPr>
        <w:tc>
          <w:tcPr>
            <w:tcW w:type="dxa" w:w="7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FFFFFF"/>
                <w:sz w:val="20"/>
                <w:szCs w:val="20"/>
              </w:rPr>
              <w:t xml:space="preserve">Tier 1</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Senior ProcCHW / Peer Leader</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 : 8–10</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Daily dashboard monitoring; weekly mobile check-in</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First-line peer support; real-time performance monitoring; daily connectivity verification for all assigned ProcCHWs</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connectivity monitoring; AI clinical question routing surfaces relevant precedents before human response required</w:t>
            </w:r>
          </w:p>
        </w:tc>
      </w:tr>
      <w:tr>
        <w:trPr>
          <w:tblHeader w:val="false"/>
        </w:trPr>
        <w:tc>
          <w:tcPr>
            <w:tcW w:type="dxa" w:w="700"/>
            <w:gridSpan w:val="1"/>
            <w:tcBorders>
              <w:top w:val="single" w:color="CECECE" w:sz="4"/>
              <w:left w:val="single" w:color="CECECE" w:sz="4"/>
              <w:bottom w:val="single" w:color="CECECE" w:sz="4"/>
              <w:right w:val="single" w:color="CECECE" w:sz="4"/>
            </w:tcBorders>
            <w:shd w:fill="2D6A4F"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FFFFFF"/>
                <w:sz w:val="20"/>
                <w:szCs w:val="20"/>
              </w:rPr>
              <w:t xml:space="preserve">Tier 2</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Supervisor</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 : 25–30</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field visit; minimum 4 visits per month; minimum 2 observed HH visits per field visit</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seven-step supervisory visit protocol; competency assessment; PBI verification; supply chain coordination; DHMT liaison</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personalised visit agenda generation; AI pre-populates expected stock count; AI PBI anomaly detection before payment release</w:t>
            </w:r>
          </w:p>
        </w:tc>
      </w:tr>
      <w:tr>
        <w:trPr>
          <w:tblHeader w:val="false"/>
        </w:trPr>
        <w:tc>
          <w:tcPr>
            <w:tcW w:type="dxa" w:w="7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FFFFFF"/>
                <w:sz w:val="20"/>
                <w:szCs w:val="20"/>
              </w:rPr>
              <w:t xml:space="preserve">Tier 3</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District Coordinator</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 per district</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1:1 with each Supervisor; quarterly DHMT joint review; quarterly field sampling</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DHMT relationship management; district performance review; data quality assurance; supply chain liaison; equity gap investigation</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district analytics dashboard; equity gap surfacing algorithm; DHMT independent dashboard access without iREACHE intermediation</w:t>
            </w:r>
          </w:p>
        </w:tc>
      </w:tr>
      <w:tr>
        <w:trPr>
          <w:tblHeader w:val="false"/>
        </w:trPr>
        <w:tc>
          <w:tcPr>
            <w:tcW w:type="dxa" w:w="700"/>
            <w:gridSpan w:val="1"/>
            <w:tcBorders>
              <w:top w:val="single" w:color="CECECE" w:sz="4"/>
              <w:left w:val="single" w:color="CECECE" w:sz="4"/>
              <w:bottom w:val="single" w:color="CECECE" w:sz="4"/>
              <w:right w:val="single" w:color="CECECE" w:sz="4"/>
            </w:tcBorders>
            <w:shd w:fill="2D6A4F"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FFFFFF"/>
                <w:sz w:val="20"/>
                <w:szCs w:val="20"/>
              </w:rPr>
              <w:t xml:space="preserve">Tier 4</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National Programme Manager</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 (HQ Kenema)</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cross-district monitoring; annual national ProcCHW conference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Cross-district performance management; MoH coordination; CQI national aggregation; adaptive management; funder reporting</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National analytics dashboard; AI cross-district equity benchmarking; CQI national aggregate tracking</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12.3  The Seven-Step Supervisory Visit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000"/>
        <w:gridCol w:w="4160"/>
      </w:tblGrid>
      <w:tr>
        <w:trPr>
          <w:tblHeader/>
        </w:trPr>
        <w:tc>
          <w:tcPr>
            <w:tcW w:type="dxa" w:w="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Step</w:t>
            </w:r>
          </w:p>
        </w:tc>
        <w:tc>
          <w:tcPr>
            <w:tcW w:type="dxa" w:w="1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Name</w:t>
            </w:r>
          </w:p>
        </w:tc>
        <w:tc>
          <w:tcPr>
            <w:tcW w:type="dxa" w:w="3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Human Action</w:t>
            </w:r>
          </w:p>
        </w:tc>
        <w:tc>
          <w:tcPr>
            <w:tcW w:type="dxa" w:w="41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Support</w:t>
            </w:r>
          </w:p>
        </w:tc>
      </w:tr>
      <w:tr>
        <w:trPr>
          <w:tblHeader w:val="false"/>
        </w:trPr>
        <w:tc>
          <w:tcPr>
            <w:tcW w:type="dxa" w:w="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1</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Pre-Visit Preparation</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Review government platform data for ProcCHW in preceding 48 hours; identify 3–5 specific agenda items; select 2 households for observation; confirm visit with ProcCHW</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generates personalised visit agenda analysing ProcCHW's data patterns, declining competency domains, data quality issues, and peer network engagement. Supervisor reviews and modifies — AI informs the agenda, the supervisor owns it.</w:t>
            </w:r>
          </w:p>
        </w:tc>
      </w:tr>
      <w:tr>
        <w:trPr>
          <w:tblHeader w:val="false"/>
        </w:trPr>
        <w:tc>
          <w:tcPr>
            <w:tcW w:type="dxa" w:w="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2</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Opening Meeting</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Personal wellbeing check-in; specific data-evidence performance recognition; ProcCHW self-assessment of strengths and challenges; co-created session agenda</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performance summary presents ProcCHW's trend across seven competency domains and PBI trajectory. Enables supervisor to open with specific, evidence-based recognition rather than generic praise.</w:t>
            </w:r>
          </w:p>
        </w:tc>
      </w:tr>
      <w:tr>
        <w:trPr>
          <w:tblHeader w:val="false"/>
        </w:trPr>
        <w:tc>
          <w:tcPr>
            <w:tcW w:type="dxa" w:w="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3</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Household Observation</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Supervisor accompanies ProcCHW to minimum 2 real household visits; observes clinical quality, digital tool use, communication, data recording, AI alert interaction</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Supervisor specifically assesses AI tool competency: correct alert interpretation, appropriate override with rationale, accurate error reporting. AI competency is a standalone supervisory assessment domain equal in importance to clinical competency.</w:t>
            </w:r>
          </w:p>
        </w:tc>
      </w:tr>
      <w:tr>
        <w:trPr>
          <w:tblHeader w:val="false"/>
        </w:trPr>
        <w:tc>
          <w:tcPr>
            <w:tcW w:type="dxa" w:w="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4</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Medicine and Equipment Inspection</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Physical stock count vs platform record; expiry date check (zero tolerance for expired medicines); device condition and battery assessment; resupply authorisation if below threshold</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pre-populates expected stock count from visit records and resupply history. Discrepancy between expected and actual count auto-flagged. Expiry alerts generated 30 days before date across all ProcCHW kits simultaneously.</w:t>
            </w:r>
          </w:p>
        </w:tc>
      </w:tr>
      <w:tr>
        <w:trPr>
          <w:tblHeader w:val="false"/>
        </w:trPr>
        <w:tc>
          <w:tcPr>
            <w:tcW w:type="dxa" w:w="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5</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Data Quality Verification</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5 randomly selected case records cross-checked against household register; referral audit with outcome verification; immunisation registry zero-dose status check</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data quality scoring identifies timing anomalies, geographic boundary anomalies, and clinical recording anomalies. Supervisor investigates AI-flagged records — AI surfaces, humans judge.</w:t>
            </w:r>
          </w:p>
        </w:tc>
      </w:tr>
      <w:tr>
        <w:trPr>
          <w:tblHeader w:val="false"/>
        </w:trPr>
        <w:tc>
          <w:tcPr>
            <w:tcW w:type="dxa" w:w="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6</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Performance Review and Action Planning</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PBI scorecard collaborative review; root cause analysis for gaps; co-designed action plan with 2–5 specific items including responsible party, deadline, and verification method</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suggests 2–3 action plan items based on what has worked for ProcCHWs with similar performance profiles in similar geographic and caseload contexts. Supervisor and ProcCHW review and co-own the final plan.</w:t>
            </w:r>
          </w:p>
        </w:tc>
      </w:tr>
      <w:tr>
        <w:trPr>
          <w:tblHeader w:val="false"/>
        </w:trPr>
        <w:tc>
          <w:tcPr>
            <w:tcW w:type="dxa" w:w="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7</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Motivational Close</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Connect ProcCHW's individual work to community health impact with specific examples from their data; reaffirm genuine strengths; set next visit date and primary focus area</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No IDHS at this step. The motivational close is a human moment that no algorithm can replicate. The warmth, specificity, and relational quality of authentic supervisor affirmation is the element most responsible for ProcCHW retention that no AI can substitute for.</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12.4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400"/>
        <w:gridCol w:w="2160"/>
      </w:tblGrid>
      <w:tr>
        <w:trPr>
          <w:tblHeader/>
        </w:trPr>
        <w:tc>
          <w:tcPr>
            <w:tcW w:type="dxa" w:w="3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KPI</w:t>
            </w:r>
          </w:p>
        </w:tc>
        <w:tc>
          <w:tcPr>
            <w:tcW w:type="dxa" w:w="1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Target</w:t>
            </w:r>
          </w:p>
        </w:tc>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Alert</w:t>
            </w:r>
          </w:p>
        </w:tc>
        <w:tc>
          <w:tcPr>
            <w:tcW w:type="dxa" w:w="21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Monitoring</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deployment rate vs quarterly target</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&gt;95%</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&lt;85% triggers DC review</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pipeline tracking from nomination to appointment</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Three-Tier Connectivity Score — all connections active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100% of deployed ProcCHWs</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Broken connection 2+ months triggers supervisor field visit</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Daily AI connectivity monitoring across all three tiers simultaneously</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Supervisory field visit completion rate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100% (4 visits/supervisor/month minimum)</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&lt;85% triggers District Coordinator intervention</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calendar monitoring with automated supervisor alerts and DC escalation</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PBI payment accuracy and first-of-month timeliness</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100% accurate; paid 1st of every month</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Any error triggers Finance Manager investigation within 48 hours</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anomaly detection before payment release; outlier scores flagged for supervisor verification</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 ProcCHW attrition rate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&lt;15% Year 1; &lt;10% Year 3; &lt;8% Year 4-5</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&gt;15% any district triggers retention investigation</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60-day attrition risk prediction per ProcCHW; highest-risk cases automatically surfaced to supervisor</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Female ProcCHW composition</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&gt;60% every district; &gt;70% high-burden MNCH districts</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&lt;58% triggers recruitment equity review</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Real-time gender composition dashboard with trend alerts</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alert override rate within healthy range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5–20% per ProcCHW monthly</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&lt;5% triggers automation bias review; &gt;20% triggers model accuracy review</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Platform tracks override rate per ProcCHW; supervisor alerted when outside healthy range</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13  </w:t>
      </w:r>
      <w:r>
        <w:rPr>
          <w:rFonts w:ascii="Georgia" w:cs="Georgia" w:eastAsia="Georgia" w:hAnsi="Georgia"/>
          <w:b/>
          <w:bCs/>
          <w:color w:val="FFFFFF"/>
          <w:sz w:val="34"/>
          <w:szCs w:val="34"/>
        </w:rPr>
        <w:t xml:space="preserve">PILLAR 2 — COMMUNITY INTELLIGENCE AND SURVEILLANCE SYSTEM (CISS)</w:t>
      </w:r>
    </w:p>
    <w:p>
      <w:pPr>
        <w:pBdr>
          <w:bottom w:val="single" w:color="B55334"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1A4731" w:sz="6"/>
              <w:left w:val="single" w:color="1A4731" w:sz="6"/>
              <w:bottom w:val="single" w:color="1A4731" w:sz="6"/>
              <w:right w:val="single" w:color="1A4731" w:sz="6"/>
            </w:tcBorders>
            <w:shd w:fill="1A4731" w:val="clear"/>
            <w:tcMar>
              <w:top w:type="dxa" w:w="120"/>
              <w:left w:type="dxa" w:w="120"/>
              <w:bottom w:type="dxa" w:w="120"/>
              <w:right w:type="dxa" w:w="120"/>
            </w:tcMar>
            <w:vAlign w:val="center"/>
          </w:tcPr>
          <w:p>
            <w:pPr>
              <w:spacing w:after="20" w:before="0"/>
              <w:jc w:val="center"/>
            </w:pPr>
            <w:r>
              <w:rPr>
                <w:rFonts w:ascii="Georgia" w:cs="Georgia" w:eastAsia="Georgia" w:hAnsi="Georgia"/>
                <w:b/>
                <w:bCs/>
                <w:color w:val="7BC99A"/>
                <w:sz w:val="16"/>
                <w:szCs w:val="16"/>
              </w:rPr>
              <w:t xml:space="preserve">PILLAR 2</w:t>
            </w:r>
          </w:p>
          <w:p>
            <w:pPr>
              <w:spacing w:after="0" w:before="0"/>
              <w:jc w:val="center"/>
            </w:pPr>
            <w:r>
              <w:rPr>
                <w:rFonts w:ascii="Georgia" w:cs="Georgia" w:eastAsia="Georgia" w:hAnsi="Georgia"/>
                <w:b/>
                <w:bCs/>
                <w:color w:val="FFFFFF"/>
                <w:sz w:val="38"/>
                <w:szCs w:val="38"/>
              </w:rPr>
              <w:t xml:space="preserve">CISS</w:t>
            </w:r>
          </w:p>
        </w:tc>
        <w:tc>
          <w:tcPr>
            <w:tcW w:type="dxa" w:w="7560"/>
            <w:tcBorders>
              <w:top w:val="single" w:color="1A4731" w:sz="6"/>
              <w:left w:val="single" w:color="1A4731" w:sz="6"/>
              <w:bottom w:val="single" w:color="1A4731" w:sz="6"/>
              <w:right w:val="single" w:color="1A4731" w:sz="6"/>
            </w:tcBorders>
            <w:shd w:fill="EAF3EE" w:val="clear"/>
            <w:tcMar>
              <w:top w:type="dxa" w:w="120"/>
              <w:left w:type="dxa" w:w="200"/>
              <w:bottom w:type="dxa" w:w="120"/>
              <w:right w:type="dxa" w:w="120"/>
            </w:tcMar>
            <w:vAlign w:val="top"/>
          </w:tcPr>
          <w:p>
            <w:pPr>
              <w:spacing w:after="40" w:before="0"/>
              <w:jc w:val="left"/>
            </w:pPr>
            <w:r>
              <w:rPr>
                <w:rFonts w:ascii="Georgia" w:cs="Georgia" w:eastAsia="Georgia" w:hAnsi="Georgia"/>
                <w:b/>
                <w:bCs/>
                <w:color w:val="1A4731"/>
                <w:sz w:val="26"/>
                <w:szCs w:val="26"/>
              </w:rPr>
              <w:t xml:space="preserve">Community Intelligence and Surveillance System</w:t>
            </w:r>
          </w:p>
          <w:p>
            <w:pPr>
              <w:spacing w:after="30" w:before="0"/>
              <w:jc w:val="left"/>
            </w:pPr>
            <w:r>
              <w:rPr>
                <w:rFonts w:ascii="Georgia" w:cs="Georgia" w:eastAsia="Georgia" w:hAnsi="Georgia"/>
                <w:b/>
                <w:bCs/>
                <w:color w:val="B55334"/>
                <w:sz w:val="19"/>
                <w:szCs w:val="19"/>
              </w:rPr>
              <w:t xml:space="preserve">WHO: Health Information Systems</w:t>
            </w:r>
          </w:p>
          <w:p>
            <w:pPr>
              <w:spacing w:after="30" w:before="0"/>
              <w:jc w:val="left"/>
            </w:pPr>
            <w:r>
              <w:rPr>
                <w:rFonts w:ascii="Georgia" w:cs="Georgia" w:eastAsia="Georgia" w:hAnsi="Georgia"/>
                <w:i/>
                <w:iCs/>
                <w:color w:val="5C5C5C"/>
                <w:sz w:val="20"/>
                <w:szCs w:val="20"/>
              </w:rPr>
              <w:t xml:space="preserve">Communities as the primary detection instrument — post-Ebola intelligence formalised, government-owned, and IDHS-amplified</w:t>
            </w:r>
          </w:p>
          <w:p>
            <w:pPr>
              <w:spacing w:after="0" w:before="0"/>
              <w:jc w:val="left"/>
            </w:pPr>
            <w:r>
              <w:rPr>
                <w:rFonts w:ascii="Georgia" w:cs="Georgia" w:eastAsia="Georgia" w:hAnsi="Georgia"/>
                <w:b/>
                <w:bCs/>
                <w:color w:val="2C4A6E"/>
                <w:sz w:val="19"/>
                <w:szCs w:val="19"/>
              </w:rPr>
              <w:t xml:space="preserve">◈ AI: AI outbreak signal detection in DHIS2 IDSR | Zero-dose prediction | CEIN Krio NLP | Real-time equity gap surfacing</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13.1  The Pillar Purpose</w:t>
      </w:r>
    </w:p>
    <w:p>
      <w:pPr>
        <w:spacing w:after="140" w:before="0"/>
        <w:jc w:val="both"/>
      </w:pPr>
      <w:r>
        <w:rPr>
          <w:rFonts w:ascii="Georgia" w:cs="Georgia" w:eastAsia="Georgia" w:hAnsi="Georgia"/>
          <w:b w:val="false"/>
          <w:bCs w:val="false"/>
          <w:i w:val="false"/>
          <w:iCs w:val="false"/>
          <w:color w:val="252525"/>
          <w:sz w:val="24"/>
          <w:szCs w:val="24"/>
        </w:rPr>
        <w:t xml:space="preserve">The Community Intelligence and Surveillance System makes the invisible visible. Sierra Leone's most current and most proximate health intelligence does not sit in DHTS2 or in facility records or in any government database. It sits in communities — in the awareness of which households have sick children, in the detection of unusual illness patterns before they become outbreaks, in the knowledge of which families will never reach a facility without support. The CISS formalises this community intelligence as a standing health system component and connects it to the government health information architecture in real time.</w:t>
      </w:r>
    </w:p>
    <w:p>
      <w:pPr>
        <w:pStyle w:val="Heading2"/>
        <w:pBdr>
          <w:bottom w:val="single" w:color="EAF3EE" w:sz="4"/>
        </w:pBdr>
        <w:spacing w:after="100" w:before="280"/>
      </w:pPr>
      <w:r>
        <w:rPr>
          <w:rFonts w:ascii="Georgia" w:cs="Georgia" w:eastAsia="Georgia" w:hAnsi="Georgia"/>
          <w:b/>
          <w:bCs/>
          <w:color w:val="1A4731"/>
          <w:sz w:val="28"/>
          <w:szCs w:val="28"/>
        </w:rPr>
        <w:t xml:space="preserve">13.2  The Three CISS Instruments</w:t>
      </w:r>
    </w:p>
    <w:p>
      <w:pPr>
        <w:pStyle w:val="Heading3"/>
        <w:spacing w:after="80" w:before="220"/>
      </w:pPr>
      <w:r>
        <w:rPr>
          <w:rFonts w:ascii="Georgia" w:cs="Georgia" w:eastAsia="Georgia" w:hAnsi="Georgia"/>
          <w:b/>
          <w:bCs/>
          <w:color w:val="2D6A4F"/>
          <w:sz w:val="24"/>
          <w:szCs w:val="24"/>
        </w:rPr>
        <w:t xml:space="preserve">Instrument 1: Sierra Leone Government CHW Digital Platform</w:t>
      </w:r>
    </w:p>
    <w:p>
      <w:pPr>
        <w:spacing w:after="140" w:before="0"/>
        <w:jc w:val="both"/>
      </w:pPr>
      <w:r>
        <w:rPr>
          <w:rFonts w:ascii="Georgia" w:cs="Georgia" w:eastAsia="Georgia" w:hAnsi="Georgia"/>
          <w:b w:val="false"/>
          <w:bCs w:val="false"/>
          <w:i w:val="false"/>
          <w:iCs w:val="false"/>
          <w:color w:val="252525"/>
          <w:sz w:val="24"/>
          <w:szCs w:val="24"/>
        </w:rPr>
        <w:t xml:space="preserve">All ProcCHW data capture operates within Sierra Leone's national DHIS2 instance, configured by iREACHE LASTMILE within the national government health information architecture. All data is owned by the Government of Sierra Leone from day one. DHMTs access district data directly through their existing DHIS2 dashboard access. MoH planning teams access national aggregate data directly. iREACHE LASTMILE holds no exclusive data. The government data ownership principle is the most important design choice in the CISS — and it is the design choice most consistently violated by INGOs deploying community health data systems in Sierra Leone.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ECECE" w:sz="4"/>
              <w:left w:val="single" w:color="CECECE" w:sz="4"/>
              <w:bottom w:val="single" w:color="CECECE" w:sz="4"/>
              <w:right w:val="single" w:color="CECECE" w:sz="4"/>
            </w:tcBorders>
            <w:shd w:fill="2C4A6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  AI INTEGRATION — GOVERNMENT PLATFORM IDHS CONFIGURATION</w:t>
            </w:r>
          </w:p>
        </w:tc>
      </w:tr>
      <w:tr>
        <w:trPr>
          <w:tblHeader w:val="false"/>
        </w:trPr>
        <w:tc>
          <w:tcPr>
            <w:tcW w:type="dxa" w:w="9360"/>
            <w:gridSpan w:val="1"/>
            <w:tcBorders>
              <w:top w:val="single" w:color="CECECE" w:sz="4"/>
              <w:left w:val="single" w:color="CECECE" w:sz="4"/>
              <w:bottom w:val="single" w:color="CECECE" w:sz="4"/>
              <w:right w:val="single" w:color="CECECE" w:sz="4"/>
            </w:tcBorders>
            <w:shd w:fill="EBF0F7"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AI clinical decision support and surveillance detection layers are configured as DHIS2 program rule extensions — a standard DHIS2 feature that triggers automated alerts based on data entry patterns. This approach means all IDHS tools run within the government's existing platform architecture without new server infrastructure, new IT procurement, or new technical staff requirements. When iREACHE LASTMILE's programme ends, the IDHS configuration transfers with the platform to full government operation. No proprietary AI infrastructure is left behind. This is the architectural expression of Government Primacy as a programme value.</w:t>
            </w:r>
          </w:p>
        </w:tc>
      </w:tr>
    </w:tbl>
    <w:p>
      <w:pPr>
        <w:spacing w:after="0" w:before="0"/>
      </w:pPr>
      <w:r>
        <w:rPr>
          <w:rFonts w:ascii="Georgia" w:cs="Georgia" w:eastAsia="Georgia" w:hAnsi="Georgia"/>
          <w:sz w:val="10"/>
          <w:szCs w:val="10"/>
        </w:rPr>
        <w:t xml:space="preserve"/>
      </w:r>
    </w:p>
    <w:p>
      <w:pPr>
        <w:pStyle w:val="Heading3"/>
        <w:spacing w:after="80" w:before="220"/>
      </w:pPr>
      <w:r>
        <w:rPr>
          <w:rFonts w:ascii="Georgia" w:cs="Georgia" w:eastAsia="Georgia" w:hAnsi="Georgia"/>
          <w:b/>
          <w:bCs/>
          <w:color w:val="2D6A4F"/>
          <w:sz w:val="24"/>
          <w:szCs w:val="24"/>
        </w:rPr>
        <w:t xml:space="preserve">Instrument 2: Community Epidemiological Intelligence Network (CEIN)</w:t>
      </w:r>
    </w:p>
    <w:p>
      <w:pPr>
        <w:spacing w:after="140" w:before="0"/>
        <w:jc w:val="both"/>
      </w:pPr>
      <w:r>
        <w:rPr>
          <w:rFonts w:ascii="Georgia" w:cs="Georgia" w:eastAsia="Georgia" w:hAnsi="Georgia"/>
          <w:b w:val="false"/>
          <w:bCs w:val="false"/>
          <w:i w:val="false"/>
          <w:iCs w:val="false"/>
          <w:color w:val="252525"/>
          <w:sz w:val="24"/>
          <w:szCs w:val="24"/>
        </w:rPr>
        <w:t xml:space="preserve">The CEIN is the most original component of the CISS and the most distinctively Sierra Leonean element of the REACH 360° Framework. It formalises the post-Ebola community disease detection capabilities held by communities in Eastern Province and across Sierra Leone as a standing health system component — trained by iREACHE LASTMILE, governed by Community Health Committees, and integrated into the national IDSR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CEIN Component</w:t>
            </w:r>
          </w:p>
        </w:tc>
        <w:tc>
          <w:tcPr>
            <w:tcW w:type="dxa" w:w="3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Human System</w:t>
            </w:r>
          </w:p>
        </w:tc>
        <w:tc>
          <w:tcPr>
            <w:tcW w:type="dxa" w:w="37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Enhancement</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CEIN Nodes</w:t>
            </w:r>
          </w:p>
        </w:tc>
        <w:tc>
          <w:tcPr>
            <w:tcW w:type="dxa" w:w="3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members trained in event recognition, reporting protocols, and escalation — extending detection beyond ProcCHW household visit cadence to include continuous community social surveillance</w:t>
            </w:r>
          </w:p>
        </w:tc>
        <w:tc>
          <w:tcPr>
            <w:tcW w:type="dxa" w:w="3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classifies CEIN event reports by syndrome type, geographic clustering, and temporal pattern — identifying when multiple CEIN nodes in the same area report related events even when no single report has crossed a formal alert threshold</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48-Hour Reporting Protocol</w:t>
            </w:r>
          </w:p>
        </w:tc>
        <w:tc>
          <w:tcPr>
            <w:tcW w:type="dxa" w:w="3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CEIN events reported to government platform CEIN module within 48 hours of community detection; DHMT surveillance officer notified automatically</w:t>
            </w:r>
          </w:p>
        </w:tc>
        <w:tc>
          <w:tcPr>
            <w:tcW w:type="dxa" w:w="3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urgency scoring applied to every CEIN report — high urgency events surfaced to DHMT surveillance officer immediately via DHIS2 message without waiting for manual review cycle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Krio NLP Text Processing</w:t>
            </w:r>
          </w:p>
        </w:tc>
        <w:tc>
          <w:tcPr>
            <w:tcW w:type="dxa" w:w="3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members sometimes report in Krio or regional languages in formats that do not fit structured data fields — this unstructured intelligence is currently lost to formal surveillance systems</w:t>
            </w:r>
          </w:p>
        </w:tc>
        <w:tc>
          <w:tcPr>
            <w:tcW w:type="dxa" w:w="3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natural language processing model trained on Sierra Leonean Krio health vocabulary extracts structured signals from narrative CEIN reports. Deployed from Year 3 when sufficient CEIN text data available for model training. No community text data shared externally.</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Community Health Committee Governance</w:t>
            </w:r>
          </w:p>
        </w:tc>
        <w:tc>
          <w:tcPr>
            <w:tcW w:type="dxa" w:w="3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CHC governs CEIN activation and reviews CEIN surveillance reports quarterly with full transparency to community members</w:t>
            </w:r>
          </w:p>
        </w:tc>
        <w:tc>
          <w:tcPr>
            <w:tcW w:type="dxa" w:w="3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CHC receives quarterly AI surveillance pattern report showing what IDHS detected from their community's CEIN data and what DHMT action followed. Community can request review of any AI classification through TRIAD Governance Protocol.</w:t>
            </w:r>
          </w:p>
        </w:tc>
      </w:tr>
    </w:tbl>
    <w:p>
      <w:pPr>
        <w:spacing w:after="0" w:before="0"/>
      </w:pPr>
      <w:r>
        <w:rPr>
          <w:rFonts w:ascii="Georgia" w:cs="Georgia" w:eastAsia="Georgia" w:hAnsi="Georgia"/>
          <w:sz w:val="10"/>
          <w:szCs w:val="10"/>
        </w:rPr>
        <w:t xml:space="preserve"/>
      </w:r>
    </w:p>
    <w:p>
      <w:pPr>
        <w:pStyle w:val="Heading3"/>
        <w:spacing w:after="80" w:before="220"/>
      </w:pPr>
      <w:r>
        <w:rPr>
          <w:rFonts w:ascii="Georgia" w:cs="Georgia" w:eastAsia="Georgia" w:hAnsi="Georgia"/>
          <w:b/>
          <w:bCs/>
          <w:color w:val="2D6A4F"/>
          <w:sz w:val="24"/>
          <w:szCs w:val="24"/>
        </w:rPr>
        <w:t xml:space="preserve">Instrument 3: District Analytics Dashboard</w:t>
      </w:r>
    </w:p>
    <w:p>
      <w:pPr>
        <w:spacing w:after="140" w:before="0"/>
        <w:jc w:val="both"/>
      </w:pPr>
      <w:r>
        <w:rPr>
          <w:rFonts w:ascii="Georgia" w:cs="Georgia" w:eastAsia="Georgia" w:hAnsi="Georgia"/>
          <w:b w:val="false"/>
          <w:bCs w:val="false"/>
          <w:i w:val="false"/>
          <w:iCs w:val="false"/>
          <w:color w:val="252525"/>
          <w:sz w:val="24"/>
          <w:szCs w:val="24"/>
        </w:rPr>
        <w:t xml:space="preserve">The district analytics dashboard provides the same real-time intelligence simultaneously to DHMTs, MoH, and iREACHE LASTMILE. Simultaneous shared access is a governance principle — information asymmetry between an NGO and its government partner is a power asymmetry. When iREACHE LASTMILE and the Kenema DHMT are looking at the same dashboard showing the same real-time data, the relationship becomes genuinely co-governance rather than NGO-facilitated consultation. All dashboard metrics disaggregated by sex, age, geographic accessibility quintile, and chieftaincy before use for any decision-making purpose.</w:t>
      </w:r>
    </w:p>
    <w:p>
      <w:pPr>
        <w:pStyle w:val="Heading2"/>
        <w:pBdr>
          <w:bottom w:val="single" w:color="EAF3EE" w:sz="4"/>
        </w:pBdr>
        <w:spacing w:after="100" w:before="280"/>
      </w:pPr>
      <w:r>
        <w:rPr>
          <w:rFonts w:ascii="Georgia" w:cs="Georgia" w:eastAsia="Georgia" w:hAnsi="Georgia"/>
          <w:b/>
          <w:bCs/>
          <w:color w:val="1A4731"/>
          <w:sz w:val="28"/>
          <w:szCs w:val="28"/>
        </w:rPr>
        <w:t xml:space="preserve">13.3  Key Performance Indicators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600"/>
        <w:gridCol w:w="2160"/>
      </w:tblGrid>
      <w:tr>
        <w:trPr>
          <w:tblHeader/>
        </w:trPr>
        <w:tc>
          <w:tcPr>
            <w:tcW w:type="dxa" w:w="3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KPI</w:t>
            </w:r>
          </w:p>
        </w:tc>
        <w:tc>
          <w:tcPr>
            <w:tcW w:type="dxa" w:w="1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Target</w:t>
            </w:r>
          </w:p>
        </w:tc>
        <w:tc>
          <w:tcPr>
            <w:tcW w:type="dxa" w:w="26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Alert</w:t>
            </w:r>
          </w:p>
        </w:tc>
        <w:tc>
          <w:tcPr>
            <w:tcW w:type="dxa" w:w="21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Monitoring</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platform data submission completeness</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&gt;95% weekly</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&lt;90% triggers Senior ProcCHW follow-up</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Automated daily completeness monitoring with auto-alert by Tuesday</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DHIS2 synchronisation rate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&gt;99% within 48 hours</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&lt;95% triggers Digital Systems Manager review</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sync failure detection and automatic escalation</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CEIN event detection and DHMT timeliness</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&gt;90% within 48 hours</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&lt;80% triggers CEIN refresher in affected chieftaincies</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timestamps CEIN event detection vs DHMT formal recognition</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Zero-dose child identification rate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&gt;90% of estimated cohort registered</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&lt;75% triggers community census audit</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prediction model generates monthly risk-stratified register</w:t>
            </w:r>
          </w:p>
        </w:tc>
      </w:tr>
      <w:tr>
        <w:trPr>
          <w:tblHeader w:val="false"/>
        </w:trPr>
        <w:tc>
          <w:tcPr>
            <w:tcW w:type="dxa" w:w="3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DHMT dashboard usage with documented decisions</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Weekly access; 1 documented decision/month citing community data</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 consecutive weeks no access triggers DC engagement</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Dashboard access log monitoring; decision documentation tracking</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14  </w:t>
      </w:r>
      <w:r>
        <w:rPr>
          <w:rFonts w:ascii="Georgia" w:cs="Georgia" w:eastAsia="Georgia" w:hAnsi="Georgia"/>
          <w:b/>
          <w:bCs/>
          <w:color w:val="FFFFFF"/>
          <w:sz w:val="34"/>
          <w:szCs w:val="34"/>
        </w:rPr>
        <w:t xml:space="preserve">PILLAR 3 — LAST-MILE SUPPLY CHAIN AND COMMODITY ACCESS (LSCCS)</w:t>
      </w:r>
    </w:p>
    <w:p>
      <w:pPr>
        <w:pBdr>
          <w:bottom w:val="single" w:color="B55334"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1A4731" w:sz="6"/>
              <w:left w:val="single" w:color="1A4731" w:sz="6"/>
              <w:bottom w:val="single" w:color="1A4731" w:sz="6"/>
              <w:right w:val="single" w:color="1A4731" w:sz="6"/>
            </w:tcBorders>
            <w:shd w:fill="1A4731" w:val="clear"/>
            <w:tcMar>
              <w:top w:type="dxa" w:w="120"/>
              <w:left w:type="dxa" w:w="120"/>
              <w:bottom w:type="dxa" w:w="120"/>
              <w:right w:type="dxa" w:w="120"/>
            </w:tcMar>
            <w:vAlign w:val="center"/>
          </w:tcPr>
          <w:p>
            <w:pPr>
              <w:spacing w:after="20" w:before="0"/>
              <w:jc w:val="center"/>
            </w:pPr>
            <w:r>
              <w:rPr>
                <w:rFonts w:ascii="Georgia" w:cs="Georgia" w:eastAsia="Georgia" w:hAnsi="Georgia"/>
                <w:b/>
                <w:bCs/>
                <w:color w:val="7BC99A"/>
                <w:sz w:val="16"/>
                <w:szCs w:val="16"/>
              </w:rPr>
              <w:t xml:space="preserve">PILLAR 3</w:t>
            </w:r>
          </w:p>
          <w:p>
            <w:pPr>
              <w:spacing w:after="0" w:before="0"/>
              <w:jc w:val="center"/>
            </w:pPr>
            <w:r>
              <w:rPr>
                <w:rFonts w:ascii="Georgia" w:cs="Georgia" w:eastAsia="Georgia" w:hAnsi="Georgia"/>
                <w:b/>
                <w:bCs/>
                <w:color w:val="FFFFFF"/>
                <w:sz w:val="38"/>
                <w:szCs w:val="38"/>
              </w:rPr>
              <w:t xml:space="preserve">LSCCS</w:t>
            </w:r>
          </w:p>
        </w:tc>
        <w:tc>
          <w:tcPr>
            <w:tcW w:type="dxa" w:w="7560"/>
            <w:tcBorders>
              <w:top w:val="single" w:color="1A4731" w:sz="6"/>
              <w:left w:val="single" w:color="1A4731" w:sz="6"/>
              <w:bottom w:val="single" w:color="1A4731" w:sz="6"/>
              <w:right w:val="single" w:color="1A4731" w:sz="6"/>
            </w:tcBorders>
            <w:shd w:fill="EAF3EE" w:val="clear"/>
            <w:tcMar>
              <w:top w:type="dxa" w:w="120"/>
              <w:left w:type="dxa" w:w="200"/>
              <w:bottom w:type="dxa" w:w="120"/>
              <w:right w:type="dxa" w:w="120"/>
            </w:tcMar>
            <w:vAlign w:val="top"/>
          </w:tcPr>
          <w:p>
            <w:pPr>
              <w:spacing w:after="40" w:before="0"/>
              <w:jc w:val="left"/>
            </w:pPr>
            <w:r>
              <w:rPr>
                <w:rFonts w:ascii="Georgia" w:cs="Georgia" w:eastAsia="Georgia" w:hAnsi="Georgia"/>
                <w:b/>
                <w:bCs/>
                <w:color w:val="1A4731"/>
                <w:sz w:val="26"/>
                <w:szCs w:val="26"/>
              </w:rPr>
              <w:t xml:space="preserve">Last-Mile Supply Chain and Commodity Access</w:t>
            </w:r>
          </w:p>
          <w:p>
            <w:pPr>
              <w:spacing w:after="30" w:before="0"/>
              <w:jc w:val="left"/>
            </w:pPr>
            <w:r>
              <w:rPr>
                <w:rFonts w:ascii="Georgia" w:cs="Georgia" w:eastAsia="Georgia" w:hAnsi="Georgia"/>
                <w:b/>
                <w:bCs/>
                <w:color w:val="B55334"/>
                <w:sz w:val="19"/>
                <w:szCs w:val="19"/>
              </w:rPr>
              <w:t xml:space="preserve">WHO: Access to Essential Medicines</w:t>
            </w:r>
          </w:p>
          <w:p>
            <w:pPr>
              <w:spacing w:after="30" w:before="0"/>
              <w:jc w:val="left"/>
            </w:pPr>
            <w:r>
              <w:rPr>
                <w:rFonts w:ascii="Georgia" w:cs="Georgia" w:eastAsia="Georgia" w:hAnsi="Georgia"/>
                <w:i/>
                <w:iCs/>
                <w:color w:val="5C5C5C"/>
                <w:sz w:val="20"/>
                <w:szCs w:val="20"/>
              </w:rPr>
              <w:t xml:space="preserve">ProcCHWs as demand signal generators — transforming supply-push stockout cycles into demand-driven, AI-predicted commodity flows</w:t>
            </w:r>
          </w:p>
          <w:p>
            <w:pPr>
              <w:spacing w:after="0" w:before="0"/>
              <w:jc w:val="left"/>
            </w:pPr>
            <w:r>
              <w:rPr>
                <w:rFonts w:ascii="Georgia" w:cs="Georgia" w:eastAsia="Georgia" w:hAnsi="Georgia"/>
                <w:b/>
                <w:bCs/>
                <w:color w:val="2C4A6E"/>
                <w:sz w:val="19"/>
                <w:szCs w:val="19"/>
              </w:rPr>
              <w:t xml:space="preserve">◈ AI: 21-day stockout prediction | AI route optimisation | TA Supply Steward alerts | Expiry portfolio management</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14.1  Optimize-Integrate-Sustain with IDHS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600"/>
        <w:gridCol w:w="2800"/>
        <w:gridCol w:w="1860"/>
      </w:tblGrid>
      <w:tr>
        <w:trPr>
          <w:tblHeader/>
        </w:trPr>
        <w:tc>
          <w:tcPr>
            <w:tcW w:type="dxa" w:w="9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Phase</w:t>
            </w:r>
          </w:p>
        </w:tc>
        <w:tc>
          <w:tcPr>
            <w:tcW w:type="dxa" w:w="1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Name</w:t>
            </w:r>
          </w:p>
        </w:tc>
        <w:tc>
          <w:tcPr>
            <w:tcW w:type="dxa" w:w="26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Human System Priority</w:t>
            </w:r>
          </w:p>
        </w:tc>
        <w:tc>
          <w:tcPr>
            <w:tcW w:type="dxa" w:w="2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Layer</w:t>
            </w:r>
          </w:p>
        </w:tc>
        <w:tc>
          <w:tcPr>
            <w:tcW w:type="dxa" w:w="18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Completion Criterion</w:t>
            </w:r>
          </w:p>
        </w:tc>
      </w:tr>
      <w:tr>
        <w:trPr>
          <w:tblHeader w:val="false"/>
        </w:trPr>
        <w:tc>
          <w:tcPr>
            <w:tcW w:type="dxa" w:w="9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Phase 1</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OPTIMIZE</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Establish accurate, timely ProcCHW stock reporting. Build data quality before any AI forecasting — AI on poor data amplifies errors.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Basic stockout threshold alert within government platform. Expiry date monitoring flagging medicines within 30 days across all 6,800 ProcCHW kits simultaneously.</w:t>
            </w:r>
          </w:p>
        </w:tc>
        <w:tc>
          <w:tcPr>
            <w:tcW w:type="dxa" w:w="18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Data completeness &gt;95% AND accuracy &gt;90% for 3 consecutive months</w:t>
            </w:r>
          </w:p>
        </w:tc>
      </w:tr>
      <w:tr>
        <w:trPr>
          <w:tblHeader w:val="false"/>
        </w:trPr>
        <w:tc>
          <w:tcPr>
            <w:tcW w:type="dxa" w:w="9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Phase 2</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INTEGRATE</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consumption data informing district resupply through eLMIS. Traditional Authority Supply Stewardship activated in all programme chieftaincies.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21-day demand forecasting within eLMIS — analysing 6,800 ProcCHW weekly consumption reports to generate forward demand prediction per medicine per district. Rainy Season Route Optimisation activated.</w:t>
            </w:r>
          </w:p>
        </w:tc>
        <w:tc>
          <w:tcPr>
            <w:tcW w:type="dxa" w:w="18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District stockout rate &lt;15% for 2 months; MSD eLMIS data sharing formalised</w:t>
            </w:r>
          </w:p>
        </w:tc>
      </w:tr>
      <w:tr>
        <w:trPr>
          <w:tblHeader w:val="false"/>
        </w:trPr>
        <w:tc>
          <w:tcPr>
            <w:tcW w:type="dxa" w:w="9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Phase 3</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SUSTAIN</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demand signals in national MSD quantification cycle. DHMT supply managers trained. Domestic logistics financing secured in district budgets.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Full AI consumption forecasting integrated in national quantification. Route optimisation for all 16 districts. Government supply managers independently operating all IDHS forecasting tools without iREACHE intermediation.</w:t>
            </w:r>
          </w:p>
        </w:tc>
        <w:tc>
          <w:tcPr>
            <w:tcW w:type="dxa" w:w="18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supply managers citing AI forecasts in national quantification; IDHS tools operating without iREACHE involvement</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14.2  LSCCS Original Contributions</w:t>
      </w:r>
    </w:p>
    <w:p>
      <w:pPr>
        <w:pStyle w:val="Heading3"/>
        <w:spacing w:after="80" w:before="220"/>
      </w:pPr>
      <w:r>
        <w:rPr>
          <w:rFonts w:ascii="Georgia" w:cs="Georgia" w:eastAsia="Georgia" w:hAnsi="Georgia"/>
          <w:b/>
          <w:bCs/>
          <w:color w:val="2D6A4F"/>
          <w:sz w:val="24"/>
          <w:szCs w:val="24"/>
        </w:rPr>
        <w:t xml:space="preserve">Traditional Authority Supply Stewardship</w:t>
      </w:r>
    </w:p>
    <w:p>
      <w:pPr>
        <w:spacing w:after="140" w:before="0"/>
        <w:jc w:val="both"/>
      </w:pPr>
      <w:r>
        <w:rPr>
          <w:rFonts w:ascii="Georgia" w:cs="Georgia" w:eastAsia="Georgia" w:hAnsi="Georgia"/>
          <w:b w:val="false"/>
          <w:bCs w:val="false"/>
          <w:i w:val="false"/>
          <w:iCs w:val="false"/>
          <w:color w:val="252525"/>
          <w:sz w:val="24"/>
          <w:szCs w:val="24"/>
        </w:rPr>
        <w:t xml:space="preserve">Under Traditional Authority Supply Stewardship, Paramount and Section Chiefs are formally recognised as custodians of community-level commodity buffers through the TRIAD Governance Protocol. Stockout events are reported to the relevant Paramount Chief as a chieftaincy governance accountability failure — not only to the DHMT as an operational matter. This transforms stockouts from logistics problems into governance failures. Traditional authority has social enforcement tools that DHMT supply managers do not possess — and a chief who has formally accepted supply stewardship responsibility has community-level accountability mechanisms for commodity management that no administrative escalation process can replicate. IDHS routes TA Supply Steward alerts simultaneously with District Coordinator notifications — traditional authority receives the same AI intelligence as government.</w:t>
      </w:r>
    </w:p>
    <w:p>
      <w:pPr>
        <w:pStyle w:val="Heading3"/>
        <w:spacing w:after="80" w:before="220"/>
      </w:pPr>
      <w:r>
        <w:rPr>
          <w:rFonts w:ascii="Georgia" w:cs="Georgia" w:eastAsia="Georgia" w:hAnsi="Georgia"/>
          <w:b/>
          <w:bCs/>
          <w:color w:val="2D6A4F"/>
          <w:sz w:val="24"/>
          <w:szCs w:val="24"/>
        </w:rPr>
        <w:t xml:space="preserve">The Rainy Season Routing Protocol</w:t>
      </w:r>
    </w:p>
    <w:p>
      <w:pPr>
        <w:spacing w:after="140" w:before="0"/>
        <w:jc w:val="both"/>
      </w:pPr>
      <w:r>
        <w:rPr>
          <w:rFonts w:ascii="Georgia" w:cs="Georgia" w:eastAsia="Georgia" w:hAnsi="Georgia"/>
          <w:b w:val="false"/>
          <w:bCs w:val="false"/>
          <w:i w:val="false"/>
          <w:iCs w:val="false"/>
          <w:color w:val="252525"/>
          <w:sz w:val="24"/>
          <w:szCs w:val="24"/>
        </w:rPr>
        <w:t xml:space="preserve">The Rainy Season Routing Protocol pre-positions three-month commodity buffers in all road-inaccessible communities before the onset of each rainy season. The pre-positioning calendar is district-specific, calibrated to each district's historical rainfall patterns and Last Mile Health's 2024 geospatial road accessibility mapping. IDHS route optimisation generates optimal distribution sequences for the district motorbike logistics fleet integrating real-time road condition data, community locations, and stock status — adapting pre-positioning plans dynamically as seasonal access conditions change.</w:t>
      </w:r>
    </w:p>
    <w:p>
      <w:pPr>
        <w:pStyle w:val="Heading2"/>
        <w:pBdr>
          <w:bottom w:val="single" w:color="EAF3EE" w:sz="4"/>
        </w:pBdr>
        <w:spacing w:after="100" w:before="280"/>
      </w:pPr>
      <w:r>
        <w:rPr>
          <w:rFonts w:ascii="Georgia" w:cs="Georgia" w:eastAsia="Georgia" w:hAnsi="Georgia"/>
          <w:b/>
          <w:bCs/>
          <w:color w:val="1A4731"/>
          <w:sz w:val="28"/>
          <w:szCs w:val="28"/>
        </w:rPr>
        <w:t xml:space="preserve">14.3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3360"/>
      </w:tblGrid>
      <w:tr>
        <w:trPr>
          <w:tblHeader/>
        </w:trPr>
        <w:tc>
          <w:tcPr>
            <w:tcW w:type="dxa" w:w="3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KPI</w:t>
            </w:r>
          </w:p>
        </w:tc>
        <w:tc>
          <w:tcPr>
            <w:tcW w:type="dxa" w:w="1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Baseline</w:t>
            </w:r>
          </w:p>
        </w:tc>
        <w:tc>
          <w:tcPr>
            <w:tcW w:type="dxa" w:w="1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Year 2</w:t>
            </w:r>
          </w:p>
        </w:tc>
        <w:tc>
          <w:tcPr>
            <w:tcW w:type="dxa" w:w="1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Year 5</w:t>
            </w:r>
          </w:p>
        </w:tc>
        <w:tc>
          <w:tcPr>
            <w:tcW w:type="dxa" w:w="33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Monitoring</w:t>
            </w:r>
          </w:p>
        </w:tc>
      </w:tr>
      <w:tr>
        <w:trPr>
          <w:tblHeader w:val="false"/>
        </w:trPr>
        <w:tc>
          <w:tcPr>
            <w:tcW w:type="dxa" w:w="3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Essential medicine stockout rate — ProcCHW level</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~35%</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&lt;15%</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&lt;5%</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21-day stockout prediction accuracy benchmarked weekly against actual events</w:t>
            </w:r>
          </w:p>
        </w:tc>
      </w:tr>
      <w:tr>
        <w:trPr>
          <w:tblHeader w:val="false"/>
        </w:trPr>
        <w:tc>
          <w:tcPr>
            <w:tcW w:type="dxa" w:w="3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forecast accuracy — predicted vs actual</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New</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&gt;75%</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&gt;85%</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Retrospective AI 21-day prediction vs actual stockout occurrence monthly</w:t>
            </w:r>
          </w:p>
        </w:tc>
      </w:tr>
      <w:tr>
        <w:trPr>
          <w:tblHeader w:val="false"/>
        </w:trPr>
        <w:tc>
          <w:tcPr>
            <w:tcW w:type="dxa" w:w="3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Emergency resupply response time</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Not measured</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&lt;72 hrs</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&lt;72 hrs 100%</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Platform timestamp from stockout alert to resupply confirmation</w:t>
            </w:r>
          </w:p>
        </w:tc>
      </w:tr>
      <w:tr>
        <w:trPr>
          <w:tblHeader w:val="false"/>
        </w:trPr>
        <w:tc>
          <w:tcPr>
            <w:tcW w:type="dxa" w:w="3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Cold chain uptime — EPI commodities</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C26A0A"/>
                <w:sz w:val="20"/>
                <w:szCs w:val="20"/>
              </w:rPr>
              <w:t xml:space="preserve">~70%</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&gt;85%</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&gt;95%</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Temperature monitoring devices with automated breach alerts within 4 hours</w:t>
            </w:r>
          </w:p>
        </w:tc>
      </w:tr>
      <w:tr>
        <w:trPr>
          <w:tblHeader w:val="false"/>
        </w:trPr>
        <w:tc>
          <w:tcPr>
            <w:tcW w:type="dxa" w:w="3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Equity stockout differential — remote vs accessible</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~15pp gap</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&lt;8pp</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&lt;5pp</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Weekly AI disaggregation of stockout rates by geographic accessibility quintile</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15  </w:t>
      </w:r>
      <w:r>
        <w:rPr>
          <w:rFonts w:ascii="Georgia" w:cs="Georgia" w:eastAsia="Georgia" w:hAnsi="Georgia"/>
          <w:b/>
          <w:bCs/>
          <w:color w:val="FFFFFF"/>
          <w:sz w:val="34"/>
          <w:szCs w:val="34"/>
        </w:rPr>
        <w:t xml:space="preserve">PILLAR 4 — SUSTAINABLE HEALTH FINANCING AND DOMESTIC RESOURCE MOBILISATION (SHFS)</w:t>
      </w:r>
    </w:p>
    <w:p>
      <w:pPr>
        <w:pBdr>
          <w:bottom w:val="single" w:color="B55334"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1A4731" w:sz="6"/>
              <w:left w:val="single" w:color="1A4731" w:sz="6"/>
              <w:bottom w:val="single" w:color="1A4731" w:sz="6"/>
              <w:right w:val="single" w:color="1A4731" w:sz="6"/>
            </w:tcBorders>
            <w:shd w:fill="1A4731" w:val="clear"/>
            <w:tcMar>
              <w:top w:type="dxa" w:w="120"/>
              <w:left w:type="dxa" w:w="120"/>
              <w:bottom w:type="dxa" w:w="120"/>
              <w:right w:type="dxa" w:w="120"/>
            </w:tcMar>
            <w:vAlign w:val="center"/>
          </w:tcPr>
          <w:p>
            <w:pPr>
              <w:spacing w:after="20" w:before="0"/>
              <w:jc w:val="center"/>
            </w:pPr>
            <w:r>
              <w:rPr>
                <w:rFonts w:ascii="Georgia" w:cs="Georgia" w:eastAsia="Georgia" w:hAnsi="Georgia"/>
                <w:b/>
                <w:bCs/>
                <w:color w:val="7BC99A"/>
                <w:sz w:val="16"/>
                <w:szCs w:val="16"/>
              </w:rPr>
              <w:t xml:space="preserve">PILLAR 4</w:t>
            </w:r>
          </w:p>
          <w:p>
            <w:pPr>
              <w:spacing w:after="0" w:before="0"/>
              <w:jc w:val="center"/>
            </w:pPr>
            <w:r>
              <w:rPr>
                <w:rFonts w:ascii="Georgia" w:cs="Georgia" w:eastAsia="Georgia" w:hAnsi="Georgia"/>
                <w:b/>
                <w:bCs/>
                <w:color w:val="FFFFFF"/>
                <w:sz w:val="38"/>
                <w:szCs w:val="38"/>
              </w:rPr>
              <w:t xml:space="preserve">SHFS</w:t>
            </w:r>
          </w:p>
        </w:tc>
        <w:tc>
          <w:tcPr>
            <w:tcW w:type="dxa" w:w="7560"/>
            <w:tcBorders>
              <w:top w:val="single" w:color="1A4731" w:sz="6"/>
              <w:left w:val="single" w:color="1A4731" w:sz="6"/>
              <w:bottom w:val="single" w:color="1A4731" w:sz="6"/>
              <w:right w:val="single" w:color="1A4731" w:sz="6"/>
            </w:tcBorders>
            <w:shd w:fill="EAF3EE" w:val="clear"/>
            <w:tcMar>
              <w:top w:type="dxa" w:w="120"/>
              <w:left w:type="dxa" w:w="200"/>
              <w:bottom w:type="dxa" w:w="120"/>
              <w:right w:type="dxa" w:w="120"/>
            </w:tcMar>
            <w:vAlign w:val="top"/>
          </w:tcPr>
          <w:p>
            <w:pPr>
              <w:spacing w:after="40" w:before="0"/>
              <w:jc w:val="left"/>
            </w:pPr>
            <w:r>
              <w:rPr>
                <w:rFonts w:ascii="Georgia" w:cs="Georgia" w:eastAsia="Georgia" w:hAnsi="Georgia"/>
                <w:b/>
                <w:bCs/>
                <w:color w:val="1A4731"/>
                <w:sz w:val="26"/>
                <w:szCs w:val="26"/>
              </w:rPr>
              <w:t xml:space="preserve">Sustainable Health Financing and Domestic Resource Mobilisation</w:t>
            </w:r>
          </w:p>
          <w:p>
            <w:pPr>
              <w:spacing w:after="30" w:before="0"/>
              <w:jc w:val="left"/>
            </w:pPr>
            <w:r>
              <w:rPr>
                <w:rFonts w:ascii="Georgia" w:cs="Georgia" w:eastAsia="Georgia" w:hAnsi="Georgia"/>
                <w:b/>
                <w:bCs/>
                <w:color w:val="B55334"/>
                <w:sz w:val="19"/>
                <w:szCs w:val="19"/>
              </w:rPr>
              <w:t xml:space="preserve">WHO: Health Financing</w:t>
            </w:r>
          </w:p>
          <w:p>
            <w:pPr>
              <w:spacing w:after="30" w:before="0"/>
              <w:jc w:val="left"/>
            </w:pPr>
            <w:r>
              <w:rPr>
                <w:rFonts w:ascii="Georgia" w:cs="Georgia" w:eastAsia="Georgia" w:hAnsi="Georgia"/>
                <w:i/>
                <w:iCs/>
                <w:color w:val="5C5C5C"/>
                <w:sz w:val="20"/>
                <w:szCs w:val="20"/>
              </w:rPr>
              <w:t xml:space="preserve">Three-party Shared Sovereignty Financing — government, traditional authority, and community as co-equal financing advocates for permanence</w:t>
            </w:r>
          </w:p>
          <w:p>
            <w:pPr>
              <w:spacing w:after="0" w:before="0"/>
              <w:jc w:val="left"/>
            </w:pPr>
            <w:r>
              <w:rPr>
                <w:rFonts w:ascii="Georgia" w:cs="Georgia" w:eastAsia="Georgia" w:hAnsi="Georgia"/>
                <w:b/>
                <w:bCs/>
                <w:color w:val="2C4A6E"/>
                <w:sz w:val="19"/>
                <w:szCs w:val="19"/>
              </w:rPr>
              <w:t xml:space="preserve">◈ AI: Domestic financing scenario simulation | PBI payment integrity | Chieftaincy health summaries for advocacy</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15.1  Shared Sovereignty Financing — The Original Concept</w:t>
      </w:r>
    </w:p>
    <w:p>
      <w:pPr>
        <w:spacing w:after="140" w:before="0"/>
        <w:jc w:val="both"/>
      </w:pPr>
      <w:r>
        <w:rPr>
          <w:rFonts w:ascii="Georgia" w:cs="Georgia" w:eastAsia="Georgia" w:hAnsi="Georgia"/>
          <w:b w:val="false"/>
          <w:bCs w:val="false"/>
          <w:i w:val="false"/>
          <w:iCs w:val="false"/>
          <w:color w:val="252525"/>
          <w:sz w:val="24"/>
          <w:szCs w:val="24"/>
        </w:rPr>
        <w:t xml:space="preserve">Standard health financing frameworks treat domestic financing as a government-donor negotiation — a two-party discussion about how to reduce donor dependency over time. The SHFS introduces a third sovereign party: traditional authority. Paramount Chiefs advocating to District Councils for ProcCHW budget lines within their chiefdoms carry a different political weight in local government chambers than DHMT staff making the same request through administrative channels. Chieftaincy has social standing in District Council governance that administrative advocacy does not possess. This is the Chieftaincy Track — and IDHS makes it more effective by providing chiefs with plain-language community health performance summaries that they can present directly as their advocacy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Financing Track</w:t>
            </w:r>
          </w:p>
        </w:tc>
        <w:tc>
          <w:tcPr>
            <w:tcW w:type="dxa" w:w="3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Human Advocacy Action</w:t>
            </w:r>
          </w:p>
        </w:tc>
        <w:tc>
          <w:tcPr>
            <w:tcW w:type="dxa" w:w="41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Support</w:t>
            </w:r>
          </w:p>
        </w:tc>
      </w:tr>
      <w:tr>
        <w:trPr>
          <w:tblHeader w:val="false"/>
        </w:trPr>
        <w:tc>
          <w:tcPr>
            <w:tcW w:type="dxa" w:w="1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Government Track</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 cost-effectiveness brief to MoH planning; costed CHW plans embedded in DHMT annual planning; national budget line advocacy through MoH Technical Working Group participation</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cost-effectiveness model generates district-specific estimates of cost per life-year saved, cost per iCCM case treated, and cost per referral completed — updated annually from programme data and formatted for MoH planning officers rather than health economists</w:t>
            </w:r>
          </w:p>
        </w:tc>
      </w:tr>
      <w:tr>
        <w:trPr>
          <w:tblHeader w:val="false"/>
        </w:trPr>
        <w:tc>
          <w:tcPr>
            <w:tcW w:type="dxa" w:w="1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Parliament Track</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 Parliamentary Health Committee engagement; constituency-level relationship building with MPs from hard-to-reach districts; peer-to-peer evidence presentations</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domestic financing simulation: given different government financing scenarios, model projects health outcome trajectories in programme districts — MPs can see the health consequence of the budget decision they are being asked to make</w:t>
            </w:r>
          </w:p>
        </w:tc>
      </w:tr>
      <w:tr>
        <w:trPr>
          <w:tblHeader w:val="false"/>
        </w:trPr>
        <w:tc>
          <w:tcPr>
            <w:tcW w:type="dxa" w:w="1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Chieftaincy Track</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Paramount Chiefs formally advocating to District Councils for ProcCHW budget lines within their chiefdoms, using chieftaincy's Constitutional standing in District Council governance</w:t>
            </w:r>
          </w:p>
        </w:tc>
        <w:tc>
          <w:tcPr>
            <w:tcW w:type="dxa" w:w="4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generates quarterly chieftaincy-specific health performance summaries in plain language — showing what BRIDGE 360° LASTMILE CARE achieved in their chiefdom in a format supporting chief-led advocacy without requiring health data literacy</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15.2  Five-Year Domestic Financing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800"/>
        <w:gridCol w:w="900"/>
        <w:gridCol w:w="3400"/>
        <w:gridCol w:w="2260"/>
      </w:tblGrid>
      <w:tr>
        <w:trPr>
          <w:tblHeader/>
        </w:trPr>
        <w:tc>
          <w:tcPr>
            <w:tcW w:type="dxa" w:w="6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Year</w:t>
            </w:r>
          </w:p>
        </w:tc>
        <w:tc>
          <w:tcPr>
            <w:tcW w:type="dxa" w:w="1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Phase</w:t>
            </w:r>
          </w:p>
        </w:tc>
        <w:tc>
          <w:tcPr>
            <w:tcW w:type="dxa" w:w="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Donor %</w:t>
            </w:r>
          </w:p>
        </w:tc>
        <w:tc>
          <w:tcPr>
            <w:tcW w:type="dxa" w:w="9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Government %</w:t>
            </w:r>
          </w:p>
        </w:tc>
        <w:tc>
          <w:tcPr>
            <w:tcW w:type="dxa" w:w="3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Key Financing Milestone</w:t>
            </w:r>
          </w:p>
        </w:tc>
        <w:tc>
          <w:tcPr>
            <w:tcW w:type="dxa" w:w="22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Role</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2026</w:t>
            </w:r>
          </w:p>
        </w:tc>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Demonstrate Value</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5334"/>
                <w:sz w:val="20"/>
                <w:szCs w:val="20"/>
              </w:rPr>
              <w:t xml:space="preserve">100%</w:t>
            </w:r>
          </w:p>
        </w:tc>
        <w:tc>
          <w:tcPr>
            <w:tcW w:type="dxa" w:w="9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0%</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Generate cost-effectiveness evidence in Kenema from Month 1. Begin district budget advocacy immediately — not as a Year 3 afterthought. DHMT data ownership established from programme day one.</w:t>
            </w:r>
          </w:p>
        </w:tc>
        <w:tc>
          <w:tcPr>
            <w:tcW w:type="dxa" w:w="22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cost-effectiveness model generates first annual brief for Kenema DHMT</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2027</w:t>
            </w:r>
          </w:p>
        </w:tc>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Early Transition</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80%</w:t>
            </w:r>
          </w:p>
        </w:tc>
        <w:tc>
          <w:tcPr>
            <w:tcW w:type="dxa" w:w="9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7706E"/>
                <w:sz w:val="20"/>
                <w:szCs w:val="20"/>
              </w:rPr>
              <w:t xml:space="preserve">20%</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Pilot district ProcCHW budget lines in DHMT annual plans. Chieftaincy Track advocacy launched in all pilot districts. First Parliamentary Health Committee engagement with Sierra Leone-specific cost data.</w:t>
            </w:r>
          </w:p>
        </w:tc>
        <w:tc>
          <w:tcPr>
            <w:tcW w:type="dxa" w:w="22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chieftaincy health summaries support Chieftaincy Track advocacy</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2028</w:t>
            </w:r>
          </w:p>
        </w:tc>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Co-Financing</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65%</w:t>
            </w:r>
          </w:p>
        </w:tc>
        <w:tc>
          <w:tcPr>
            <w:tcW w:type="dxa" w:w="9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7706E"/>
                <w:sz w:val="20"/>
                <w:szCs w:val="20"/>
              </w:rPr>
              <w:t xml:space="preserve">35%</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National budget allocation for ProcCHW stipends achieved. DHMT assumes 50% of supervision functions. District eLMIS integration reducing commodity financing complexity.</w:t>
            </w:r>
          </w:p>
        </w:tc>
        <w:tc>
          <w:tcPr>
            <w:tcW w:type="dxa" w:w="22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financing simulation supports Parliament Track presentation</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2029</w:t>
            </w:r>
          </w:p>
        </w:tc>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Primacy</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50%</w:t>
            </w:r>
          </w:p>
        </w:tc>
        <w:tc>
          <w:tcPr>
            <w:tcW w:type="dxa" w:w="9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50%</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Co-financing parity. Government HR systems absorbing ProcCHWs. iREACHE LASTMILE transitions to TA role in Kenema and earliest pilot districts.</w:t>
            </w:r>
          </w:p>
        </w:tc>
        <w:tc>
          <w:tcPr>
            <w:tcW w:type="dxa" w:w="22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financing model transferred to MoH planning department for independent operation</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2030–31</w:t>
            </w:r>
          </w:p>
        </w:tc>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Institutionalisation</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20–30%</w:t>
            </w:r>
          </w:p>
        </w:tc>
        <w:tc>
          <w:tcPr>
            <w:tcW w:type="dxa" w:w="9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70–80%</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Domestic majority. MoH leads all programme operations. iREACHE LASTMILE provides residual TA. BRIDGE 360° LASTMILE CARE absorbed into national PHC budget.</w:t>
            </w:r>
          </w:p>
        </w:tc>
        <w:tc>
          <w:tcPr>
            <w:tcW w:type="dxa" w:w="22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operates all IDHS financing tools independently</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16  </w:t>
      </w:r>
      <w:r>
        <w:rPr>
          <w:rFonts w:ascii="Georgia" w:cs="Georgia" w:eastAsia="Georgia" w:hAnsi="Georgia"/>
          <w:b/>
          <w:bCs/>
          <w:color w:val="FFFFFF"/>
          <w:sz w:val="34"/>
          <w:szCs w:val="34"/>
        </w:rPr>
        <w:t xml:space="preserve">PILLAR 5 — THREE-AUTHORITY COMMUNITY GOVERNANCE AND ACCOUNTABILITY (TACGS)</w:t>
      </w:r>
    </w:p>
    <w:p>
      <w:pPr>
        <w:pBdr>
          <w:bottom w:val="single" w:color="B55334"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1A4731" w:sz="6"/>
              <w:left w:val="single" w:color="1A4731" w:sz="6"/>
              <w:bottom w:val="single" w:color="1A4731" w:sz="6"/>
              <w:right w:val="single" w:color="1A4731" w:sz="6"/>
            </w:tcBorders>
            <w:shd w:fill="1A4731" w:val="clear"/>
            <w:tcMar>
              <w:top w:type="dxa" w:w="120"/>
              <w:left w:type="dxa" w:w="120"/>
              <w:bottom w:type="dxa" w:w="120"/>
              <w:right w:type="dxa" w:w="120"/>
            </w:tcMar>
            <w:vAlign w:val="center"/>
          </w:tcPr>
          <w:p>
            <w:pPr>
              <w:spacing w:after="20" w:before="0"/>
              <w:jc w:val="center"/>
            </w:pPr>
            <w:r>
              <w:rPr>
                <w:rFonts w:ascii="Georgia" w:cs="Georgia" w:eastAsia="Georgia" w:hAnsi="Georgia"/>
                <w:b/>
                <w:bCs/>
                <w:color w:val="7BC99A"/>
                <w:sz w:val="16"/>
                <w:szCs w:val="16"/>
              </w:rPr>
              <w:t xml:space="preserve">PILLAR 5</w:t>
            </w:r>
          </w:p>
          <w:p>
            <w:pPr>
              <w:spacing w:after="0" w:before="0"/>
              <w:jc w:val="center"/>
            </w:pPr>
            <w:r>
              <w:rPr>
                <w:rFonts w:ascii="Georgia" w:cs="Georgia" w:eastAsia="Georgia" w:hAnsi="Georgia"/>
                <w:b/>
                <w:bCs/>
                <w:color w:val="FFFFFF"/>
                <w:sz w:val="38"/>
                <w:szCs w:val="38"/>
              </w:rPr>
              <w:t xml:space="preserve">TACGS</w:t>
            </w:r>
          </w:p>
        </w:tc>
        <w:tc>
          <w:tcPr>
            <w:tcW w:type="dxa" w:w="7560"/>
            <w:tcBorders>
              <w:top w:val="single" w:color="1A4731" w:sz="6"/>
              <w:left w:val="single" w:color="1A4731" w:sz="6"/>
              <w:bottom w:val="single" w:color="1A4731" w:sz="6"/>
              <w:right w:val="single" w:color="1A4731" w:sz="6"/>
            </w:tcBorders>
            <w:shd w:fill="EAF3EE" w:val="clear"/>
            <w:tcMar>
              <w:top w:type="dxa" w:w="120"/>
              <w:left w:type="dxa" w:w="200"/>
              <w:bottom w:type="dxa" w:w="120"/>
              <w:right w:type="dxa" w:w="120"/>
            </w:tcMar>
            <w:vAlign w:val="top"/>
          </w:tcPr>
          <w:p>
            <w:pPr>
              <w:spacing w:after="40" w:before="0"/>
              <w:jc w:val="left"/>
            </w:pPr>
            <w:r>
              <w:rPr>
                <w:rFonts w:ascii="Georgia" w:cs="Georgia" w:eastAsia="Georgia" w:hAnsi="Georgia"/>
                <w:b/>
                <w:bCs/>
                <w:color w:val="1A4731"/>
                <w:sz w:val="26"/>
                <w:szCs w:val="26"/>
              </w:rPr>
              <w:t xml:space="preserve">Three-Authority Community Governance and Accountability</w:t>
            </w:r>
          </w:p>
          <w:p>
            <w:pPr>
              <w:spacing w:after="30" w:before="0"/>
              <w:jc w:val="left"/>
            </w:pPr>
            <w:r>
              <w:rPr>
                <w:rFonts w:ascii="Georgia" w:cs="Georgia" w:eastAsia="Georgia" w:hAnsi="Georgia"/>
                <w:b/>
                <w:bCs/>
                <w:color w:val="B55334"/>
                <w:sz w:val="19"/>
                <w:szCs w:val="19"/>
              </w:rPr>
              <w:t xml:space="preserve">WHO: Leadership and Governance</w:t>
            </w:r>
          </w:p>
          <w:p>
            <w:pPr>
              <w:spacing w:after="30" w:before="0"/>
              <w:jc w:val="left"/>
            </w:pPr>
            <w:r>
              <w:rPr>
                <w:rFonts w:ascii="Georgia" w:cs="Georgia" w:eastAsia="Georgia" w:hAnsi="Georgia"/>
                <w:i/>
                <w:iCs/>
                <w:color w:val="5C5C5C"/>
                <w:sz w:val="20"/>
                <w:szCs w:val="20"/>
              </w:rPr>
              <w:t xml:space="preserve">Traditional authority, government, and community self-governance co-governing — with IDHS tools that are transparent, contestable, and community-owned</w:t>
            </w:r>
          </w:p>
          <w:p>
            <w:pPr>
              <w:spacing w:after="0" w:before="0"/>
              <w:jc w:val="left"/>
            </w:pPr>
            <w:r>
              <w:rPr>
                <w:rFonts w:ascii="Georgia" w:cs="Georgia" w:eastAsia="Georgia" w:hAnsi="Georgia"/>
                <w:b/>
                <w:bCs/>
                <w:color w:val="2C4A6E"/>
                <w:sz w:val="19"/>
                <w:szCs w:val="19"/>
              </w:rPr>
              <w:t xml:space="preserve">◈ AI: Community feedback AI (CHC-contestable) | TRIAD AI Test governance | Quarterly plain-language AI reports</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16.1  Why Three Authorities</w:t>
      </w:r>
    </w:p>
    <w:p>
      <w:pPr>
        <w:spacing w:after="140" w:before="0"/>
        <w:jc w:val="both"/>
      </w:pPr>
      <w:r>
        <w:rPr>
          <w:rFonts w:ascii="Georgia" w:cs="Georgia" w:eastAsia="Georgia" w:hAnsi="Georgia"/>
          <w:b w:val="false"/>
          <w:bCs w:val="false"/>
          <w:i w:val="false"/>
          <w:iCs w:val="false"/>
          <w:color w:val="252525"/>
          <w:sz w:val="24"/>
          <w:szCs w:val="24"/>
        </w:rPr>
        <w:t xml:space="preserve">Sierra Leone's community health governance has always been a monologue — the government health system speaking at communities while ignoring the traditional authority structures that hold actual social legitimacy in those communities. Every INGO that has come to Sierra Leone has replicated this error. The TACGS formalises what Sierra Leone's actual governance reality requires: three authorities governing together, each in the domain where their authority is most legitimate, each accountable to the other two, each holding formal decision-making power rather than advisory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Authority</w:t>
            </w:r>
          </w:p>
        </w:tc>
        <w:tc>
          <w:tcPr>
            <w:tcW w:type="dxa" w:w="2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What They Hold</w:t>
            </w:r>
          </w:p>
        </w:tc>
        <w:tc>
          <w:tcPr>
            <w:tcW w:type="dxa" w:w="26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Decision Domain in TACGS</w:t>
            </w:r>
          </w:p>
        </w:tc>
        <w:tc>
          <w:tcPr>
            <w:tcW w:type="dxa" w:w="19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Governance Role</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Traditional Authority</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Social legitimacy; community enforcement capacity; Bondo and Poro governance networks; embedded community knowledge</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selection endorsement; Traditional Authority Supply Stewardship; Chieftaincy Track financing advocacy; community social norm governance around care-seeking behaviour</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Must understand and formally query any IDHS tool affecting chieftaincy. Quarterly AI governance review at TA Health Governance Council. TRIAD AI Test Traditional Authority dimension.</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Government Health Authority</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Legal authority; technical capacity; DHIS2 and eLMIS governance; national policy authority; resource access</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Co-leadership of all supervision; data system ownership from day one; programme institutionalisation pathway; NASSIT payroll absorption; national policy alignment</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Owns all IDHS tools from day one. Independent DHIS2 dashboard access. Designed for government operation by 2031. TRIAD AI Test Government Health Authority dimension.</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Community Self-Governance</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Lived experience legitimacy; CEIN intelligence governance; accountability mandate of directly affected populations; demand-side health governance</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scorecard administration and publication; CEIN governance; ProcCHW performance review from community perspective; programme priority co-design; resource allocation accountability</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Formally contests any IDHS classification affecting community through TRIAD Protocol. Receives quarterly plain-language AI governance report. TRIAD AI Test Community Self-Governance dimension.</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16.2  The TRIAD Governance Protocol</w:t>
      </w:r>
    </w:p>
    <w:p>
      <w:pPr>
        <w:spacing w:after="140" w:before="0"/>
        <w:jc w:val="both"/>
      </w:pPr>
      <w:r>
        <w:rPr>
          <w:rFonts w:ascii="Georgia" w:cs="Georgia" w:eastAsia="Georgia" w:hAnsi="Georgia"/>
          <w:b w:val="false"/>
          <w:bCs w:val="false"/>
          <w:i w:val="false"/>
          <w:iCs w:val="false"/>
          <w:color w:val="252525"/>
          <w:sz w:val="24"/>
          <w:szCs w:val="24"/>
        </w:rPr>
        <w:t xml:space="preserve">The TRIAD Governance Protocol is the legally-referenced document — signed by the Paramount Chief or representative, the DHMT District Medical Officer, and the iREACHE LASTMILE District Coordinator in every programme district — that makes three-authority governance operationally real. It specifies which decisions are made by which authority, through which process, within which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rPr>
          <w:tblHeader/>
        </w:trPr>
        <w:tc>
          <w:tcPr>
            <w:tcW w:type="dxa" w:w="2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Decision Category</w:t>
            </w:r>
          </w:p>
        </w:tc>
        <w:tc>
          <w:tcPr>
            <w:tcW w:type="dxa" w:w="2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Primary Authority</w:t>
            </w:r>
          </w:p>
        </w:tc>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Required Consultation</w:t>
            </w:r>
          </w:p>
        </w:tc>
        <w:tc>
          <w:tcPr>
            <w:tcW w:type="dxa" w:w="21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Timeline</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ProcCHW selection and appointment</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Traditional Authority — nomination and endorsement</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DHMT verification; CHC acceptance confirmation</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Selection to appointment: maximum 21 days</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ProcCHW formal performance accountability</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Health Authority (DHMT co-led with iREACHE DC)</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Traditional Authority informed; CHC consulted on community experience</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PBI verification; quarterly formal review</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Emergency stockout escalation</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 Supply Chain Manager (operational)</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Traditional Authority Supply Steward notified simultaneously with DC; CHC informed within 48 hours</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72-hour resupply target; chief notification within 24 hours</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Community service priority-setting</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Self-Governance (Community Health Committee)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Traditional Authority endorsement; DHMT technical feasibility review</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 CHC meeting; priorities finalised 30 days before quarter start</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IDHS tool contestation</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Self-Governance (CHC) submits formal contestation</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 Digital Systems Manager + DHMT health information officer conduct joint review</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30-day mandatory resolution; result reported to CHC; model retrained if error confirmed</w:t>
            </w:r>
          </w:p>
        </w:tc>
      </w:tr>
      <w:tr>
        <w:trPr>
          <w:tblHeader w:val="false"/>
        </w:trPr>
        <w:tc>
          <w:tcPr>
            <w:tcW w:type="dxa" w:w="2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ProcCHW formal disciplinary action</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 HR (operational authority)</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DHMT co-review mandatory; Traditional Authority informed; CHC given formal input opportunity</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Performance Improvement Plan process: 30/60/90 days before dismissal considered</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16.3  Community Accountability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Mechanism</w:t>
            </w:r>
          </w:p>
        </w:tc>
        <w:tc>
          <w:tcPr>
            <w:tcW w:type="dxa" w:w="4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How It Works</w:t>
            </w:r>
          </w:p>
        </w:tc>
        <w:tc>
          <w:tcPr>
            <w:tcW w:type="dxa" w:w="29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Support</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TA Health Governance Councils</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 chieftaincy-level meetings reviewing ProcCHW performance data, CEIN intelligence, supply chain status, and health outcomes. Minimum 50% female attendance required for governance legitimacy. Bondo society represented where active.</w:t>
            </w:r>
          </w:p>
        </w:tc>
        <w:tc>
          <w:tcPr>
            <w:tcW w:type="dxa" w:w="2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chieftaincy performance summary auto-generated for each council meeting. All council decisions logged in TACGS governance module of government platform.</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Toll-Free Accountability Hotline</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National 24/7 toll-free number prominently displayed on ProcCHW ID cards, community notice boards, and PHU walls. Every contact logged, classified, and responded to within 10 business days. Quarterly aggregate reports to Community Health Committees. Zero tolerance for unanswered contacts.</w:t>
            </w:r>
          </w:p>
        </w:tc>
        <w:tc>
          <w:tcPr>
            <w:tcW w:type="dxa" w:w="2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classifies contacts by urgency, type, and appropriate routing. All classifications visible to CHC quarterly and formally contestable. High-urgency safeguarding contacts routed immediately to Safeguarding Focal Point.</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Bi-Annual Community Scorecard</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Independent facilitation every 6 months — not iREACHE staff. Eight dimensions: availability, respectfulness, clinical competence, referral follow-through, data privacy, equity, trustworthiness, overall satisfaction. Results published publicly at community level.</w:t>
            </w:r>
          </w:p>
        </w:tc>
        <w:tc>
          <w:tcPr>
            <w:tcW w:type="dxa" w:w="2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sentiment analysis on narrative scorecard responses identifies themes across communities. Pattern reports shared with Programme Director and DHMTs. Raw community responses never processed by AI without CHC knowledge.</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Annual Open House Accountability Meeting</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 public meeting where ProcCHW and supervisor present programme results. Community members ask direct questions — including critical ones. No PR management of community questions. All community suggestions formally responded to within 60 days.</w:t>
            </w:r>
          </w:p>
        </w:tc>
        <w:tc>
          <w:tcPr>
            <w:tcW w:type="dxa" w:w="2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generates community-specific health outcome visual for Open House — showing what changed in health indicators in this community over the past year in Krio where appropriate.</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Quarterly AI Governance Report</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New TACGS mechanism specific to IDHS integration: quarterly plain-language report to each CHC documenting which IDHS tools are active, what each does and does not do, TRIAD AI Test compliance status, and how to formally contest any output.</w:t>
            </w:r>
          </w:p>
        </w:tc>
        <w:tc>
          <w:tcPr>
            <w:tcW w:type="dxa" w:w="2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Auto-generated from government platform; reviewed by DC before distribution; available in English and Krio; CHC chair signature confirming receipt and understanding required before next quarter begins.</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17  </w:t>
      </w:r>
      <w:r>
        <w:rPr>
          <w:rFonts w:ascii="Georgia" w:cs="Georgia" w:eastAsia="Georgia" w:hAnsi="Georgia"/>
          <w:b/>
          <w:bCs/>
          <w:color w:val="FFFFFF"/>
          <w:sz w:val="34"/>
          <w:szCs w:val="34"/>
        </w:rPr>
        <w:t xml:space="preserve">PILLAR 6 — PROACTIVE COMMUNITY HEALTH SERVICE DELIVERY (PCHDS)</w:t>
      </w:r>
    </w:p>
    <w:p>
      <w:pPr>
        <w:pBdr>
          <w:bottom w:val="single" w:color="B55334"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1A4731" w:sz="6"/>
              <w:left w:val="single" w:color="1A4731" w:sz="6"/>
              <w:bottom w:val="single" w:color="1A4731" w:sz="6"/>
              <w:right w:val="single" w:color="1A4731" w:sz="6"/>
            </w:tcBorders>
            <w:shd w:fill="1A4731" w:val="clear"/>
            <w:tcMar>
              <w:top w:type="dxa" w:w="120"/>
              <w:left w:type="dxa" w:w="120"/>
              <w:bottom w:type="dxa" w:w="120"/>
              <w:right w:type="dxa" w:w="120"/>
            </w:tcMar>
            <w:vAlign w:val="center"/>
          </w:tcPr>
          <w:p>
            <w:pPr>
              <w:spacing w:after="20" w:before="0"/>
              <w:jc w:val="center"/>
            </w:pPr>
            <w:r>
              <w:rPr>
                <w:rFonts w:ascii="Georgia" w:cs="Georgia" w:eastAsia="Georgia" w:hAnsi="Georgia"/>
                <w:b/>
                <w:bCs/>
                <w:color w:val="7BC99A"/>
                <w:sz w:val="16"/>
                <w:szCs w:val="16"/>
              </w:rPr>
              <w:t xml:space="preserve">PILLAR 6</w:t>
            </w:r>
          </w:p>
          <w:p>
            <w:pPr>
              <w:spacing w:after="0" w:before="0"/>
              <w:jc w:val="center"/>
            </w:pPr>
            <w:r>
              <w:rPr>
                <w:rFonts w:ascii="Georgia" w:cs="Georgia" w:eastAsia="Georgia" w:hAnsi="Georgia"/>
                <w:b/>
                <w:bCs/>
                <w:color w:val="FFFFFF"/>
                <w:sz w:val="38"/>
                <w:szCs w:val="38"/>
              </w:rPr>
              <w:t xml:space="preserve">PCHDS</w:t>
            </w:r>
          </w:p>
        </w:tc>
        <w:tc>
          <w:tcPr>
            <w:tcW w:type="dxa" w:w="7560"/>
            <w:tcBorders>
              <w:top w:val="single" w:color="1A4731" w:sz="6"/>
              <w:left w:val="single" w:color="1A4731" w:sz="6"/>
              <w:bottom w:val="single" w:color="1A4731" w:sz="6"/>
              <w:right w:val="single" w:color="1A4731" w:sz="6"/>
            </w:tcBorders>
            <w:shd w:fill="EAF3EE" w:val="clear"/>
            <w:tcMar>
              <w:top w:type="dxa" w:w="120"/>
              <w:left w:type="dxa" w:w="200"/>
              <w:bottom w:type="dxa" w:w="120"/>
              <w:right w:type="dxa" w:w="120"/>
            </w:tcMar>
            <w:vAlign w:val="top"/>
          </w:tcPr>
          <w:p>
            <w:pPr>
              <w:spacing w:after="40" w:before="0"/>
              <w:jc w:val="left"/>
            </w:pPr>
            <w:r>
              <w:rPr>
                <w:rFonts w:ascii="Georgia" w:cs="Georgia" w:eastAsia="Georgia" w:hAnsi="Georgia"/>
                <w:b/>
                <w:bCs/>
                <w:color w:val="1A4731"/>
                <w:sz w:val="26"/>
                <w:szCs w:val="26"/>
              </w:rPr>
              <w:t xml:space="preserve">Proactive Community Health Service Delivery</w:t>
            </w:r>
          </w:p>
          <w:p>
            <w:pPr>
              <w:spacing w:after="30" w:before="0"/>
              <w:jc w:val="left"/>
            </w:pPr>
            <w:r>
              <w:rPr>
                <w:rFonts w:ascii="Georgia" w:cs="Georgia" w:eastAsia="Georgia" w:hAnsi="Georgia"/>
                <w:b/>
                <w:bCs/>
                <w:color w:val="B55334"/>
                <w:sz w:val="19"/>
                <w:szCs w:val="19"/>
              </w:rPr>
              <w:t xml:space="preserve">WHO: Service Delivery</w:t>
            </w:r>
          </w:p>
          <w:p>
            <w:pPr>
              <w:spacing w:after="30" w:before="0"/>
              <w:jc w:val="left"/>
            </w:pPr>
            <w:r>
              <w:rPr>
                <w:rFonts w:ascii="Georgia" w:cs="Georgia" w:eastAsia="Georgia" w:hAnsi="Georgia"/>
                <w:i/>
                <w:iCs/>
                <w:color w:val="5C5C5C"/>
                <w:sz w:val="20"/>
                <w:szCs w:val="20"/>
              </w:rPr>
              <w:t xml:space="preserve">The monthly proactive rhythm that proves the system is alive — care goes to communities before crises develop</w:t>
            </w:r>
          </w:p>
          <w:p>
            <w:pPr>
              <w:spacing w:after="0" w:before="0"/>
              <w:jc w:val="left"/>
            </w:pPr>
            <w:r>
              <w:rPr>
                <w:rFonts w:ascii="Georgia" w:cs="Georgia" w:eastAsia="Georgia" w:hAnsi="Georgia"/>
                <w:b/>
                <w:bCs/>
                <w:color w:val="2C4A6E"/>
                <w:sz w:val="19"/>
                <w:szCs w:val="19"/>
              </w:rPr>
              <w:t xml:space="preserve">◈ AI: iCCM danger sign recognition | MUAC trajectory analysis | Obstetric emergency pattern detection | AI-prioritised visit scheduling</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17.1  The Proactive Care Foundation</w:t>
      </w:r>
    </w:p>
    <w:p>
      <w:pPr>
        <w:spacing w:after="140" w:before="0"/>
        <w:jc w:val="both"/>
      </w:pPr>
      <w:r>
        <w:rPr>
          <w:rFonts w:ascii="Georgia" w:cs="Georgia" w:eastAsia="Georgia" w:hAnsi="Georgia"/>
          <w:b w:val="false"/>
          <w:bCs w:val="false"/>
          <w:i w:val="false"/>
          <w:iCs w:val="false"/>
          <w:color w:val="252525"/>
          <w:sz w:val="24"/>
          <w:szCs w:val="24"/>
        </w:rPr>
        <w:t xml:space="preserve">Muso Health's foundational evidence — that removing barriers to care rather than reducing them produces dramatically better equity outcomes — is the primary evidence base for PCHDS. The barriers that prevent sick people from reaching care are always highest for the sickest and most vulnerable households. BRIDGE 360° LASTMILE CARE's PCHDS operationalises this insight: the health system goes to the community before crises develop, not after patients have navigated barriers at their most vulnerable. IDHS makes proactive care more targeted, more clinically consistent, and more equitable without reducing its universal character — every household is still visited every month, and AI ensures that the highest-risk households are reached first within that universal commitment.</w:t>
      </w:r>
    </w:p>
    <w:p>
      <w:pPr>
        <w:pStyle w:val="Heading2"/>
        <w:pBdr>
          <w:bottom w:val="single" w:color="EAF3EE" w:sz="4"/>
        </w:pBdr>
        <w:spacing w:after="100" w:before="280"/>
      </w:pPr>
      <w:r>
        <w:rPr>
          <w:rFonts w:ascii="Georgia" w:cs="Georgia" w:eastAsia="Georgia" w:hAnsi="Georgia"/>
          <w:b/>
          <w:bCs/>
          <w:color w:val="1A4731"/>
          <w:sz w:val="28"/>
          <w:szCs w:val="28"/>
        </w:rPr>
        <w:t xml:space="preserve">17.2  The Seven-Area Integrated Service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800"/>
        <w:gridCol w:w="2160"/>
      </w:tblGrid>
      <w:tr>
        <w:trPr>
          <w:tblHeader/>
        </w:trPr>
        <w:tc>
          <w:tcPr>
            <w:tcW w:type="dxa" w:w="20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Programme Area</w:t>
            </w:r>
          </w:p>
        </w:tc>
        <w:tc>
          <w:tcPr>
            <w:tcW w:type="dxa" w:w="3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Key ProcCHW Interventions</w:t>
            </w:r>
          </w:p>
        </w:tc>
        <w:tc>
          <w:tcPr>
            <w:tcW w:type="dxa" w:w="1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Priority Beneficiaries</w:t>
            </w:r>
          </w:p>
        </w:tc>
        <w:tc>
          <w:tcPr>
            <w:tcW w:type="dxa" w:w="21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Enhancement</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Maternal and Newborn Health</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Early pregnancy identification; ANC 4+ facilitation and scheduling; danger sign detection and emergency referral; birth planning and transport arrangement; postnatal home visits Days 1, 7, and 28; newborn cord care; exclusive breastfeeding support</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Pregnant women; newborns 0–28 days; postpartum mothers</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combined obstetric danger sign pattern recognition — identifies emergency patterns from combinations of borderline readings that individual findings alone would not trigger</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Childhood Disease — iCCM</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Malaria RDT testing and artemether-lumefantrine treatment per weight band; pneumonia respiratory rate assessment and amoxicillin treatment; diarrhea management with ORS plus zinc; acute malnutrition screening; danger sign assessment and urgent referral</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Children under 5 years</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iCCM protocol adherence support; drug-dose verification per weight; RDT result quality flag when presentation inconsistent with result</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Immunisation and Zero-Dose Reduction</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Digital immunisation registry management; zero-dose child identification, tracking and follow-up scheduling; EPI demand generation; completion facilitation; CEIN-integrated immunisation surveillance</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Children 0–23 months; all zero-dose children in catchment</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monthly risk-stratified zero-dose and behind-schedule follow-up list; IDHS zero-dose prediction model from household registration data</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Nutrition Systems</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MUAC screening for all children 6–59 months; bilateral pitting edema assessment; SAM referral to OTP within 48 hours; MAM management; RUTF adherence follow-up; IYCF counselling; Vitamin A and micronutrient supplementation; maternal MUAC</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Children 6–59 months; pregnant and lactating women</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MUAC trajectory analysis predicting SAM onset 60 days before threshold crossed from sequential MUAC readings — enabling preventive nutrition support before severe malnutrition occurs</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Sexual and Reproductive Health</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FP counselling; OCP and condom provision; long-acting contraception referral; PMTCT awareness; adolescent-friendly services; male partner engagement sessions; post-partum FP initiation</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Women 15–49; adolescents; male partners</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FP supply forecasting ensuring contraceptive availability; unmet need pattern identification from household survey data</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Community Disease Surveillance</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Weekly syndrome reporting for all 15 IDSR priority conditions; mandatory zero-report protocol; outbreak signal detection; CEIN event activation; rumour investigation and verification; community event-based surveillance</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households; high-risk chieftaincies identified through CISS</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outbreak signal detection in DHIS2 IDSR identifies unusual clustering before formal alert thresholds — DHMT alerted automatically</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Climate and Emergency Health</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Climate-sensitive disease monitoring (malaria, diarrhea, heat stress); WASH promotion; flood and outbreak emergency protocols; supply chain pre-positioning before seasonal road closure; community resilience building; Post-Ebola Mental Health Pulse Check in affected communities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households; climate-vulnerable communities; Ebola-affected communities</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meteorological data integration for Rainy Season Routing Protocol pre-positioning triggers; AI aggregate mental health screening trend analysis by community type</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17.3  Sierra Leone-Original PCHDS Innovations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Innovation</w:t>
            </w:r>
          </w:p>
        </w:tc>
        <w:tc>
          <w:tcPr>
            <w:tcW w:type="dxa" w:w="3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Human System</w:t>
            </w:r>
          </w:p>
        </w:tc>
        <w:tc>
          <w:tcPr>
            <w:tcW w:type="dxa" w:w="35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Enhancement</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Traditional Authority Access Endorsement</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Paramount and Section Chief formal public endorsement of ProcCHW household visits changes the social permission structure — visits become community governance expectations, not external programme activities</w:t>
            </w:r>
          </w:p>
        </w:tc>
        <w:tc>
          <w:tcPr>
            <w:tcW w:type="dxa" w:w="3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household visit coverage analysis identifies systematically unvisited households over multiple months, surfacing access barriers to supervisor for TA engagement. AI makes the gap visible; human and governance structures address it.</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Agricultural Calendar Alignment Protocol</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Visit scheduling formally adjusted around each district's specific farming calendar with CHC co-development — peak agricultural seasons never become health access gaps</w:t>
            </w:r>
          </w:p>
        </w:tc>
        <w:tc>
          <w:tcPr>
            <w:tcW w:type="dxa" w:w="3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seasonal coverage analysis identifies coverage rate changes during farming seasons and generates district-specific scheduling adjustment recommendations for CHC review. CHC approves calendar before implementation.</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Post-Ebola Mental Health Pulse Check</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Basic psychological health screening integrated into routine household visits in Ebola-affected communities. Screening tool validated with Sierra Leonean clinical psychologists. Positive screens referred to PHU mental health officers.</w:t>
            </w:r>
          </w:p>
        </w:tc>
        <w:tc>
          <w:tcPr>
            <w:tcW w:type="dxa" w:w="3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aggregate anonymised mental health screening pattern analysis identifies community-level psychological health trajectories over time — informing DHMT mental health resource allocation. No individual mental health data processed by AI.</w:t>
            </w:r>
          </w:p>
        </w:tc>
      </w:tr>
    </w:tbl>
    <w:p>
      <w:pPr>
        <w:pStyle w:val="Heading2"/>
        <w:pBdr>
          <w:bottom w:val="single" w:color="EAF3EE" w:sz="4"/>
        </w:pBdr>
        <w:spacing w:after="100" w:before="280"/>
      </w:pPr>
      <w:r>
        <w:rPr>
          <w:rFonts w:ascii="Georgia" w:cs="Georgia" w:eastAsia="Georgia" w:hAnsi="Georgia"/>
          <w:b/>
          <w:bCs/>
          <w:color w:val="1A4731"/>
          <w:sz w:val="28"/>
          <w:szCs w:val="28"/>
        </w:rPr>
        <w:t xml:space="preserve">17.4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400"/>
        <w:gridCol w:w="2360"/>
      </w:tblGrid>
      <w:tr>
        <w:trPr>
          <w:tblHeader/>
        </w:trPr>
        <w:tc>
          <w:tcPr>
            <w:tcW w:type="dxa" w:w="3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KPI</w:t>
            </w:r>
          </w:p>
        </w:tc>
        <w:tc>
          <w:tcPr>
            <w:tcW w:type="dxa" w:w="16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Target</w:t>
            </w:r>
          </w:p>
        </w:tc>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Alert</w:t>
            </w:r>
          </w:p>
        </w:tc>
        <w:tc>
          <w:tcPr>
            <w:tcW w:type="dxa" w:w="23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Monitoring</w:t>
            </w:r>
          </w:p>
        </w:tc>
      </w:tr>
      <w:tr>
        <w:trPr>
          <w:tblHeader w:val="false"/>
        </w:trPr>
        <w:tc>
          <w:tcPr>
            <w:tcW w:type="dxa" w:w="3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household visit coverage</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&gt;85% registered HHs</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&lt;70% → Senior ProcCHW call; &lt;60% → supervisor field visit</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access barrier identification for persistently unvisited households</w:t>
            </w:r>
          </w:p>
        </w:tc>
      </w:tr>
      <w:tr>
        <w:trPr>
          <w:tblHeader w:val="false"/>
        </w:trPr>
        <w:tc>
          <w:tcPr>
            <w:tcW w:type="dxa" w:w="3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iCCM protocol adherence score — observed</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&gt;75%</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&lt;60% triggers targeted retraining within 21 days</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alert accuracy audit — clinical alert validation by supervisors quarterly</w:t>
            </w:r>
          </w:p>
        </w:tc>
      </w:tr>
      <w:tr>
        <w:trPr>
          <w:tblHeader w:val="false"/>
        </w:trPr>
        <w:tc>
          <w:tcPr>
            <w:tcW w:type="dxa" w:w="3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ANC referral completion rate</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&gt;80%</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&lt;65% triggers referral pathway investigation</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referral completion prediction; transport barrier identification</w:t>
            </w:r>
          </w:p>
        </w:tc>
      </w:tr>
      <w:tr>
        <w:trPr>
          <w:tblHeader w:val="false"/>
        </w:trPr>
        <w:tc>
          <w:tcPr>
            <w:tcW w:type="dxa" w:w="3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MUAC screening coverage — children 6–59 months</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&gt;90% of registered children</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&lt;80% triggers household coverage investigation</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MUAC trajectory analysis; SAM prediction alerts for at-risk children</w:t>
            </w:r>
          </w:p>
        </w:tc>
      </w:tr>
      <w:tr>
        <w:trPr>
          <w:tblHeader w:val="false"/>
        </w:trPr>
        <w:tc>
          <w:tcPr>
            <w:tcW w:type="dxa" w:w="3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Zero-dose child identification rate</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&gt;90% of estimated cohort</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&lt;75% triggers census audit in affected communities</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zero-dose risk-stratified monthly follow-up list</w:t>
            </w:r>
          </w:p>
        </w:tc>
      </w:tr>
      <w:tr>
        <w:trPr>
          <w:tblHeader w:val="false"/>
        </w:trPr>
        <w:tc>
          <w:tcPr>
            <w:tcW w:type="dxa" w:w="3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Agricultural calendar coverage compliance</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Same monthly target during farming seasons</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&gt;10pp drop triggers scheduling redesign and CHC consultation</w:t>
            </w:r>
          </w:p>
        </w:tc>
        <w:tc>
          <w:tcPr>
            <w:tcW w:type="dxa" w:w="2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seasonal coverage comparison against baseline; scheduling recommendation to CHC</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18  </w:t>
      </w:r>
      <w:r>
        <w:rPr>
          <w:rFonts w:ascii="Georgia" w:cs="Georgia" w:eastAsia="Georgia" w:hAnsi="Georgia"/>
          <w:b/>
          <w:bCs/>
          <w:color w:val="FFFFFF"/>
          <w:sz w:val="34"/>
          <w:szCs w:val="34"/>
        </w:rPr>
        <w:t xml:space="preserve">PILLAR 7 — DRIVING SUSTAINED IMPACT THROUGH STRATEGIC PARTNERSHIPS</w:t>
      </w:r>
    </w:p>
    <w:p>
      <w:pPr>
        <w:pBdr>
          <w:bottom w:val="single" w:color="B55334"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val="false"/>
        </w:trPr>
        <w:tc>
          <w:tcPr>
            <w:tcW w:type="dxa" w:w="1800"/>
            <w:tcBorders>
              <w:top w:val="single" w:color="1A4731" w:sz="6"/>
              <w:left w:val="single" w:color="1A4731" w:sz="6"/>
              <w:bottom w:val="single" w:color="1A4731" w:sz="6"/>
              <w:right w:val="single" w:color="1A4731" w:sz="6"/>
            </w:tcBorders>
            <w:shd w:fill="1A4731" w:val="clear"/>
            <w:tcMar>
              <w:top w:type="dxa" w:w="120"/>
              <w:left w:type="dxa" w:w="120"/>
              <w:bottom w:type="dxa" w:w="120"/>
              <w:right w:type="dxa" w:w="120"/>
            </w:tcMar>
            <w:vAlign w:val="center"/>
          </w:tcPr>
          <w:p>
            <w:pPr>
              <w:spacing w:after="20" w:before="0"/>
              <w:jc w:val="center"/>
            </w:pPr>
            <w:r>
              <w:rPr>
                <w:rFonts w:ascii="Georgia" w:cs="Georgia" w:eastAsia="Georgia" w:hAnsi="Georgia"/>
                <w:b/>
                <w:bCs/>
                <w:color w:val="7BC99A"/>
                <w:sz w:val="16"/>
                <w:szCs w:val="16"/>
              </w:rPr>
              <w:t xml:space="preserve">PILLAR 7</w:t>
            </w:r>
          </w:p>
          <w:p>
            <w:pPr>
              <w:spacing w:after="0" w:before="0"/>
              <w:jc w:val="center"/>
            </w:pPr>
            <w:r>
              <w:rPr>
                <w:rFonts w:ascii="Georgia" w:cs="Georgia" w:eastAsia="Georgia" w:hAnsi="Georgia"/>
                <w:b/>
                <w:bCs/>
                <w:color w:val="FFFFFF"/>
                <w:sz w:val="38"/>
                <w:szCs w:val="38"/>
              </w:rPr>
              <w:t xml:space="preserve">IMPACT</w:t>
            </w:r>
          </w:p>
        </w:tc>
        <w:tc>
          <w:tcPr>
            <w:tcW w:type="dxa" w:w="7560"/>
            <w:tcBorders>
              <w:top w:val="single" w:color="1A4731" w:sz="6"/>
              <w:left w:val="single" w:color="1A4731" w:sz="6"/>
              <w:bottom w:val="single" w:color="1A4731" w:sz="6"/>
              <w:right w:val="single" w:color="1A4731" w:sz="6"/>
            </w:tcBorders>
            <w:shd w:fill="EAF3EE" w:val="clear"/>
            <w:tcMar>
              <w:top w:type="dxa" w:w="120"/>
              <w:left w:type="dxa" w:w="200"/>
              <w:bottom w:type="dxa" w:w="120"/>
              <w:right w:type="dxa" w:w="120"/>
            </w:tcMar>
            <w:vAlign w:val="top"/>
          </w:tcPr>
          <w:p>
            <w:pPr>
              <w:spacing w:after="40" w:before="0"/>
              <w:jc w:val="left"/>
            </w:pPr>
            <w:r>
              <w:rPr>
                <w:rFonts w:ascii="Georgia" w:cs="Georgia" w:eastAsia="Georgia" w:hAnsi="Georgia"/>
                <w:b/>
                <w:bCs/>
                <w:color w:val="1A4731"/>
                <w:sz w:val="26"/>
                <w:szCs w:val="26"/>
              </w:rPr>
              <w:t xml:space="preserve">Driving Sustained Impact Through Strategic Partnerships</w:t>
            </w:r>
          </w:p>
          <w:p>
            <w:pPr>
              <w:spacing w:after="30" w:before="0"/>
              <w:jc w:val="left"/>
            </w:pPr>
            <w:r>
              <w:rPr>
                <w:rFonts w:ascii="Georgia" w:cs="Georgia" w:eastAsia="Georgia" w:hAnsi="Georgia"/>
                <w:b/>
                <w:bCs/>
                <w:color w:val="B55334"/>
                <w:sz w:val="19"/>
                <w:szCs w:val="19"/>
              </w:rPr>
              <w:t xml:space="preserve">WHO: Cross-Cutting — Health Systems Strengthening</w:t>
            </w:r>
          </w:p>
          <w:p>
            <w:pPr>
              <w:spacing w:after="30" w:before="0"/>
              <w:jc w:val="left"/>
            </w:pPr>
            <w:r>
              <w:rPr>
                <w:rFonts w:ascii="Georgia" w:cs="Georgia" w:eastAsia="Georgia" w:hAnsi="Georgia"/>
                <w:i/>
                <w:iCs/>
                <w:color w:val="5C5C5C"/>
                <w:sz w:val="20"/>
                <w:szCs w:val="20"/>
              </w:rPr>
              <w:t xml:space="preserve">Collaborating with governments, private sector, stakeholders, and communities to develop frameworks, strategies, and innovative mechanisms that strengthen health systems</w:t>
            </w:r>
          </w:p>
          <w:p>
            <w:pPr>
              <w:spacing w:after="0" w:before="0"/>
              <w:jc w:val="left"/>
            </w:pPr>
            <w:r>
              <w:rPr>
                <w:rFonts w:ascii="Georgia" w:cs="Georgia" w:eastAsia="Georgia" w:hAnsi="Georgia"/>
                <w:b/>
                <w:bCs/>
                <w:color w:val="2C4A6E"/>
                <w:sz w:val="19"/>
                <w:szCs w:val="19"/>
              </w:rPr>
              <w:t xml:space="preserve">◈ AI: AI knowledge management | Policy simulation for advocacy | Literature synthesis for Learning Briefs</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18.1  The Pillar Purpose and Inspiration</w:t>
      </w:r>
    </w:p>
    <w:p>
      <w:pPr>
        <w:spacing w:after="140" w:before="0"/>
        <w:jc w:val="both"/>
      </w:pPr>
      <w:r>
        <w:rPr>
          <w:rFonts w:ascii="Georgia" w:cs="Georgia" w:eastAsia="Georgia" w:hAnsi="Georgia"/>
          <w:b w:val="false"/>
          <w:bCs w:val="false"/>
          <w:i w:val="false"/>
          <w:iCs w:val="false"/>
          <w:color w:val="252525"/>
          <w:sz w:val="24"/>
          <w:szCs w:val="24"/>
        </w:rPr>
        <w:t xml:space="preserve">The seventh pillar of the REACH 360° Framework takes its direct inspiration from VillageReach's foundational organisational principle: driving sustained impact by collaborating with governments, the private sector, stakeholders, and communities to develop frameworks, strategies, and innovative mechanisms that strengthen health systems. This principle names what separates a systems-building organisation from a programme implementation organisation — the sustained investment in the ecosystem of partnerships, knowledge, policy influence, and technical assistance through which health systems change becomes self-reinforcing beyond any single programme's geographic or temporal boundaries.</w:t>
      </w:r>
    </w:p>
    <w:p>
      <w:pPr>
        <w:spacing w:after="140" w:before="0"/>
        <w:jc w:val="both"/>
      </w:pPr>
      <w:r>
        <w:rPr>
          <w:rFonts w:ascii="Georgia" w:cs="Georgia" w:eastAsia="Georgia" w:hAnsi="Georgia"/>
          <w:b w:val="false"/>
          <w:bCs w:val="false"/>
          <w:i w:val="false"/>
          <w:iCs w:val="false"/>
          <w:color w:val="252525"/>
          <w:sz w:val="24"/>
          <w:szCs w:val="24"/>
        </w:rPr>
        <w:t xml:space="preserve">The Strategic Partnerships pillar gives the REACH 360° Framework something that no previous version of this document contained as a standalone structural commitment: an explicit recognition that iREACHE LASTMILE's impact extends beyond its 6,800 ProcCHWs and its 16 programme districts through the evidence it generates, the capabilities it transfers, the policies it influences, and the knowledge it contributes to the global community health field.</w:t>
      </w:r>
    </w:p>
    <w:p>
      <w:pPr>
        <w:pStyle w:val="Heading2"/>
        <w:pBdr>
          <w:bottom w:val="single" w:color="EAF3EE" w:sz="4"/>
        </w:pBdr>
        <w:spacing w:after="100" w:before="280"/>
      </w:pPr>
      <w:r>
        <w:rPr>
          <w:rFonts w:ascii="Georgia" w:cs="Georgia" w:eastAsia="Georgia" w:hAnsi="Georgia"/>
          <w:b/>
          <w:bCs/>
          <w:color w:val="1A4731"/>
          <w:sz w:val="28"/>
          <w:szCs w:val="28"/>
        </w:rPr>
        <w:t xml:space="preserve">18.2  The Partnership Architecture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360"/>
      </w:tblGrid>
      <w:tr>
        <w:trPr>
          <w:tblHeader/>
        </w:trPr>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Partnership Category</w:t>
            </w:r>
          </w:p>
        </w:tc>
        <w:tc>
          <w:tcPr>
            <w:tcW w:type="dxa" w:w="40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Key Partners and Mechanisms</w:t>
            </w:r>
          </w:p>
        </w:tc>
        <w:tc>
          <w:tcPr>
            <w:tcW w:type="dxa" w:w="33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Strategic Purpose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Government Partnerships</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Ministry of Health — National Community Health Technical Working Group; Vision 2030 co-implementation. 16 DHMTs — programme co-leadership; system data ownership. National Medicines Regulatory Agency — iCCM commodity authorisation. District Councils — CHW budget line advocacy.</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Ensure BRIDGE 360° LASTMILE CARE becomes a permanent function of Sierra Leone's government health system rather than an NGO programme that co-exists with government systems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UN and Multilateral Partnerships</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UNICEF — UNICEF-MasterCard Foundation programme implementation; community health standards. WHO — REACH 360° Framework alignment with WHO Building Blocks; AI ethics guidance application. GAVI — zero-dose reduction integration with national immunisation programme. Global Fund — community health systems strengthening grants.</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Access primary financing vehicles; ensure REACH 360° Framework meets international programme quality standards; contribute to global knowledge through WHO learning platforms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Bilateral Development Partners</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FCDO — national sub-grantee or prime partner for Saving Lives in Sierra Leone III consortium. USAID — bilateral health systems strengthening partnership. European Union — regional West Africa health systems grants. KfW — infrastructure and supply chain investments.</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Diversify financing beyond UNICEF-MCF primary vehicle; ensure programme resilience against single donor dependency; access bilateral partners' technical assistance networks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Academic and Research Partnerships</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University of Sierra Leone (College of Medicine and Allied Health Sciences) — primary Sierra Leonean academic partner; co-authorship of peer-reviewed publications; ethics review committee. London School of Hygiene and Tropical Medicine — international academic partner; implementation science methodology. Exemplars in Global Health — REACH 360° Framework as global learning case study.</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Generate peer-reviewed evidence from programme implementation; build Sierra Leonean academic community capacity; contribute to global community health evidence base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National NGO and Civil Society</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Concern Worldwide — FCDO SLiSL-III consortium partnership. SEND Sierra Leone — civil society advocacy alliance. Welbodi Partnership — complementary hospital-based services. AdvocAid — community legal services integration.</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Build the national NGO ecosystem that sustains community health systems strengthening beyond any single organisation's programme; avoid competitive fragmentation of Sierra Leone's NGO sector</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Private Sector</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Telecommunications companies — mobile money for ProcCHW payment; connectivity partnerships for offline-capable government platforms. Sierra Leone mining companies — corporate social responsibility health investments in operating communities. Pharmaceutical distributors — last-mile supply chain partnership.</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Access non-donor financing streams; leverage private sector logistics networks for last-mile supply chain; build sustainable public-private health partnerships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Global Community Health Networks</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Impact Coalition — community health standards alignment. Primary Health Care Performance Initiative — MEL framework calibration. Health Systems Global — implementation science exchange. INDEPTH Network — longitudinal health research.</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Position iREACHE LASTMILE as a knowledge producer and global field contributor; access peer learning that improves REACH 360° Framework design; share Sierra Leone evidence with global community</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18.3  The Community Health Systems Innovation and Learning Centre</w:t>
      </w:r>
    </w:p>
    <w:p>
      <w:pPr>
        <w:spacing w:after="140" w:before="0"/>
        <w:jc w:val="both"/>
      </w:pPr>
      <w:r>
        <w:rPr>
          <w:rFonts w:ascii="Georgia" w:cs="Georgia" w:eastAsia="Georgia" w:hAnsi="Georgia"/>
          <w:b w:val="false"/>
          <w:bCs w:val="false"/>
          <w:i w:val="false"/>
          <w:iCs w:val="false"/>
          <w:color w:val="252525"/>
          <w:sz w:val="24"/>
          <w:szCs w:val="24"/>
        </w:rPr>
        <w:t xml:space="preserve">The Community Health Systems Innovation and Learning Centre is the institutional infrastructure through which the Strategic Partnerships pillar operates. It is housed at iREACHE LASTMILE's Kenema headquarters — deliberately located in Eastern Province rather than Freetown, because the most important community health knowledge in Sierra Leone is generated in the communities with the highest burden, not in the capital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Centre Function</w:t>
            </w:r>
          </w:p>
        </w:tc>
        <w:tc>
          <w:tcPr>
            <w:tcW w:type="dxa" w:w="4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Description</w:t>
            </w:r>
          </w:p>
        </w:tc>
        <w:tc>
          <w:tcPr>
            <w:tcW w:type="dxa" w:w="29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Revenue Potential</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Training and Certification</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National standard-setter for community health workforce quality. ProcCHW Certification; ProcCHW Supervisor Induction; Community Health Leadership Programme for DHMTs and traditional authority; Research Skills Programme; IDHS Responsible AI for Community Health training.</w:t>
            </w:r>
          </w:p>
        </w:tc>
        <w:tc>
          <w:tcPr>
            <w:tcW w:type="dxa" w:w="2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Fee-for-service from Year 3; government training contract potential Year 4+; West Africa regional delivery from Year 4</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Research and Evidence</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Houses all nine knowledge product types. Research Lead embedded in programme team — not in a separate department. Findings flow back into programme adaptation within the same quarterly cycle that generated them. Five pre-registered implementation research questions with academic partner co-design.</w:t>
            </w:r>
          </w:p>
        </w:tc>
        <w:tc>
          <w:tcPr>
            <w:tcW w:type="dxa" w:w="2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Research grants from Year 2; Exemplars in Global Health partnership target; WHO collaborative research</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Policy Support and Advocacy</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Generates evidence making specific policies obviously correct to decision-makers who examine data. MoH policy brief production; Parliamentary Health Committee submissions; District Council CHW budget line evidence packages; IDHS domestic financing simulation for advocacy.</w:t>
            </w:r>
          </w:p>
        </w:tc>
        <w:tc>
          <w:tcPr>
            <w:tcW w:type="dxa" w:w="2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MoH technical assistance contract from Year 3; UNICEF policy support contract Year 3+</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IDHS Innovation</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Responsible AI design function — all IDHS tools designed here, validated in Kenema pilot, equity-audited, then shared open-source. TRIAD AI Test compliance architecture. AI Learning Brief production quarterly.</w:t>
            </w:r>
          </w:p>
        </w:tc>
        <w:tc>
          <w:tcPr>
            <w:tcW w:type="dxa" w:w="2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Responsible AI TA for other West African CHW programmes; open-source tool community contribution</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Technical Assistance</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REACH 360° Framework adaptation for other national NGOs and governments. TACGS governance design. LSCCS supply chain integration. CISS DHIS2 configuration. Connected Health Workforce supervision design. Key TA topics: three-authority governance; IDHS responsible integration; ProcCHW supervision.</w:t>
            </w:r>
          </w:p>
        </w:tc>
        <w:tc>
          <w:tcPr>
            <w:tcW w:type="dxa" w:w="2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Primary non-grant revenue stream from Year 3; 15–25% of operating budget by Year 5; West Africa regional TA contracts</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West Africa Learning Exchange</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 regional conference convened by iREACHE LASTMILE from Year 3 bringing together community health practitioners, DHMT staff, government officials, researchers, and donors from Sierra Leone and neighbouring West African countries. iREACHE LASTMILE as convening institution.</w:t>
            </w:r>
          </w:p>
        </w:tc>
        <w:tc>
          <w:tcPr>
            <w:tcW w:type="dxa" w:w="2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Registration fees; sponsorship from pharmaceutical and health technology companies; WHO AFRO knowledge partnership</w:t>
            </w:r>
          </w:p>
        </w:tc>
      </w:tr>
    </w:tbl>
    <w:p>
      <w:pPr>
        <w:pStyle w:val="Heading2"/>
        <w:pBdr>
          <w:bottom w:val="single" w:color="EAF3EE" w:sz="4"/>
        </w:pBdr>
        <w:spacing w:after="100" w:before="280"/>
      </w:pPr>
      <w:r>
        <w:rPr>
          <w:rFonts w:ascii="Georgia" w:cs="Georgia" w:eastAsia="Georgia" w:hAnsi="Georgia"/>
          <w:b/>
          <w:bCs/>
          <w:color w:val="1A4731"/>
          <w:sz w:val="28"/>
          <w:szCs w:val="28"/>
        </w:rPr>
        <w:t xml:space="preserve">18.4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600"/>
        <w:gridCol w:w="1960"/>
      </w:tblGrid>
      <w:tr>
        <w:trPr>
          <w:tblHeader/>
        </w:trPr>
        <w:tc>
          <w:tcPr>
            <w:tcW w:type="dxa" w:w="36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KPI</w:t>
            </w:r>
          </w:p>
        </w:tc>
        <w:tc>
          <w:tcPr>
            <w:tcW w:type="dxa" w:w="2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Target</w:t>
            </w:r>
          </w:p>
        </w:tc>
        <w:tc>
          <w:tcPr>
            <w:tcW w:type="dxa" w:w="16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Frequency</w:t>
            </w:r>
          </w:p>
        </w:tc>
        <w:tc>
          <w:tcPr>
            <w:tcW w:type="dxa" w:w="19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Source</w:t>
            </w:r>
          </w:p>
        </w:tc>
      </w:tr>
      <w:tr>
        <w:trPr>
          <w:tblHeader w:val="false"/>
        </w:trPr>
        <w:tc>
          <w:tcPr>
            <w:tcW w:type="dxa" w:w="3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Peer-reviewed publications submitted</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5 over programme cycle; 1 submitted by Year 2</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Research Lead publication log</w:t>
            </w:r>
          </w:p>
        </w:tc>
      </w:tr>
      <w:tr>
        <w:trPr>
          <w:tblHeader w:val="false"/>
        </w:trPr>
        <w:tc>
          <w:tcPr>
            <w:tcW w:type="dxa" w:w="3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 Learning Briefs published open-access</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4 per year from Year 1 of IDHS activation; IDHS AI Learning Brief quarterly</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Centre publication log</w:t>
            </w:r>
          </w:p>
        </w:tc>
      </w:tr>
      <w:tr>
        <w:trPr>
          <w:tblHeader w:val="false"/>
        </w:trPr>
        <w:tc>
          <w:tcPr>
            <w:tcW w:type="dxa" w:w="3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Technical assistance engagements</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 per year from Year 2; 4+ per year from Year 3</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 contract register</w:t>
            </w:r>
          </w:p>
        </w:tc>
      </w:tr>
      <w:tr>
        <w:trPr>
          <w:tblHeader w:val="false"/>
        </w:trPr>
        <w:tc>
          <w:tcPr>
            <w:tcW w:type="dxa" w:w="3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policy decisions citing REACH 360° evidence</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1 MoH or District Council decision per year from Year 2</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Policy monitoring register</w:t>
            </w:r>
          </w:p>
        </w:tc>
      </w:tr>
      <w:tr>
        <w:trPr>
          <w:tblHeader w:val="false"/>
        </w:trPr>
        <w:tc>
          <w:tcPr>
            <w:tcW w:type="dxa" w:w="3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National NGO and partner training cohorts delivered</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 per year from Year 2; 4+ per year from Year 3</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Centre training register</w:t>
            </w:r>
          </w:p>
        </w:tc>
      </w:tr>
      <w:tr>
        <w:trPr>
          <w:tblHeader w:val="false"/>
        </w:trPr>
        <w:tc>
          <w:tcPr>
            <w:tcW w:type="dxa" w:w="3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West Africa Learning Exchange convened</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 from Year 3; minimum 5 countries represented</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Conference registration records</w:t>
            </w:r>
          </w:p>
        </w:tc>
      </w:tr>
    </w:tbl>
    <w:p>
      <w:r>
        <w:br w:type="page"/>
      </w:r>
    </w:p>
    <w:p>
      <w:r>
        <w:br w:type="page"/>
      </w:r>
    </w:p>
    <w:p>
      <w:pPr>
        <w:spacing w:after="80" w:before="1200"/>
        <w:jc w:val="left"/>
      </w:pPr>
      <w:r>
        <w:rPr>
          <w:rFonts w:ascii="Georgia" w:cs="Georgia" w:eastAsia="Georgia" w:hAnsi="Georgia"/>
          <w:b/>
          <w:bCs/>
          <w:color w:val="2D6A4F"/>
          <w:sz w:val="48"/>
          <w:szCs w:val="48"/>
        </w:rPr>
        <w:t xml:space="preserve">PART VI</w:t>
      </w:r>
    </w:p>
    <w:p>
      <w:pPr>
        <w:pBdr>
          <w:bottom w:val="single" w:color="B55334" w:sz="12"/>
        </w:pBdr>
        <w:spacing w:after="80" w:before="0"/>
        <w:jc w:val="left"/>
      </w:pPr>
      <w:r>
        <w:rPr>
          <w:rFonts w:ascii="Georgia" w:cs="Georgia" w:eastAsia="Georgia" w:hAnsi="Georgia"/>
          <w:b/>
          <w:bCs/>
          <w:color w:val="1A4731"/>
          <w:sz w:val="52"/>
          <w:szCs w:val="52"/>
        </w:rPr>
        <w:t xml:space="preserve">THE SYSTEMS</w:t>
      </w:r>
    </w:p>
    <w:p>
      <w:pPr>
        <w:spacing w:after="0" w:before="60"/>
      </w:pPr>
      <w:r>
        <w:rPr>
          <w:rFonts w:ascii="Georgia" w:cs="Georgia" w:eastAsia="Georgia" w:hAnsi="Georgia"/>
          <w:i/>
          <w:iCs/>
          <w:color w:val="5C5C5C"/>
          <w:sz w:val="22"/>
          <w:szCs w:val="22"/>
        </w:rPr>
        <w:t xml:space="preserve">The Continuous Systems Cycle, nine programme areas, Connection Quality Index, Performance Management, MEL, Risk Management, and Equity Accountability Standard</w:t>
      </w:r>
    </w:p>
    <w:p>
      <w:r>
        <w:br w:type="page"/>
      </w:r>
    </w:p>
    <w:p>
      <w:pPr>
        <w:pStyle w:val="Heading1"/>
        <w:shd w:fill="1A4731" w:val="clear"/>
        <w:spacing w:after="0" w:before="400"/>
      </w:pPr>
      <w:r>
        <w:rPr>
          <w:rFonts w:ascii="Georgia" w:cs="Georgia" w:eastAsia="Georgia" w:hAnsi="Georgia"/>
          <w:b/>
          <w:bCs/>
          <w:color w:val="7BC99A"/>
          <w:sz w:val="18"/>
          <w:szCs w:val="18"/>
        </w:rPr>
        <w:t xml:space="preserve">19  </w:t>
      </w:r>
      <w:r>
        <w:rPr>
          <w:rFonts w:ascii="Georgia" w:cs="Georgia" w:eastAsia="Georgia" w:hAnsi="Georgia"/>
          <w:b/>
          <w:bCs/>
          <w:color w:val="FFFFFF"/>
          <w:sz w:val="34"/>
          <w:szCs w:val="34"/>
        </w:rPr>
        <w:t xml:space="preserve">THE REACH 360° CONTINUOUS SYSTEMS STRENGTHENING CYCLE</w:t>
      </w:r>
    </w:p>
    <w:p>
      <w:pPr>
        <w:pBdr>
          <w:bottom w:val="single" w:color="B55334" w:sz="8"/>
        </w:pBdr>
        <w:spacing w:after="200" w:before="0"/>
      </w:pPr>
      <w:r>
        <w:rPr>
          <w:sz w:val="2"/>
          <w:szCs w:val="2"/>
        </w:rPr>
        <w:t xml:space="preserve"/>
      </w:r>
    </w:p>
    <w:p>
      <w:pPr>
        <w:spacing w:after="140" w:before="0"/>
        <w:jc w:val="both"/>
      </w:pPr>
      <w:r>
        <w:rPr>
          <w:rFonts w:ascii="Georgia" w:cs="Georgia" w:eastAsia="Georgia" w:hAnsi="Georgia"/>
          <w:b w:val="false"/>
          <w:bCs w:val="false"/>
          <w:i w:val="false"/>
          <w:iCs w:val="false"/>
          <w:color w:val="252525"/>
          <w:sz w:val="24"/>
          <w:szCs w:val="24"/>
        </w:rPr>
        <w:t xml:space="preserve">The REACH 360° Framework operates as a continuous cycle — not a linear progression from design to delivery. Every step generates intelligence informing the next iteration. Every completed cycle returns to LISTEN at a higher level of system integration. IDHS accelerates each step without replacing the human governance decisions that give each step legitimacy.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400"/>
        <w:gridCol w:w="2400"/>
        <w:gridCol w:w="1960"/>
      </w:tblGrid>
      <w:tr>
        <w:trPr>
          <w:tblHeader/>
        </w:trPr>
        <w:tc>
          <w:tcPr>
            <w:tcW w:type="dxa" w:w="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Step</w:t>
            </w:r>
          </w:p>
        </w:tc>
        <w:tc>
          <w:tcPr>
            <w:tcW w:type="dxa" w:w="1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Name</w:t>
            </w:r>
          </w:p>
        </w:tc>
        <w:tc>
          <w:tcPr>
            <w:tcW w:type="dxa" w:w="3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What Happens</w:t>
            </w:r>
          </w:p>
        </w:tc>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Support</w:t>
            </w:r>
          </w:p>
        </w:tc>
        <w:tc>
          <w:tcPr>
            <w:tcW w:type="dxa" w:w="19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Who Leads</w:t>
            </w:r>
          </w:p>
        </w:tc>
      </w:tr>
      <w:tr>
        <w:trPr>
          <w:tblHeader w:val="false"/>
        </w:trPr>
        <w:tc>
          <w:tcPr>
            <w:tcW w:type="dxa" w:w="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1</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LISTEN</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CEIN intelligence gathered; community scorecards administered; TA Health Governance Councils convened; community-identified health priorities documented</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CEIN text classification; sentiment analysis on scorecard narratives; pattern identification across communities</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Communities and Traditional Authority</w:t>
            </w:r>
          </w:p>
        </w:tc>
      </w:tr>
      <w:tr>
        <w:trPr>
          <w:tblHeader w:val="false"/>
        </w:trPr>
        <w:tc>
          <w:tcPr>
            <w:tcW w:type="dxa" w:w="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2</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MAP</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GIS vulnerability mapping; CQI baseline or quarterly assessment; equity gap analysis by chieftaincy; supply chain accessibility mapped</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equity gap surfacing; geospatial accessibility modelling; zero-dose prediction mapping across all programme communities</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MEL Team with DHMT co-leadership</w:t>
            </w:r>
          </w:p>
        </w:tc>
      </w:tr>
      <w:tr>
        <w:trPr>
          <w:tblHeader w:val="false"/>
        </w:trPr>
        <w:tc>
          <w:tcPr>
            <w:tcW w:type="dxa" w:w="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3</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CO-CREATE</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TACGS convened — Traditional Authority, Government Health, and Community Self-Governance jointly design programme priorities, resource allocation, and accountability for the coming quarter</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provides evidence on unmet need by service area; quarterly AI governance reports distributed to CHCs. No AI in governance decisions themselves.</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TRIAD — all three authorities together</w:t>
            </w:r>
          </w:p>
        </w:tc>
      </w:tr>
      <w:tr>
        <w:trPr>
          <w:tblHeader w:val="false"/>
        </w:trPr>
        <w:tc>
          <w:tcPr>
            <w:tcW w:type="dxa" w:w="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4</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CONNECT</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seven REACH 360° pillars activated or maintained; ProcCHW connectivity confirmed across all three tiers; government platform operational; supply chain flowing</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connectivity monitoring across all 6,800 ProcCHW nodes; pillar status dashboard; TRIAD AI Test compliance confirmed</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with DHMT co-leadership</w:t>
            </w:r>
          </w:p>
        </w:tc>
      </w:tr>
      <w:tr>
        <w:trPr>
          <w:tblHeader w:val="false"/>
        </w:trPr>
        <w:tc>
          <w:tcPr>
            <w:tcW w:type="dxa" w:w="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5</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DELIVER</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proactive household visits to every registered household; integrated seven-area service package; CEIN surveillance active; ProcCHW pulse confirmed</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clinical decision support at every household visit; MUAC trajectory analysis; AI-prioritised visit scheduling; outbreak signal monitoring</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workforce through Connected Health Workforce pillar</w:t>
            </w:r>
          </w:p>
        </w:tc>
      </w:tr>
      <w:tr>
        <w:trPr>
          <w:tblHeader w:val="false"/>
        </w:trPr>
        <w:tc>
          <w:tcPr>
            <w:tcW w:type="dxa" w:w="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6</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MEASURE</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47 pillar KPIs tracked; CQI quarterly assessment; Equity Progress Threshold reviewed; IDHS performance audit; Crosswalk updated</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real-time KPI monitoring; AI alert accuracy audit; equity disaggregation automation; TRIAD AI Test compliance scoring</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MEL Manager</w:t>
            </w:r>
          </w:p>
        </w:tc>
      </w:tr>
      <w:tr>
        <w:trPr>
          <w:tblHeader w:val="false"/>
        </w:trPr>
        <w:tc>
          <w:tcPr>
            <w:tcW w:type="dxa" w:w="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7</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LEARN</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Crosswalk divergence alerts analysed; quarterly Learning Briefs drafted; AI Learning Brief published; peer-reviewed submissions developed</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literature synthesis support for Learning Briefs; AI model performance trend review; Crosswalk IDHS dimension update</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Research Lead with academic partners</w:t>
            </w:r>
          </w:p>
        </w:tc>
      </w:tr>
      <w:tr>
        <w:trPr>
          <w:tblHeader w:val="false"/>
        </w:trPr>
        <w:tc>
          <w:tcPr>
            <w:tcW w:type="dxa" w:w="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8</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STRENGTHEN</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Adaptive management decisions made; TACGS protocol revised where equity failures identified; supervision intensity adjusted; IDHS models retrained where accuracy declined</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model retraining cycle activated; updated models validated in Kenema before district-wide deployment; government technical staff participate in retraining from Year 3</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with TRIAD co-decision</w:t>
            </w:r>
          </w:p>
        </w:tc>
      </w:tr>
      <w:tr>
        <w:trPr>
          <w:tblHeader w:val="false"/>
        </w:trPr>
        <w:tc>
          <w:tcPr>
            <w:tcW w:type="dxa" w:w="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9</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SUSTAIN</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Domestic financing milestones achieved; DHMT co-leadership deepened; TA Supply Stewardship expanded; iREACHE role transitions toward TA in mature districts</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tools transferred to government operation; government technical staff trained in model monitoring from Year 3; independence from iREACHE IDHS support demonstrated</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Health Authority progressively leads</w:t>
            </w:r>
          </w:p>
        </w:tc>
      </w:tr>
      <w:tr>
        <w:trPr>
          <w:tblHeader w:val="false"/>
        </w:trPr>
        <w:tc>
          <w:tcPr>
            <w:tcW w:type="dxa" w:w="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10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SCALE</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Proven models shared with new districts; national policy updated; REACH 360° Framework refined; cycle returns to LISTEN at higher integration level</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models scale to new districts only after validation in pilot districts; no district receives AI before human systems established</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MoH leads; iREACHE provides TA</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20  </w:t>
      </w:r>
      <w:r>
        <w:rPr>
          <w:rFonts w:ascii="Georgia" w:cs="Georgia" w:eastAsia="Georgia" w:hAnsi="Georgia"/>
          <w:b/>
          <w:bCs/>
          <w:color w:val="FFFFFF"/>
          <w:sz w:val="34"/>
          <w:szCs w:val="34"/>
        </w:rPr>
        <w:t xml:space="preserve">THE NINE REACH 360° PROGRAMME AREAS</w:t>
      </w:r>
    </w:p>
    <w:p>
      <w:pPr>
        <w:pBdr>
          <w:bottom w:val="single" w:color="B55334" w:sz="8"/>
        </w:pBdr>
        <w:spacing w:after="200" w:before="0"/>
      </w:pPr>
      <w:r>
        <w:rPr>
          <w:sz w:val="2"/>
          <w:szCs w:val="2"/>
        </w:rPr>
        <w:t xml:space="preserve"/>
      </w:r>
    </w:p>
    <w:p>
      <w:pPr>
        <w:spacing w:after="140" w:before="0"/>
        <w:jc w:val="both"/>
      </w:pPr>
      <w:r>
        <w:rPr>
          <w:rFonts w:ascii="Georgia" w:cs="Georgia" w:eastAsia="Georgia" w:hAnsi="Georgia"/>
          <w:b w:val="false"/>
          <w:bCs w:val="false"/>
          <w:i w:val="false"/>
          <w:iCs w:val="false"/>
          <w:color w:val="252525"/>
          <w:sz w:val="24"/>
          <w:szCs w:val="24"/>
        </w:rPr>
        <w:t xml:space="preserve">Nine programme areas are delivered as an integrated whole through the seven pillars — primarily through the PCHDS proactive household visits, supported by all other pillars simultaneously. Integration is not convenience — it is the mechanism through which REACH 360° achieves cost-effectiveness and community trust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800"/>
        <w:gridCol w:w="1200"/>
        <w:gridCol w:w="1200"/>
        <w:gridCol w:w="2760"/>
      </w:tblGrid>
      <w:tr>
        <w:trPr>
          <w:tblHeader/>
        </w:trPr>
        <w:tc>
          <w:tcPr>
            <w:tcW w:type="dxa" w:w="20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Programme Area</w:t>
            </w:r>
          </w:p>
        </w:tc>
        <w:tc>
          <w:tcPr>
            <w:tcW w:type="dxa" w:w="1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Primary Pillar</w:t>
            </w:r>
          </w:p>
        </w:tc>
        <w:tc>
          <w:tcPr>
            <w:tcW w:type="dxa" w:w="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SDG</w:t>
            </w:r>
          </w:p>
        </w:tc>
        <w:tc>
          <w:tcPr>
            <w:tcW w:type="dxa" w:w="1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Baseline</w:t>
            </w:r>
          </w:p>
        </w:tc>
        <w:tc>
          <w:tcPr>
            <w:tcW w:type="dxa" w:w="1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2031 Target</w:t>
            </w:r>
          </w:p>
        </w:tc>
        <w:tc>
          <w:tcPr>
            <w:tcW w:type="dxa" w:w="27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Integration</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Maternal and Newborn Health</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3.1, 3.2</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MMR 354</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&lt;300</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combined danger sign pattern recognition; obstetric emergency telehealth routing</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Childhood Disease — iCCM</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 LSCCS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3.2</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U5MR ~90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&lt;60</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iCCM protocol adherence; drug-dose verification; RDT quality flag</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Immunisation and Zero-Dose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 CISS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3.2, 3.8</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~20% zero-dose</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&lt;5%</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zero-dose risk prediction; risk-stratified monthly follow-up scheduling</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Nutrition Systems</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 LSCCS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2, 3</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Stunting ~32%</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&lt;20%</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MUAC trajectory analysis predicting SAM before threshold crossed</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Sexual and Reproductive Health</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3.7, 5</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mCPR ~24%</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&gt;40%</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FP supply forecasting; unmet need pattern identification</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Community Disease Surveillance</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CISS + CEIN</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3.d</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Days to detect</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&lt;24 hrs</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outbreak signal detection in DHIS2 IDSR; CEIN text classification</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Intelligent Digital Health Systems</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CISS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3.8</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~60% DHIS2</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&gt;95%</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data quality monitoring; government ownership transfer tracking</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Last-Mile Health Supply Chain</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LSCCS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3.b</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~35% stockout</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&lt;5%</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21-day demand forecasting; route optimisation; TA Supply Steward alerts</w:t>
            </w:r>
          </w:p>
        </w:tc>
      </w:tr>
      <w:tr>
        <w:trPr>
          <w:tblHeader w:val="false"/>
        </w:trPr>
        <w:tc>
          <w:tcPr>
            <w:tcW w:type="dxa" w:w="20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Emergency Response and WASH</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 + LSCCS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6, 13</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Not measured</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Resilience index</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meteorological integration for Rainy Season Protocol triggers</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21  </w:t>
      </w:r>
      <w:r>
        <w:rPr>
          <w:rFonts w:ascii="Georgia" w:cs="Georgia" w:eastAsia="Georgia" w:hAnsi="Georgia"/>
          <w:b/>
          <w:bCs/>
          <w:color w:val="FFFFFF"/>
          <w:sz w:val="34"/>
          <w:szCs w:val="34"/>
        </w:rPr>
        <w:t xml:space="preserve">THE CONNECTION QUALITY INDEX</w:t>
      </w:r>
    </w:p>
    <w:p>
      <w:pPr>
        <w:pBdr>
          <w:bottom w:val="single" w:color="B55334" w:sz="8"/>
        </w:pBdr>
        <w:spacing w:after="200" w:before="0"/>
      </w:pPr>
      <w:r>
        <w:rPr>
          <w:sz w:val="2"/>
          <w:szCs w:val="2"/>
        </w:rPr>
        <w:t xml:space="preserve"/>
      </w:r>
    </w:p>
    <w:p>
      <w:pPr>
        <w:pBdr>
          <w:left w:val="thick" w:color="B55334" w:sz="18"/>
        </w:pBdr>
        <w:spacing w:after="200" w:before="200"/>
        <w:ind w:left="560" w:right="560"/>
        <w:jc w:val="both"/>
      </w:pPr>
      <w:r>
        <w:rPr>
          <w:rFonts w:ascii="Georgia" w:cs="Georgia" w:eastAsia="Georgia" w:hAnsi="Georgia"/>
          <w:b/>
          <w:bCs/>
          <w:i/>
          <w:iCs/>
          <w:color w:val="1A4731"/>
          <w:sz w:val="24"/>
          <w:szCs w:val="24"/>
        </w:rPr>
        <w:t xml:space="preserve">"The CQI measures what the REACH 360° Framework most cares about — not what the programme produced, but what changed in the governance systems around the programme because of its presence."</w:t>
      </w:r>
    </w:p>
    <w:p>
      <w:pPr>
        <w:pStyle w:val="Heading2"/>
        <w:pBdr>
          <w:bottom w:val="single" w:color="EAF3EE" w:sz="4"/>
        </w:pBdr>
        <w:spacing w:after="100" w:before="280"/>
      </w:pPr>
      <w:r>
        <w:rPr>
          <w:rFonts w:ascii="Georgia" w:cs="Georgia" w:eastAsia="Georgia" w:hAnsi="Georgia"/>
          <w:b/>
          <w:bCs/>
          <w:color w:val="1A4731"/>
          <w:sz w:val="28"/>
          <w:szCs w:val="28"/>
        </w:rPr>
        <w:t xml:space="preserve">21.1  Why Standard Metrics Are Insufficient</w:t>
      </w:r>
    </w:p>
    <w:p>
      <w:pPr>
        <w:spacing w:after="140" w:before="0"/>
        <w:jc w:val="both"/>
      </w:pPr>
      <w:r>
        <w:rPr>
          <w:rFonts w:ascii="Georgia" w:cs="Georgia" w:eastAsia="Georgia" w:hAnsi="Georgia"/>
          <w:b w:val="false"/>
          <w:bCs w:val="false"/>
          <w:i w:val="false"/>
          <w:iCs w:val="false"/>
          <w:color w:val="252525"/>
          <w:sz w:val="24"/>
          <w:szCs w:val="24"/>
        </w:rPr>
        <w:t xml:space="preserve">Standard programme monitoring measures outputs. The CQI measures systems connection — whether the three governance systems are genuinely exchanging intelligence, aligning authority, and governing community health together. A programme with high output metrics and a CQI score below 40 is a service delivery programme that will collapse when funding ends. A rising CQI score signals a system being built that will outlast the grant cycle. IDHS supports CQI measurement by automating data collection and aggregation, freeing assessors to focus on qualitative dimensions that require human judgment — which no AI can generate from platform data alone.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200"/>
        <w:gridCol w:w="1200"/>
        <w:gridCol w:w="1360"/>
      </w:tblGrid>
      <w:tr>
        <w:trPr>
          <w:tblHeader/>
        </w:trPr>
        <w:tc>
          <w:tcPr>
            <w:tcW w:type="dxa" w:w="26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CQI Dimension</w:t>
            </w:r>
          </w:p>
        </w:tc>
        <w:tc>
          <w:tcPr>
            <w:tcW w:type="dxa" w:w="3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Indicators (4 per dimension)</w:t>
            </w:r>
          </w:p>
        </w:tc>
        <w:tc>
          <w:tcPr>
            <w:tcW w:type="dxa" w:w="1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Year 3 Target</w:t>
            </w:r>
          </w:p>
        </w:tc>
        <w:tc>
          <w:tcPr>
            <w:tcW w:type="dxa" w:w="1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Year 5 Target</w:t>
            </w:r>
          </w:p>
        </w:tc>
        <w:tc>
          <w:tcPr>
            <w:tcW w:type="dxa" w:w="13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Support</w:t>
            </w:r>
          </w:p>
        </w:tc>
      </w:tr>
      <w:tr>
        <w:trPr>
          <w:tblHeader w:val="false"/>
        </w:trPr>
        <w:tc>
          <w:tcPr>
            <w:tcW w:type="dxa" w:w="2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1. Traditional Authority Governance Integration</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 of chiefs describing chiefdom health indicators without prompting; TA governance decisions with measurable programme consequences; stockout events escalated through traditional governance; ProcCHW selection legitimacy through TA process</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&gt;70%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&gt;90%</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TACGS governance event log analysis; TA Health Governance Council meeting record automated scoring</w:t>
            </w:r>
          </w:p>
        </w:tc>
      </w:tr>
      <w:tr>
        <w:trPr>
          <w:tblHeader w:val="false"/>
        </w:trPr>
        <w:tc>
          <w:tcPr>
            <w:tcW w:type="dxa" w:w="2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 Government-Community Intelligence Flow</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 DHMT decisions citing community data; CEIN detection-to-DHMT time; % community members stating one health statistic; % dashboard alerts generating DHMT corrective action</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&gt;50%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&gt;75%</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DHMT dashboard access log analysis; CEIN alert timestamp tracking; automated CQI data extraction from DHIS2</w:t>
            </w:r>
          </w:p>
        </w:tc>
      </w:tr>
      <w:tr>
        <w:trPr>
          <w:tblHeader w:val="false"/>
        </w:trPr>
        <w:tc>
          <w:tcPr>
            <w:tcW w:type="dxa" w:w="2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3. Community Health System Navigation Capacity</w:t>
            </w:r>
          </w:p>
        </w:tc>
        <w:tc>
          <w:tcPr>
            <w:tcW w:type="dxa" w:w="3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 referrals without ProcCHW escort; time reduction from danger sign to facility; % maternal deaths reported through community channels; % CHC decisions without DC facilitation</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&gt;55%</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&gt;70%</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Referral completion tracking; transport barrier pattern analysis; CHC governance independence scoring from meeting records</w:t>
            </w:r>
          </w:p>
        </w:tc>
      </w:tr>
    </w:tbl>
    <w:p>
      <w:pPr>
        <w:spacing w:after="0" w:before="0"/>
      </w:pPr>
      <w:r>
        <w:rPr>
          <w:rFonts w:ascii="Georgia" w:cs="Georgia" w:eastAsia="Georgia" w:hAnsi="Georgi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CQI Score</w:t>
            </w:r>
          </w:p>
        </w:tc>
        <w:tc>
          <w:tcPr>
            <w:tcW w:type="dxa" w:w="2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Interpretation</w:t>
            </w:r>
          </w:p>
        </w:tc>
        <w:tc>
          <w:tcPr>
            <w:tcW w:type="dxa" w:w="26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Programme Meaning</w:t>
            </w:r>
          </w:p>
        </w:tc>
        <w:tc>
          <w:tcPr>
            <w:tcW w:type="dxa" w:w="31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Required Action</w:t>
            </w:r>
          </w:p>
        </w:tc>
      </w:tr>
      <w:tr>
        <w:trPr>
          <w:tblHeader w:val="false"/>
        </w:trPr>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80–100</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Systems deeply connected</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REACH 360° fully working — systems will sustain without iREACHE direct presence</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Maintain; document as model district; begin iREACHE transition to TA role; initiate IDHS government ownership transfer</w:t>
            </w:r>
          </w:p>
        </w:tc>
      </w:tr>
      <w:tr>
        <w:trPr>
          <w:tblHeader w:val="false"/>
        </w:trPr>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7706E"/>
                <w:sz w:val="20"/>
                <w:szCs w:val="20"/>
              </w:rPr>
              <w:t xml:space="preserve">60–79</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Substantially connected with specific gaps</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Framework working but one dimension lagging — targeted intervention required</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Targeted intervention in weak CQI dimension; additional DC support; IDHS tool review for that dimension</w:t>
            </w:r>
          </w:p>
        </w:tc>
      </w:tr>
      <w:tr>
        <w:trPr>
          <w:tblHeader w:val="false"/>
        </w:trPr>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C26A0A"/>
                <w:sz w:val="20"/>
                <w:szCs w:val="20"/>
              </w:rPr>
              <w:t xml:space="preserve">40–59</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Partially connected</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Outputs without connections — service delivery trap risk</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Programme design review; TACGS renegotiation; IDHS deployment suspended in weak dimensions until human systems established</w:t>
            </w:r>
          </w:p>
        </w:tc>
      </w:tr>
      <w:tr>
        <w:trPr>
          <w:tblHeader w:val="false"/>
        </w:trPr>
        <w:tc>
          <w:tcPr>
            <w:tcW w:type="dxa" w:w="1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Below 40</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Insufficiently connected</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Structural programme failure — service delivery without systems building</w:t>
            </w:r>
          </w:p>
        </w:tc>
        <w:tc>
          <w:tcPr>
            <w:tcW w:type="dxa" w:w="3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District pause; root cause analysis; Crosswalk divergence alert; all IDHS applications suspended until human systems established; Board-level reporting</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22  </w:t>
      </w:r>
      <w:r>
        <w:rPr>
          <w:rFonts w:ascii="Georgia" w:cs="Georgia" w:eastAsia="Georgia" w:hAnsi="Georgia"/>
          <w:b/>
          <w:bCs/>
          <w:color w:val="FFFFFF"/>
          <w:sz w:val="34"/>
          <w:szCs w:val="34"/>
        </w:rPr>
        <w:t xml:space="preserve">PERFORMANCE MANAGEMENT FRAMEWORK</w:t>
      </w:r>
    </w:p>
    <w:p>
      <w:pPr>
        <w:pBdr>
          <w:bottom w:val="single" w:color="B55334" w:sz="8"/>
        </w:pBdr>
        <w:spacing w:after="200" w:before="0"/>
      </w:pPr>
      <w:r>
        <w:rPr>
          <w:sz w:val="2"/>
          <w:szCs w:val="2"/>
        </w:rPr>
        <w:t xml:space="preserve"/>
      </w:r>
    </w:p>
    <w:p>
      <w:pPr>
        <w:pBdr>
          <w:left w:val="thick" w:color="B55334" w:sz="18"/>
        </w:pBdr>
        <w:spacing w:after="200" w:before="200"/>
        <w:ind w:left="560" w:right="560"/>
        <w:jc w:val="both"/>
      </w:pPr>
      <w:r>
        <w:rPr>
          <w:rFonts w:ascii="Georgia" w:cs="Georgia" w:eastAsia="Georgia" w:hAnsi="Georgia"/>
          <w:b/>
          <w:bCs/>
          <w:i/>
          <w:iCs/>
          <w:color w:val="1A4731"/>
          <w:sz w:val="24"/>
          <w:szCs w:val="24"/>
        </w:rPr>
        <w:t xml:space="preserve">"Performance management in the REACH 360° Framework is not what we do to ProcCHWs. It is what we build with ProcCHWs — a data-informed, mentorship-based, equity-weighted system for continuously improving the quality of care that every household in every programme community receives."</w:t>
      </w:r>
    </w:p>
    <w:p>
      <w:pPr>
        <w:pStyle w:val="Heading2"/>
        <w:pBdr>
          <w:bottom w:val="single" w:color="EAF3EE" w:sz="4"/>
        </w:pBdr>
        <w:spacing w:after="100" w:before="280"/>
      </w:pPr>
      <w:r>
        <w:rPr>
          <w:rFonts w:ascii="Georgia" w:cs="Georgia" w:eastAsia="Georgia" w:hAnsi="Georgia"/>
          <w:b/>
          <w:bCs/>
          <w:color w:val="1A4731"/>
          <w:sz w:val="28"/>
          <w:szCs w:val="28"/>
        </w:rPr>
        <w:t xml:space="preserve">22.1  Performance Management Architecture</w:t>
      </w:r>
    </w:p>
    <w:p>
      <w:pPr>
        <w:spacing w:after="140" w:before="0"/>
        <w:jc w:val="both"/>
      </w:pPr>
      <w:r>
        <w:rPr>
          <w:rFonts w:ascii="Georgia" w:cs="Georgia" w:eastAsia="Georgia" w:hAnsi="Georgia"/>
          <w:b w:val="false"/>
          <w:bCs w:val="false"/>
          <w:i w:val="false"/>
          <w:iCs w:val="false"/>
          <w:color w:val="252525"/>
          <w:sz w:val="24"/>
          <w:szCs w:val="24"/>
        </w:rPr>
        <w:t xml:space="preserve">The REACH 360° Performance Management Framework draws on Living Goods' evidence-based ProcCHW Performance Management system — the only CHW performance management model proven through a randomised controlled trial to produce 27% reduction in under-five mortality. It adapts this model to Sierra Leone's specific governance context, adding the TACGS three-authority accountability dimension and the IDHS predictive analytics layer that the Living Goods model does not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PMF Component</w:t>
            </w:r>
          </w:p>
        </w:tc>
        <w:tc>
          <w:tcPr>
            <w:tcW w:type="dxa" w:w="4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Description</w:t>
            </w:r>
          </w:p>
        </w:tc>
        <w:tc>
          <w:tcPr>
            <w:tcW w:type="dxa" w:w="27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Enhancement</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PBI Scorecard</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performance scorecard for every ProcCHW across five weighted domains: household visit coverage 30%; data quality 20%; referral completion 20%; zero-dose child identification 15%; stock reporting timeliness 15%. Scorecard visible to ProcCHW, Senior ProcCHW, Supervisor, District Coordinator, and DHMT simultaneously.</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PBI anomaly detection identifies statistical outliers from ProcCHW's own historical trajectory before payment release. Fair-to-ProcCHW design: AI flags for investigation, supervisor investigates, human makes determination.</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Competency Assessment</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Seven-domain competency assessment conducted bi-annually for all ProcCHWs and quarterly for new ProcCHWs (months 1–6): MNCH; iCCM; Immunisation and Zero-Dose; Nutrition Screening; Platform Proficiency; Supply Chain Management; Community Surveillance. Minimum 75% in all domains; 85% for platform including IDHS.</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platform proficiency module assesses AI alert interpretation accuracy as standalone competency domain. Override rate within healthy range (5–20%) is a competency indicator alongside clinical accuracy.</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Performance Improvement Plan</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Formal 90-day recovery programme when ProcCHW's PBI score falls below 60% for two consecutive months OR any competency domain below 60% in single assessment. Three stages: 30-day diagnosis and design; 60-day supervised improvement; 90-day formal review with District Coordinator. PIP is a development tool — not a disciplinary pathway.</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predictive attrition model identifies ProcCHWs approaching PIP territory before they reach it — enabling earlier informal support intervention before formal PIP becomes necessary.</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Career Progression Review</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 structured review of all ProcCHWs for Tier 2 and Tier 3 advancement eligibility. Criteria published and applied transparently. Promotion decisions co-signed by DHMT DMO. Promotion ceremony conducted publicly to create community witness to advancement.</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career progression analytics identifies ProcCHWs approaching promotion eligibility and flags to supervisor 60 days before formal review date — enabling preparation of a strong promotion case.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Peer Learning System</w:t>
            </w:r>
          </w:p>
        </w:tc>
        <w:tc>
          <w:tcPr>
            <w:tcW w:type="dxa" w:w="4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2-hour peer learning sessions for all ProcCHW groups facilitated by Senior ProcCHW. Case-based learning using real cases from programme district. Annual national ProcCHW conference. WhatsApp peer learning groups for weekly clinical question sharing.</w:t>
            </w:r>
          </w:p>
        </w:tc>
        <w:tc>
          <w:tcPr>
            <w:tcW w:type="dxa" w:w="2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clinical question routing surfaces the three most relevant resolved cases from the programme's database when a ProcCHW posts a clinical question to the peer group — reducing wait time and building collective clinical knowledge.</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22.2  PBI Payment Timeline and Governance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000"/>
        <w:gridCol w:w="2160"/>
      </w:tblGrid>
      <w:tr>
        <w:trPr>
          <w:tblHeader/>
        </w:trPr>
        <w:tc>
          <w:tcPr>
            <w:tcW w:type="dxa" w:w="1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Date</w:t>
            </w:r>
          </w:p>
        </w:tc>
        <w:tc>
          <w:tcPr>
            <w:tcW w:type="dxa" w:w="4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Action</w:t>
            </w:r>
          </w:p>
        </w:tc>
        <w:tc>
          <w:tcPr>
            <w:tcW w:type="dxa" w:w="2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Responsible</w:t>
            </w:r>
          </w:p>
        </w:tc>
        <w:tc>
          <w:tcPr>
            <w:tcW w:type="dxa" w:w="21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Role</w:t>
            </w:r>
          </w:p>
        </w:tc>
      </w:tr>
      <w:tr>
        <w:trPr>
          <w:tblHeader w:val="false"/>
        </w:trPr>
        <w:tc>
          <w:tcPr>
            <w:tcW w:type="dxa" w:w="1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1st–5th of month</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Supervisor reviews preceding month PBI data for all 25–30 assigned ProcCHWs; conducts data accuracy verification for any ProcCHW with score discrepancy &gt;5%; investigates IDHS-flagged anomalies</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Supervisor</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anomaly detection flags outlier PBI scores before supervisor review begins</w:t>
            </w:r>
          </w:p>
        </w:tc>
      </w:tr>
      <w:tr>
        <w:trPr>
          <w:tblHeader w:val="false"/>
        </w:trPr>
        <w:tc>
          <w:tcPr>
            <w:tcW w:type="dxa" w:w="1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6th of month</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Supervisor submits verified PBI scores for all assigned ProcCHWs to District Coordinator via government platform PBI module; flags any disputed scores with documentation</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Supervisor</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submits verified score report; anomaly flags included with investigation notes</w:t>
            </w:r>
          </w:p>
        </w:tc>
      </w:tr>
      <w:tr>
        <w:trPr>
          <w:tblHeader w:val="false"/>
        </w:trPr>
        <w:tc>
          <w:tcPr>
            <w:tcW w:type="dxa" w:w="1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7th–8th of month</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District Coordinator reviews and approves verified PBI scores; resolves disputes with Supervisor and ProcCHW; submits district summary to iREACHE HQ Finance</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District Coordinator</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district-level PBI equity analysis: are female ProcCHWs systematically receiving lower PBI in comparable communities?</w:t>
            </w:r>
          </w:p>
        </w:tc>
      </w:tr>
      <w:tr>
        <w:trPr>
          <w:tblHeader w:val="false"/>
        </w:trPr>
        <w:tc>
          <w:tcPr>
            <w:tcW w:type="dxa" w:w="1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10th of month</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Finance calculates final PBI payments; initiates mobile money transfers to all ProcCHW mobile wallet accounts; generates payment confirmation report</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Finance Manager</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payment processing integrity check; error flags to Finance Manager before transfer execution</w:t>
            </w:r>
          </w:p>
        </w:tc>
      </w:tr>
      <w:tr>
        <w:trPr>
          <w:tblHeader w:val="false"/>
        </w:trPr>
        <w:tc>
          <w:tcPr>
            <w:tcW w:type="dxa" w:w="1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11th–12th</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ProcCHWs confirm mobile money receipt via government platform acknowledgment; unresolved non-payments escalated to Finance Manager within 48 hours</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 Supervisor confirmation</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payment confirmation tracking with automatic escalation for unconfirmed payments</w:t>
            </w:r>
          </w:p>
        </w:tc>
      </w:tr>
      <w:tr>
        <w:trPr>
          <w:tblHeader w:val="false"/>
        </w:trPr>
        <w:tc>
          <w:tcPr>
            <w:tcW w:type="dxa" w:w="1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15th — dispute deadline</w:t>
            </w:r>
          </w:p>
        </w:tc>
        <w:tc>
          <w:tcPr>
            <w:tcW w:type="dxa" w:w="4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Any ProcCHW disputing their score submits written request to District Coordinator with supporting evidence; resolution within 5 business days; DC decision final unless TACGS community governance process invoked</w:t>
            </w:r>
          </w:p>
        </w:tc>
        <w:tc>
          <w:tcPr>
            <w:tcW w:type="dxa" w:w="2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District Coordinator</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dispute documentation module; resolution timeline tracking with automatic escalation</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23  </w:t>
      </w:r>
      <w:r>
        <w:rPr>
          <w:rFonts w:ascii="Georgia" w:cs="Georgia" w:eastAsia="Georgia" w:hAnsi="Georgia"/>
          <w:b/>
          <w:bCs/>
          <w:color w:val="FFFFFF"/>
          <w:sz w:val="34"/>
          <w:szCs w:val="34"/>
        </w:rPr>
        <w:t xml:space="preserve">MONITORING, EVALUATION AND LEARNING FRAMEWORK</w:t>
      </w:r>
    </w:p>
    <w:p>
      <w:pPr>
        <w:pBdr>
          <w:bottom w:val="single" w:color="B55334" w:sz="8"/>
        </w:pBdr>
        <w:spacing w:after="200" w:before="0"/>
      </w:pPr>
      <w:r>
        <w:rPr>
          <w:sz w:val="2"/>
          <w:szCs w:val="2"/>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23.1  MEL Design Principles</w:t>
      </w:r>
    </w:p>
    <w:p>
      <w:pPr>
        <w:spacing w:after="140" w:before="0"/>
        <w:jc w:val="both"/>
      </w:pPr>
      <w:r>
        <w:rPr>
          <w:rFonts w:ascii="Georgia" w:cs="Georgia" w:eastAsia="Georgia" w:hAnsi="Georgia"/>
          <w:b w:val="false"/>
          <w:bCs w:val="false"/>
          <w:i w:val="false"/>
          <w:iCs w:val="false"/>
          <w:color w:val="252525"/>
          <w:sz w:val="24"/>
          <w:szCs w:val="24"/>
        </w:rPr>
        <w:t xml:space="preserve">The REACH 360° MEL Framework is designed on four principles. First, data flows upward from community to national level through integrated government platforms — there is no parallel data collection. Second, performance reviews at every level result in documented corrective actions within defined timelines. Third, research is embedded within programme delivery and not conducted as a separate activity. Fourth, all findings are shared with government to support policy refinement — evidence is a public good, not an institutional asset.</w:t>
      </w:r>
    </w:p>
    <w:p>
      <w:pPr>
        <w:pStyle w:val="Heading2"/>
        <w:pBdr>
          <w:bottom w:val="single" w:color="EAF3EE" w:sz="4"/>
        </w:pBdr>
        <w:spacing w:after="100" w:before="280"/>
      </w:pPr>
      <w:r>
        <w:rPr>
          <w:rFonts w:ascii="Georgia" w:cs="Georgia" w:eastAsia="Georgia" w:hAnsi="Georgia"/>
          <w:b/>
          <w:bCs/>
          <w:color w:val="1A4731"/>
          <w:sz w:val="28"/>
          <w:szCs w:val="28"/>
        </w:rPr>
        <w:t xml:space="preserve">23.2  Results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1200"/>
        <w:gridCol w:w="1200"/>
        <w:gridCol w:w="2160"/>
      </w:tblGrid>
      <w:tr>
        <w:trPr>
          <w:tblHeader/>
        </w:trPr>
        <w:tc>
          <w:tcPr>
            <w:tcW w:type="dxa" w:w="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Level</w:t>
            </w:r>
          </w:p>
        </w:tc>
        <w:tc>
          <w:tcPr>
            <w:tcW w:type="dxa" w:w="2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Indicator</w:t>
            </w:r>
          </w:p>
        </w:tc>
        <w:tc>
          <w:tcPr>
            <w:tcW w:type="dxa" w:w="1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Baseline</w:t>
            </w:r>
          </w:p>
        </w:tc>
        <w:tc>
          <w:tcPr>
            <w:tcW w:type="dxa" w:w="1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2028 Target</w:t>
            </w:r>
          </w:p>
        </w:tc>
        <w:tc>
          <w:tcPr>
            <w:tcW w:type="dxa" w:w="1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2031 Target</w:t>
            </w:r>
          </w:p>
        </w:tc>
        <w:tc>
          <w:tcPr>
            <w:tcW w:type="dxa" w:w="21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Source</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IMPACT</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Maternal Mortality Ratio — target districts</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354/100,000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&lt;320/100,000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&lt;300/100,000</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 DHMT surveillance</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IMPACT</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Under-5 Mortality Rate — target districts</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~90/1,000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&lt;75/1,000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&lt;60/1,000</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Facility data + ProcCHW records</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IMPACT</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Zero-dose children — % of estimated cohort</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~20%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&lt;10%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&lt;5%</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Digital immunisation registry</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7706E"/>
                <w:sz w:val="20"/>
                <w:szCs w:val="20"/>
              </w:rPr>
              <w:t xml:space="preserve">OUTCOME</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ProcCHWs achieving PBI performance target</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N/A (new)</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&gt;65%</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&gt;75%</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PBI scorecard</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7706E"/>
                <w:sz w:val="20"/>
                <w:szCs w:val="20"/>
              </w:rPr>
              <w:t xml:space="preserve">OUTCOME</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ANC 4+ completion rate</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C26A0A"/>
                <w:sz w:val="20"/>
                <w:szCs w:val="20"/>
              </w:rPr>
              <w:t xml:space="preserve">~55%</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&gt;70%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&gt;80%</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DHIS2 + ProcCHW records</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7706E"/>
                <w:sz w:val="20"/>
                <w:szCs w:val="20"/>
              </w:rPr>
              <w:t xml:space="preserve">OUTCOME</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iCCM case management quality score</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N/A (new)</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&gt;75%</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&gt;85%</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Monthly supervisory observations</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5334"/>
                <w:sz w:val="20"/>
                <w:szCs w:val="20"/>
              </w:rPr>
              <w:t xml:space="preserve">OUTPUT</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ProcCHWs trained, certified, and deployed</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2,800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6,800</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Training and HR records</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5334"/>
                <w:sz w:val="20"/>
                <w:szCs w:val="20"/>
              </w:rPr>
              <w:t xml:space="preserve">OUTPUT</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Essential medicine stockout rate — ProcCHW level</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~35%</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&lt;15%</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&lt;5%</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Weekly LSCCS reports</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5334"/>
                <w:sz w:val="20"/>
                <w:szCs w:val="20"/>
              </w:rPr>
              <w:t xml:space="preserve">OUTPUT</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domestic financing share</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35%</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70–80%</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Audited financial statements</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SYSTEMS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Connection Quality Index — composite score</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TBD (baseline assessment)</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&gt;60</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&gt;75</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 CQI assessment</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C4A6E"/>
                <w:sz w:val="20"/>
                <w:szCs w:val="20"/>
              </w:rPr>
              <w:t xml:space="preserve">IDHS</w:t>
            </w:r>
          </w:p>
        </w:tc>
        <w:tc>
          <w:tcPr>
            <w:tcW w:type="dxa" w:w="2800"/>
            <w:gridSpan w:val="1"/>
            <w:tcBorders>
              <w:top w:val="single" w:color="CECECE" w:sz="4"/>
              <w:left w:val="single" w:color="CECECE" w:sz="4"/>
              <w:bottom w:val="single" w:color="CECECE" w:sz="4"/>
              <w:right w:val="single" w:color="CECECE" w:sz="4"/>
            </w:tcBorders>
            <w:shd w:fill="EBF0F7"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AI alert accuracy — clinical decision support</w:t>
            </w:r>
          </w:p>
        </w:tc>
        <w:tc>
          <w:tcPr>
            <w:tcW w:type="dxa" w:w="1200"/>
            <w:gridSpan w:val="1"/>
            <w:tcBorders>
              <w:top w:val="single" w:color="CECECE" w:sz="4"/>
              <w:left w:val="single" w:color="CECECE" w:sz="4"/>
              <w:bottom w:val="single" w:color="CECECE" w:sz="4"/>
              <w:right w:val="single" w:color="CECECE" w:sz="4"/>
            </w:tcBorders>
            <w:shd w:fill="EBF0F7"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N/A</w:t>
            </w:r>
          </w:p>
        </w:tc>
        <w:tc>
          <w:tcPr>
            <w:tcW w:type="dxa" w:w="1200"/>
            <w:gridSpan w:val="1"/>
            <w:tcBorders>
              <w:top w:val="single" w:color="CECECE" w:sz="4"/>
              <w:left w:val="single" w:color="CECECE" w:sz="4"/>
              <w:bottom w:val="single" w:color="CECECE" w:sz="4"/>
              <w:right w:val="single" w:color="CECECE" w:sz="4"/>
            </w:tcBorders>
            <w:shd w:fill="EBF0F7"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&gt;80%</w:t>
            </w:r>
          </w:p>
        </w:tc>
        <w:tc>
          <w:tcPr>
            <w:tcW w:type="dxa" w:w="1200"/>
            <w:gridSpan w:val="1"/>
            <w:tcBorders>
              <w:top w:val="single" w:color="CECECE" w:sz="4"/>
              <w:left w:val="single" w:color="CECECE" w:sz="4"/>
              <w:bottom w:val="single" w:color="CECECE" w:sz="4"/>
              <w:right w:val="single" w:color="CECECE" w:sz="4"/>
            </w:tcBorders>
            <w:shd w:fill="EBF0F7"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5C2A"/>
                <w:sz w:val="20"/>
                <w:szCs w:val="20"/>
              </w:rPr>
              <w:t xml:space="preserve">&gt;85%</w:t>
            </w:r>
          </w:p>
        </w:tc>
        <w:tc>
          <w:tcPr>
            <w:tcW w:type="dxa" w:w="2160"/>
            <w:gridSpan w:val="1"/>
            <w:tcBorders>
              <w:top w:val="single" w:color="CECECE" w:sz="4"/>
              <w:left w:val="single" w:color="CECECE" w:sz="4"/>
              <w:bottom w:val="single" w:color="CECECE" w:sz="4"/>
              <w:right w:val="single" w:color="CECECE" w:sz="4"/>
            </w:tcBorders>
            <w:shd w:fill="EBF0F7"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feedback loop</w:t>
            </w:r>
          </w:p>
        </w:tc>
      </w:tr>
    </w:tbl>
    <w:p>
      <w:pPr>
        <w:spacing w:after="0" w:before="0"/>
      </w:pPr>
      <w:r>
        <w:rPr>
          <w:rFonts w:ascii="Georgia" w:cs="Georgia" w:eastAsia="Georgia" w:hAnsi="Georgia"/>
          <w:sz w:val="10"/>
          <w:szCs w:val="10"/>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23.3  Evaluation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rPr>
          <w:tblHeader/>
        </w:trPr>
        <w:tc>
          <w:tcPr>
            <w:tcW w:type="dxa" w:w="2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Evaluation</w:t>
            </w:r>
          </w:p>
        </w:tc>
        <w:tc>
          <w:tcPr>
            <w:tcW w:type="dxa" w:w="1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Timing</w:t>
            </w:r>
          </w:p>
        </w:tc>
        <w:tc>
          <w:tcPr>
            <w:tcW w:type="dxa" w:w="2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Design</w:t>
            </w:r>
          </w:p>
        </w:tc>
        <w:tc>
          <w:tcPr>
            <w:tcW w:type="dxa" w:w="33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Primary Questions</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Baseline Assessment</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Q3–Q4 2026</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Household survey in Kenema pilot chieftaincies; CHW workforce mapping; supply chain diagnostic; DHMT capacity assessment; CQI baseline; IDHS readiness assessment</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What is the pre-programme state of health outcomes, systems connection, and IDHS readiness in pilot districts? What are the equity gaps between most and least accessible communities?</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Mid-Term Evaluation</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Year 3 (2028)</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Independent evaluator; all active districts; randomised supervisor observation sub-study; CQI assessment; IDHS performance review; domestic financing progress</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Is the REACH 360° Framework producing the predicted health outcomes? Is the CQI rising as predicted? Are IDHS tools operating equitably? Is domestic financing transition on track?</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Final Evaluation</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Year 5 (2031)</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External summative evaluation; comparison with non-programme districts; 30% presence reduction CQI test conducted; IDHS government ownership confirmed; domestic financing sustainability assessment</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Has the REACH 360° Framework produced sustained systems change? Do the three systems govern health together without iREACHE? Do IDHS tools operate under government ownership? Is 70–80% domestic financing achieved?</w:t>
            </w:r>
          </w:p>
        </w:tc>
      </w:tr>
      <w:tr>
        <w:trPr>
          <w:tblHeader w:val="false"/>
        </w:trPr>
        <w:tc>
          <w:tcPr>
            <w:tcW w:type="dxa" w:w="20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Embedded Research</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Continuous — 5 pre-registered studies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Quasi-experimental and mixed-methods studies addressing pre-registered questions; co-designed with academic partners; results published in peer-reviewed journals regardless of outcome</w:t>
            </w:r>
          </w:p>
        </w:tc>
        <w:tc>
          <w:tcPr>
            <w:tcW w:type="dxa" w:w="3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Five questions: Three-tier connectivity vs retention; TA Supply Stewardship vs stockouts; CEIN outbreak detection speed; TACGS vs equity outcomes; IDHS vs clinical quality</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24  </w:t>
      </w:r>
      <w:r>
        <w:rPr>
          <w:rFonts w:ascii="Georgia" w:cs="Georgia" w:eastAsia="Georgia" w:hAnsi="Georgia"/>
          <w:b/>
          <w:bCs/>
          <w:color w:val="FFFFFF"/>
          <w:sz w:val="34"/>
          <w:szCs w:val="34"/>
        </w:rPr>
        <w:t xml:space="preserve">RISK MANAGEMENT FRAMEWORK</w:t>
      </w:r>
    </w:p>
    <w:p>
      <w:pPr>
        <w:pBdr>
          <w:bottom w:val="single" w:color="B55334" w:sz="8"/>
        </w:pBdr>
        <w:spacing w:after="200" w:before="0"/>
      </w:pPr>
      <w:r>
        <w:rPr>
          <w:sz w:val="2"/>
          <w:szCs w:val="2"/>
        </w:rPr>
        <w:t xml:space="preserve"/>
      </w:r>
    </w:p>
    <w:p>
      <w:pPr>
        <w:spacing w:after="140" w:before="0"/>
        <w:jc w:val="both"/>
      </w:pPr>
      <w:r>
        <w:rPr>
          <w:rFonts w:ascii="Georgia" w:cs="Georgia" w:eastAsia="Georgia" w:hAnsi="Georgia"/>
          <w:b w:val="false"/>
          <w:bCs w:val="false"/>
          <w:i w:val="false"/>
          <w:iCs w:val="false"/>
          <w:color w:val="252525"/>
          <w:sz w:val="24"/>
          <w:szCs w:val="24"/>
        </w:rPr>
        <w:t xml:space="preserve">The REACH 360° Risk Management Framework maintains a living register reviewed at every Board meeting, updated quarterly by the National Programme Manager, and shared transparently with DHMT partners and primary donors. Risk management is a governance responsibility — not an administrative exercise. The TACGS three-authority governance structure is itself the primary risk mitigation architecture for programme-level risks.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3000"/>
        <w:gridCol w:w="1000"/>
        <w:gridCol w:w="1760"/>
      </w:tblGrid>
      <w:tr>
        <w:trPr>
          <w:tblHeader/>
        </w:trPr>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Risk</w:t>
            </w:r>
          </w:p>
        </w:tc>
        <w:tc>
          <w:tcPr>
            <w:tcW w:type="dxa" w:w="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Likelihood</w:t>
            </w:r>
          </w:p>
        </w:tc>
        <w:tc>
          <w:tcPr>
            <w:tcW w:type="dxa" w:w="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Impact</w:t>
            </w:r>
          </w:p>
        </w:tc>
        <w:tc>
          <w:tcPr>
            <w:tcW w:type="dxa" w:w="30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Mitigation</w:t>
            </w:r>
          </w:p>
        </w:tc>
        <w:tc>
          <w:tcPr>
            <w:tcW w:type="dxa" w:w="10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Owner</w:t>
            </w:r>
          </w:p>
        </w:tc>
        <w:tc>
          <w:tcPr>
            <w:tcW w:type="dxa" w:w="17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Role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Government priority shift away from Vision 2030 CHW Programme</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Low</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High</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Embed ProcCHW budget lines in District Council annual plans from Year 1. Build DHMT co-leadership so programme is perceived as government-owned. Chieftaincy Track advocacy creates political cost to abandonment.</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Executive Director</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domestic financing simulation demonstrates health outcome cost of policy reversal to government decision-makers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UNICEF–MasterCard Foundation programme delays or redesign</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Medium</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High</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Maintain 6-month operational reserve fund. Diversify funding through FCDO SLiSL-III and bilateral donors. Develop modular scale-down protocols preserving Kenema district operations regardless of national programme timing.</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Finance Manager</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financing scenario simulation generates scale-down impact projections for Board reserve fund decision-making</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ProcCHW attrition above 15% in Year 1</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Medium</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C26A0A"/>
                <w:sz w:val="20"/>
                <w:szCs w:val="20"/>
              </w:rPr>
              <w:t xml:space="preserve">Medium</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60-day attrition risk prediction enables early informal support intervention. Rapid replacement recruitment through TA nomination process. Peer support networks providing isolation protection. Gender-equitable PBI design reducing female ProcCHW-specific attrition drivers.</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National Programme Manager</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predictive attrition model; early warning enables proactive retention intervention</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IDHS tool performance failure or equity degradation</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Low-Med</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C26A0A"/>
                <w:sz w:val="20"/>
                <w:szCs w:val="20"/>
              </w:rPr>
              <w:t xml:space="preserve">Medium</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equity audit quarterly identifying performance gaps by community type. TRIAD AI Test compliance review quarterly. Model suspension and retraining protocol activated within 48 hours of confirmed failure. Open-source tools allow government to fork and modify independently.</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Digital Systems Manager</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self-monitoring — AI alert accuracy tracking triggers automatic model review when below 80%</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Supply chain disruption — national stockout</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Medium</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High</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Three-month buffer stock at district level. Traditional Authority Supply Stewardship provides community-level accountability. IDHS 21-day demand forecasting provides early warning. Emergency procurement protocol through MSD relationship. TA Supply Steward alert alongside DC.</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Supply Chain Manager</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stockout prediction provides 21-day advance warning; automated TA Supply Steward alert</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Political or security instability affecting operations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Low</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B52A2A"/>
                <w:sz w:val="20"/>
                <w:szCs w:val="20"/>
              </w:rPr>
              <w:t xml:space="preserve">High</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District-level contingency plans. Remote supervision capabilities through IDHS platform. Community trust as social protection. CEIN network provides early community-level warning of instability. Traditional authority relationships provide community protection of ProcCHWs.</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Executive Director</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remote monitoring maintains connectivity with ProcCHWs and communities when physical access restricted</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Community governance capture by powerful members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Medium</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C26A0A"/>
                <w:sz w:val="20"/>
                <w:szCs w:val="20"/>
              </w:rPr>
              <w:t xml:space="preserve">Medium</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Mandatory CHC representation standards (50% female; youth; disability; lowest-income households) prevent elite capture. Women's group co-endorsement of all ProcCHW nominations. Toll-free hotline gives community members direct access bypassing local power structures.</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District Coordinator</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community feedback sentiment analysis identifies patterns suggesting systematic exclusion of specific community groups from programme benefits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Academic partner capacity or commitment gaps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Low-Med</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1A5C2A"/>
                <w:sz w:val="20"/>
                <w:szCs w:val="20"/>
              </w:rPr>
              <w:t xml:space="preserve">Low</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Two-partner research architecture — USLCMAHS and international academic partner — ensures continuity if one partner faces capacity constraints. Research protocols pre-registered before partner engagement to ensure independence from any single partner.</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Research Lead</w:t>
            </w:r>
          </w:p>
        </w:tc>
        <w:tc>
          <w:tcPr>
            <w:tcW w:type="dxa" w:w="17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generates research-grade data automatically from programme operations — research data collection is embedded not dependent on partner presence</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25  </w:t>
      </w:r>
      <w:r>
        <w:rPr>
          <w:rFonts w:ascii="Georgia" w:cs="Georgia" w:eastAsia="Georgia" w:hAnsi="Georgia"/>
          <w:b/>
          <w:bCs/>
          <w:color w:val="FFFFFF"/>
          <w:sz w:val="34"/>
          <w:szCs w:val="34"/>
        </w:rPr>
        <w:t xml:space="preserve">THE EQUITY ACCOUNTABILITY STANDARD</w:t>
      </w:r>
    </w:p>
    <w:p>
      <w:pPr>
        <w:pBdr>
          <w:bottom w:val="single" w:color="B55334" w:sz="8"/>
        </w:pBdr>
        <w:spacing w:after="200" w:before="0"/>
      </w:pPr>
      <w:r>
        <w:rPr>
          <w:sz w:val="2"/>
          <w:szCs w:val="2"/>
        </w:rPr>
        <w:t xml:space="preserve"/>
      </w:r>
    </w:p>
    <w:p>
      <w:pPr>
        <w:spacing w:after="140" w:before="0"/>
        <w:jc w:val="both"/>
      </w:pPr>
      <w:r>
        <w:rPr>
          <w:rFonts w:ascii="Georgia" w:cs="Georgia" w:eastAsia="Georgia" w:hAnsi="Georgia"/>
          <w:b w:val="false"/>
          <w:bCs w:val="false"/>
          <w:i w:val="false"/>
          <w:iCs w:val="false"/>
          <w:color w:val="252525"/>
          <w:sz w:val="24"/>
          <w:szCs w:val="24"/>
        </w:rPr>
        <w:t xml:space="preserve">The Equity Accountability Standard is binding on every element of the REACH 360° Framework — including IDHS tools. An AI model that performs better for well-served communities than for marginalised ones is not a neutral tool. It is an active equity mechanism working against the programme's foundational purpose.</w:t>
      </w:r>
    </w:p>
    <w:p>
      <w:pPr>
        <w:pStyle w:val="Heading2"/>
        <w:pBdr>
          <w:bottom w:val="single" w:color="EAF3EE" w:sz="4"/>
        </w:pBdr>
        <w:spacing w:after="100" w:before="280"/>
      </w:pPr>
      <w:r>
        <w:rPr>
          <w:rFonts w:ascii="Georgia" w:cs="Georgia" w:eastAsia="Georgia" w:hAnsi="Georgia"/>
          <w:b/>
          <w:bCs/>
          <w:color w:val="1A4731"/>
          <w:sz w:val="28"/>
          <w:szCs w:val="28"/>
        </w:rPr>
        <w:t xml:space="preserve">25.1  The Equity Progress Threshold</w:t>
      </w:r>
    </w:p>
    <w:p>
      <w:pPr>
        <w:spacing w:after="140" w:before="0"/>
        <w:jc w:val="both"/>
      </w:pPr>
      <w:r>
        <w:rPr>
          <w:rFonts w:ascii="Georgia" w:cs="Georgia" w:eastAsia="Georgia" w:hAnsi="Georgia"/>
          <w:b w:val="false"/>
          <w:bCs w:val="false"/>
          <w:i w:val="false"/>
          <w:iCs w:val="false"/>
          <w:color w:val="252525"/>
          <w:sz w:val="24"/>
          <w:szCs w:val="24"/>
        </w:rPr>
        <w:t xml:space="preserve">Communities in the bottom quartile of health outcomes at baseline must demonstrate improvement rates at least equal to the programme average before any programme target is considered achieved. An average that improves while the gap between best-served and worst-served communities widens is a programme success and an equity failure simultaneously. The REACH 360° Framework refuses to count it as the former.</w:t>
      </w:r>
    </w:p>
    <w:p>
      <w:pPr>
        <w:pStyle w:val="Heading2"/>
        <w:pBdr>
          <w:bottom w:val="single" w:color="EAF3EE" w:sz="4"/>
        </w:pBdr>
        <w:spacing w:after="100" w:before="280"/>
      </w:pPr>
      <w:r>
        <w:rPr>
          <w:rFonts w:ascii="Georgia" w:cs="Georgia" w:eastAsia="Georgia" w:hAnsi="Georgia"/>
          <w:b/>
          <w:bCs/>
          <w:color w:val="1A4731"/>
          <w:sz w:val="28"/>
          <w:szCs w:val="28"/>
        </w:rPr>
        <w:t xml:space="preserve">25.2  The Equity Reversal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1200"/>
        <w:gridCol w:w="1560"/>
      </w:tblGrid>
      <w:tr>
        <w:trPr>
          <w:tblHeader/>
        </w:trPr>
        <w:tc>
          <w:tcPr>
            <w:tcW w:type="dxa" w:w="1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Stage</w:t>
            </w:r>
          </w:p>
        </w:tc>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Trigger</w:t>
            </w:r>
          </w:p>
        </w:tc>
        <w:tc>
          <w:tcPr>
            <w:tcW w:type="dxa" w:w="3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Required Action</w:t>
            </w:r>
          </w:p>
        </w:tc>
        <w:tc>
          <w:tcPr>
            <w:tcW w:type="dxa" w:w="1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Timeline</w:t>
            </w:r>
          </w:p>
        </w:tc>
        <w:tc>
          <w:tcPr>
            <w:tcW w:type="dxa" w:w="15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Accountability</w:t>
            </w:r>
          </w:p>
        </w:tc>
      </w:tr>
      <w:tr>
        <w:trPr>
          <w:tblHeader w:val="false"/>
        </w:trPr>
        <w:tc>
          <w:tcPr>
            <w:tcW w:type="dxa" w:w="1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1: Detection</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 CQI or IDHS equity audit shows bottom-quartile communities improving at &lt;80% of programme average rate</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MEL Manager flags to District Coordinator and Programme Director; equity investigation initiated; IDHS equity audit conducted across all active tools</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Within 48 hours of assessment</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MEL Manager</w:t>
            </w:r>
          </w:p>
        </w:tc>
      </w:tr>
      <w:tr>
        <w:trPr>
          <w:tblHeader w:val="false"/>
        </w:trPr>
        <w:tc>
          <w:tcPr>
            <w:tcW w:type="dxa" w:w="1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 Investigation</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Equity gap confirmed for two consecutive quarters OR single-quarter gap &gt;15 percentage points</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Root cause analysis; field visits to bottom-quartile communities; TACGS consultation; supply chain audit; supervision intensity review; IDHS tool equity audit across all deployed models</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Within 30 days</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DC + Programme Director</w:t>
            </w:r>
          </w:p>
        </w:tc>
      </w:tr>
      <w:tr>
        <w:trPr>
          <w:tblHeader w:val="false"/>
        </w:trPr>
        <w:tc>
          <w:tcPr>
            <w:tcW w:type="dxa" w:w="1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3: Corrective Action</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Root cause identified — structural or IDHS-related</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Documented action plan with specific interventions and timelines; IDHS model suspension and retraining if equity failure is AI-related; resource reallocation to bottom-quartile communities; shared with TACGS governance bodies</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Within 14 days of investigation</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Programme Director + TACGS</w:t>
            </w:r>
          </w:p>
        </w:tc>
      </w:tr>
      <w:tr>
        <w:trPr>
          <w:tblHeader w:val="false"/>
        </w:trPr>
        <w:tc>
          <w:tcPr>
            <w:tcW w:type="dxa" w:w="1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4: Board Reporting</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Gap persisting after corrective action OR IDHS equity failure confirmed</w:t>
            </w:r>
          </w:p>
        </w:tc>
        <w:tc>
          <w:tcPr>
            <w:tcW w:type="dxa" w:w="3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Board Programme Quality Committee review; potential programme design revision; potential IDHS application suspension pending retraining and equity re-validation</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Within 60 days of Stage 1</w:t>
            </w:r>
          </w:p>
        </w:tc>
        <w:tc>
          <w:tcPr>
            <w:tcW w:type="dxa" w:w="1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Executive Director + Board</w:t>
            </w:r>
          </w:p>
        </w:tc>
      </w:tr>
    </w:tbl>
    <w:p>
      <w:r>
        <w:br w:type="page"/>
      </w:r>
    </w:p>
    <w:p>
      <w:r>
        <w:br w:type="page"/>
      </w:r>
    </w:p>
    <w:p>
      <w:pPr>
        <w:spacing w:after="80" w:before="1200"/>
        <w:jc w:val="left"/>
      </w:pPr>
      <w:r>
        <w:rPr>
          <w:rFonts w:ascii="Georgia" w:cs="Georgia" w:eastAsia="Georgia" w:hAnsi="Georgia"/>
          <w:b/>
          <w:bCs/>
          <w:color w:val="2D6A4F"/>
          <w:sz w:val="48"/>
          <w:szCs w:val="48"/>
        </w:rPr>
        <w:t xml:space="preserve">PART VII</w:t>
      </w:r>
    </w:p>
    <w:p>
      <w:pPr>
        <w:pBdr>
          <w:bottom w:val="single" w:color="B55334" w:sz="12"/>
        </w:pBdr>
        <w:spacing w:after="80" w:before="0"/>
        <w:jc w:val="left"/>
      </w:pPr>
      <w:r>
        <w:rPr>
          <w:rFonts w:ascii="Georgia" w:cs="Georgia" w:eastAsia="Georgia" w:hAnsi="Georgia"/>
          <w:b/>
          <w:bCs/>
          <w:color w:val="1A4731"/>
          <w:sz w:val="52"/>
          <w:szCs w:val="52"/>
        </w:rPr>
        <w:t xml:space="preserve">THE CROSSWALK</w:t>
      </w:r>
    </w:p>
    <w:p>
      <w:pPr>
        <w:spacing w:after="0" w:before="60"/>
      </w:pPr>
      <w:r>
        <w:rPr>
          <w:rFonts w:ascii="Georgia" w:cs="Georgia" w:eastAsia="Georgia" w:hAnsi="Georgia"/>
          <w:i/>
          <w:iCs/>
          <w:color w:val="5C5C5C"/>
          <w:sz w:val="22"/>
          <w:szCs w:val="22"/>
        </w:rPr>
        <w:t xml:space="preserve">The permanent register distinguishing what iREACHE LASTMILE was inspired by from what it built — updated quarterly, published annually</w:t>
      </w:r>
    </w:p>
    <w:p>
      <w:r>
        <w:br w:type="page"/>
      </w:r>
    </w:p>
    <w:p>
      <w:pPr>
        <w:pStyle w:val="Heading1"/>
        <w:shd w:fill="1A4731" w:val="clear"/>
        <w:spacing w:after="0" w:before="400"/>
      </w:pPr>
      <w:r>
        <w:rPr>
          <w:rFonts w:ascii="Georgia" w:cs="Georgia" w:eastAsia="Georgia" w:hAnsi="Georgia"/>
          <w:b/>
          <w:bCs/>
          <w:color w:val="7BC99A"/>
          <w:sz w:val="18"/>
          <w:szCs w:val="18"/>
        </w:rPr>
        <w:t xml:space="preserve">26  </w:t>
      </w:r>
      <w:r>
        <w:rPr>
          <w:rFonts w:ascii="Georgia" w:cs="Georgia" w:eastAsia="Georgia" w:hAnsi="Georgia"/>
          <w:b/>
          <w:bCs/>
          <w:color w:val="FFFFFF"/>
          <w:sz w:val="34"/>
          <w:szCs w:val="34"/>
        </w:rPr>
        <w:t xml:space="preserve">THE REACH 360° CROSSWALK</w:t>
      </w:r>
    </w:p>
    <w:p>
      <w:pPr>
        <w:pBdr>
          <w:bottom w:val="single" w:color="B55334" w:sz="8"/>
        </w:pBdr>
        <w:spacing w:after="200" w:before="0"/>
      </w:pPr>
      <w:r>
        <w:rPr>
          <w:sz w:val="2"/>
          <w:szCs w:val="2"/>
        </w:rPr>
        <w:t xml:space="preserve"/>
      </w:r>
    </w:p>
    <w:p>
      <w:pPr>
        <w:pBdr>
          <w:left w:val="thick" w:color="B55334" w:sz="18"/>
        </w:pBdr>
        <w:spacing w:after="200" w:before="200"/>
        <w:ind w:left="560" w:right="560"/>
        <w:jc w:val="both"/>
      </w:pPr>
      <w:r>
        <w:rPr>
          <w:rFonts w:ascii="Georgia" w:cs="Georgia" w:eastAsia="Georgia" w:hAnsi="Georgia"/>
          <w:b/>
          <w:bCs/>
          <w:i/>
          <w:iCs/>
          <w:color w:val="1A4731"/>
          <w:sz w:val="24"/>
          <w:szCs w:val="24"/>
        </w:rPr>
        <w:t xml:space="preserve">"We borrowed what the evidence compelled us to borrow. We built what Sierra Leone's context required us to build. The Crosswalk is the permanent, verifiable, annually updated record of which is which."</w:t>
      </w:r>
    </w:p>
    <w:p>
      <w:pPr>
        <w:spacing w:after="140" w:before="0"/>
        <w:jc w:val="both"/>
      </w:pPr>
      <w:r>
        <w:rPr>
          <w:rFonts w:ascii="Georgia" w:cs="Georgia" w:eastAsia="Georgia" w:hAnsi="Georgia"/>
          <w:b w:val="false"/>
          <w:bCs w:val="false"/>
          <w:i w:val="false"/>
          <w:iCs w:val="false"/>
          <w:color w:val="252525"/>
          <w:sz w:val="24"/>
          <w:szCs w:val="24"/>
        </w:rPr>
        <w:t xml:space="preserve">The Crosswalk is maintained as a living register — updated quarterly, reviewed at every Board meeting, and published annually as open-access knowledge. Every entry records six dimensions: Framework Element; International Inspiration with citation; Sierra Leone Evidence Source; Original REACH 360° Contribution; IDHS Dimension; and Divergence Alert — tracking when implementation data diverges from what international sources predict, which becomes a research finding and a publication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200"/>
        <w:gridCol w:w="2160"/>
      </w:tblGrid>
      <w:tr>
        <w:trPr>
          <w:tblHeader/>
        </w:trPr>
        <w:tc>
          <w:tcPr>
            <w:tcW w:type="dxa" w:w="16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Element</w:t>
            </w:r>
          </w:p>
        </w:tc>
        <w:tc>
          <w:tcPr>
            <w:tcW w:type="dxa" w:w="1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Inspiration</w:t>
            </w:r>
          </w:p>
        </w:tc>
        <w:tc>
          <w:tcPr>
            <w:tcW w:type="dxa" w:w="16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SL Evidence</w:t>
            </w:r>
          </w:p>
        </w:tc>
        <w:tc>
          <w:tcPr>
            <w:tcW w:type="dxa" w:w="22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Original REACH 360°</w:t>
            </w:r>
          </w:p>
        </w:tc>
        <w:tc>
          <w:tcPr>
            <w:tcW w:type="dxa" w:w="21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Dimension</w:t>
            </w:r>
          </w:p>
        </w:tc>
      </w:tr>
      <w:tr>
        <w:trPr>
          <w:tblHeader w:val="false"/>
        </w:trPr>
        <w:tc>
          <w:tcPr>
            <w:tcW w:type="dxa" w:w="1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CHW — Three-Tier Connectivity</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Living Goods DESC; 2013 Uganda RCT — supervision drives 27% U5MR reduction</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SL CHW Policy 2024; LMH Kambia research 2021–2025</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Mandatory downward connectivity to community governance as third required connection — no international framework requires this. Disconnected node classification regardless of individual performance.</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predictive attrition extends data-driven approach from retrospective measurement to 60-day predictive forecasting</w:t>
            </w:r>
          </w:p>
        </w:tc>
      </w:tr>
      <w:tr>
        <w:trPr>
          <w:tblHeader w:val="false"/>
        </w:trPr>
        <w:tc>
          <w:tcPr>
            <w:tcW w:type="dxa" w:w="1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CHW — TA Endorsement with Women's Group</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Impact Coalition Standards 2020; Lwala community co-ownership</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SL Chieftaincy Act; National CHW Policy community selection</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Mandatory women's group co-endorsement alongside chief nomination — uses selection process to challenge rather than replicate gendered governance exclusions. No equivalent anywhere.</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community feedback analysis identifies systematic exclusion patterns from programme benefits that governance review might miss</w:t>
            </w:r>
          </w:p>
        </w:tc>
      </w:tr>
      <w:tr>
        <w:trPr>
          <w:tblHeader w:val="false"/>
        </w:trPr>
        <w:tc>
          <w:tcPr>
            <w:tcW w:type="dxa" w:w="1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CISS — CEIN</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Muso radical transparency; WHO IDSR community surveillance</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SL Ebola After Action Review 2016; Kenema survivor community mapping 2025</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Formalises post-Ebola community surveillance knowledge as standing health system asset. No international framework has theorised Ebola-era community intelligence as a permanent system component.</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Krio NLP text classification extracts structured surveillance signals from unstructured CEIN narrative reports — original in both approach and language specificity</w:t>
            </w:r>
          </w:p>
        </w:tc>
      </w:tr>
      <w:tr>
        <w:trPr>
          <w:tblHeader w:val="false"/>
        </w:trPr>
        <w:tc>
          <w:tcPr>
            <w:tcW w:type="dxa" w:w="1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LSCCS — TA Supply Stewardship</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VillageReach SC4CHWs; Liberia CHW kitting national rollout 2024</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SL Chieftaincy Act; National CHW Policy community accountability</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Chiefs as legitimate commodity buffer custodians; stockouts as governance accountability failures. Social enforcement tools DHMTs do not possess. No equivalent in VillageReach primary operating contexts.</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routes TA Supply Steward alert simultaneously with DC — traditional authority receives same AI intelligence as government for the first time</w:t>
            </w:r>
          </w:p>
        </w:tc>
      </w:tr>
      <w:tr>
        <w:trPr>
          <w:tblHeader w:val="false"/>
        </w:trPr>
        <w:tc>
          <w:tcPr>
            <w:tcW w:type="dxa" w:w="1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LSCCS — Rainy Season Protocol</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VillageReach seasonal logistics; Concern Worldwide SLiSL-III rainy season operations 2025</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SL road accessibility data; LMH 2024 geospatial mapping; Kenema district rainfall calendar</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District-specific routing architecture integrating motorbike, canoe, and TA carrier networks calibrated to each district's seasonal access patterns. Pre-positioning calendar triggered by meteorological data.</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meteorological data integration triggers pre-positioning alerts dynamically rather than on fixed calendar dates</w:t>
            </w:r>
          </w:p>
        </w:tc>
      </w:tr>
      <w:tr>
        <w:trPr>
          <w:tblHeader w:val="false"/>
        </w:trPr>
        <w:tc>
          <w:tcPr>
            <w:tcW w:type="dxa" w:w="1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SHFS — Shared Sovereignty Financing</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VillageReach government co-financing; Lwala community ownership advocacy</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SL District Council governance; chieftaincy political economy; Parliament Health Committee composition</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Three-party financing model adding traditional authority as sovereign financing advocate. Chieftaincy Track District Council advocacy. No international health financing framework has theorised traditional authority as a financing sovereignty stakeholder.</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domestic financing simulation links government budget scenarios to health outcome projections — gives all three sovereign parties specific evidence for their advocacy</w:t>
            </w:r>
          </w:p>
        </w:tc>
      </w:tr>
      <w:tr>
        <w:trPr>
          <w:tblHeader w:val="false"/>
        </w:trPr>
        <w:tc>
          <w:tcPr>
            <w:tcW w:type="dxa" w:w="1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TACGS — TRIAD Governance Protocol</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Integrate Health district governance; Community Impact Coalition community leadership standards</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SL traditional governance architecture; National CHW Policy community participation provisions</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Three-authority co-governance with defined decision domains in legally-referenced Protocol. No international governance framework has formalised traditional authority as co-equal governing partner with defined decision-making authority.</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TRIAD AI Test — applying governance authority to AI tools across three dimensions — is original to REACH 360°. No international AI governance framework includes traditional authority as a governance dimension.</w:t>
            </w:r>
          </w:p>
        </w:tc>
      </w:tr>
      <w:tr>
        <w:trPr>
          <w:tblHeader w:val="false"/>
        </w:trPr>
        <w:tc>
          <w:tcPr>
            <w:tcW w:type="dxa" w:w="1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PCHDS — Post-Ebola Mental Health Pulse Check</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PIH holistic care; Integrate Health accompaniment approach</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SL Ebola After Action Review 2016; Eastern Province Ebola impact research; Kenema survivor community consultation 2025</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Routine psychological screening integrated into household visits in Ebola-affected communities. Globally unique — no community health framework has operationalised post-Ebola mental health as routine primary care.</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aggregate anonymised pattern analysis of screening trends without individualising sensitive data — original application of privacy-preserving AI analytics to post-crisis mental health</w:t>
            </w:r>
          </w:p>
        </w:tc>
      </w:tr>
      <w:tr>
        <w:trPr>
          <w:tblHeader w:val="false"/>
        </w:trPr>
        <w:tc>
          <w:tcPr>
            <w:tcW w:type="dxa" w:w="16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Pillar 7 — Strategic Partnerships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VillageReach 'driving sustained impact through collaborating with governments, private sector, stakeholders and communities' organisational principle</w:t>
            </w:r>
          </w:p>
        </w:tc>
        <w:tc>
          <w:tcPr>
            <w:tcW w:type="dxa" w:w="1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Sierra Leone NGO ecosystem landscape; IRC programme closure analysis; national CHW technical working group participation experience</w:t>
            </w:r>
          </w:p>
        </w:tc>
        <w:tc>
          <w:tcPr>
            <w:tcW w:type="dxa" w:w="2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Seventh WHO Building Block cross-cutting pillar — the sustained impact and partnership architecture that makes systems change self-reinforcing. West Africa Learning Exchange as convening mechanism for regional knowledge sharing.</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knowledge management system enables systematic learning from partnership experience and policy influence efforts across the programme cycle</w:t>
            </w:r>
          </w:p>
        </w:tc>
      </w:tr>
    </w:tbl>
    <w:p>
      <w:r>
        <w:br w:type="page"/>
      </w:r>
    </w:p>
    <w:p>
      <w:r>
        <w:br w:type="page"/>
      </w:r>
    </w:p>
    <w:p>
      <w:pPr>
        <w:spacing w:after="80" w:before="1200"/>
        <w:jc w:val="left"/>
      </w:pPr>
      <w:r>
        <w:rPr>
          <w:rFonts w:ascii="Georgia" w:cs="Georgia" w:eastAsia="Georgia" w:hAnsi="Georgia"/>
          <w:b/>
          <w:bCs/>
          <w:color w:val="2D6A4F"/>
          <w:sz w:val="48"/>
          <w:szCs w:val="48"/>
        </w:rPr>
        <w:t xml:space="preserve">PART VIII</w:t>
      </w:r>
    </w:p>
    <w:p>
      <w:pPr>
        <w:pBdr>
          <w:bottom w:val="single" w:color="B55334" w:sz="12"/>
        </w:pBdr>
        <w:spacing w:after="80" w:before="0"/>
        <w:jc w:val="left"/>
      </w:pPr>
      <w:r>
        <w:rPr>
          <w:rFonts w:ascii="Georgia" w:cs="Georgia" w:eastAsia="Georgia" w:hAnsi="Georgia"/>
          <w:b/>
          <w:bCs/>
          <w:color w:val="1A4731"/>
          <w:sz w:val="52"/>
          <w:szCs w:val="52"/>
        </w:rPr>
        <w:t xml:space="preserve">IMPLEMENTATION</w:t>
      </w:r>
    </w:p>
    <w:p>
      <w:pPr>
        <w:spacing w:after="0" w:before="60"/>
      </w:pPr>
      <w:r>
        <w:rPr>
          <w:rFonts w:ascii="Georgia" w:cs="Georgia" w:eastAsia="Georgia" w:hAnsi="Georgia"/>
          <w:i/>
          <w:iCs/>
          <w:color w:val="5C5C5C"/>
          <w:sz w:val="22"/>
          <w:szCs w:val="22"/>
        </w:rPr>
        <w:t xml:space="preserve">Phased Systems Activation Architecture, critical path documents, and the five-year implementation roadmap</w:t>
      </w:r>
    </w:p>
    <w:p>
      <w:r>
        <w:br w:type="page"/>
      </w:r>
    </w:p>
    <w:p>
      <w:pPr>
        <w:pStyle w:val="Heading1"/>
        <w:shd w:fill="1A4731" w:val="clear"/>
        <w:spacing w:after="0" w:before="400"/>
      </w:pPr>
      <w:r>
        <w:rPr>
          <w:rFonts w:ascii="Georgia" w:cs="Georgia" w:eastAsia="Georgia" w:hAnsi="Georgia"/>
          <w:b/>
          <w:bCs/>
          <w:color w:val="7BC99A"/>
          <w:sz w:val="18"/>
          <w:szCs w:val="18"/>
        </w:rPr>
        <w:t xml:space="preserve">27  </w:t>
      </w:r>
      <w:r>
        <w:rPr>
          <w:rFonts w:ascii="Georgia" w:cs="Georgia" w:eastAsia="Georgia" w:hAnsi="Georgia"/>
          <w:b/>
          <w:bCs/>
          <w:color w:val="FFFFFF"/>
          <w:sz w:val="34"/>
          <w:szCs w:val="34"/>
        </w:rPr>
        <w:t xml:space="preserve">PHASED SYSTEMS ACTIVATION ARCHITECTURE</w:t>
      </w:r>
    </w:p>
    <w:p>
      <w:pPr>
        <w:pBdr>
          <w:bottom w:val="single" w:color="B55334" w:sz="8"/>
        </w:pBdr>
        <w:spacing w:after="200" w:before="0"/>
      </w:pPr>
      <w:r>
        <w:rPr>
          <w:sz w:val="2"/>
          <w:szCs w:val="2"/>
        </w:rPr>
        <w:t xml:space="preserve"/>
      </w:r>
    </w:p>
    <w:p>
      <w:pPr>
        <w:pBdr>
          <w:left w:val="thick" w:color="B55334" w:sz="18"/>
        </w:pBdr>
        <w:spacing w:after="200" w:before="200"/>
        <w:ind w:left="560" w:right="560"/>
        <w:jc w:val="both"/>
      </w:pPr>
      <w:r>
        <w:rPr>
          <w:rFonts w:ascii="Georgia" w:cs="Georgia" w:eastAsia="Georgia" w:hAnsi="Georgia"/>
          <w:b/>
          <w:bCs/>
          <w:i/>
          <w:iCs/>
          <w:color w:val="1A4731"/>
          <w:sz w:val="24"/>
          <w:szCs w:val="24"/>
        </w:rPr>
        <w:t xml:space="preserve">"The most important implementation lesson in community health systems building: deploy systems before ProcCHWs. Every ProcCHW deployed before governance is established, supply chain is integrated, and IDHS is validated is a ProcCHW deployed into a service delivery role rather than a systems connector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000"/>
        <w:gridCol w:w="1000"/>
        <w:gridCol w:w="2800"/>
        <w:gridCol w:w="2560"/>
      </w:tblGrid>
      <w:tr>
        <w:trPr>
          <w:tblHeader/>
        </w:trPr>
        <w:tc>
          <w:tcPr>
            <w:tcW w:type="dxa" w:w="6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Phase</w:t>
            </w:r>
          </w:p>
        </w:tc>
        <w:tc>
          <w:tcPr>
            <w:tcW w:type="dxa" w:w="1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Name</w:t>
            </w:r>
          </w:p>
        </w:tc>
        <w:tc>
          <w:tcPr>
            <w:tcW w:type="dxa" w:w="1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Period</w:t>
            </w:r>
          </w:p>
        </w:tc>
        <w:tc>
          <w:tcPr>
            <w:tcW w:type="dxa" w:w="1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ProcCHWs</w:t>
            </w:r>
          </w:p>
        </w:tc>
        <w:tc>
          <w:tcPr>
            <w:tcW w:type="dxa" w:w="2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Human System Milestones</w:t>
            </w:r>
          </w:p>
        </w:tc>
        <w:tc>
          <w:tcPr>
            <w:tcW w:type="dxa" w:w="25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Milestones</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1</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FOUNDATION</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Jan–Jun 2026</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0 — systems only</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legal registrations; Board constituted; core governance documents; TACGS governance bodies in Kenema pilot chieftaincies; government platform configured; equity baseline completed; MoH recognition secured; UNICEF-MCF application submitted</w:t>
            </w:r>
          </w:p>
        </w:tc>
        <w:tc>
          <w:tcPr>
            <w:tcW w:type="dxa" w:w="2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literacy integrated into ProcCHW training curriculum. AI tool design within DHIS2 architecture initiated. TRIAD AI Test documented and Board-approved. IDHS Readiness Assessment completed. NO AI applications deployed.</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2</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ARCHITECTURE</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Jul–Dec 2026</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0 — architecture only</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TRIAD Governance Protocols and DHMT MoU signed in Kenema; CHCs constituted; ProcCHW Supervisors trained; all 32 critical-path documents produced; ProcCHW curriculum MoH-accredited; platform fully operational; CEIN activation guide completed</w:t>
            </w:r>
          </w:p>
        </w:tc>
        <w:tc>
          <w:tcPr>
            <w:tcW w:type="dxa" w:w="2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clinical decision support configured in DHIS2 as program rule extension; PBI anomaly detection rules written; AI alert feedback protocol co-designed with ProcCHW input. NO AI applications deployed.</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3</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ACTIVATION</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Q1–Q2 2027</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~250 Kenema</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First Kenema ProcCHW cohort trained and deployed. First PBI payment on 1st of month. First CQI assessment. Adaptive management before expanding to other pilot chieftaincies.</w:t>
            </w:r>
          </w:p>
        </w:tc>
        <w:tc>
          <w:tcPr>
            <w:tcW w:type="dxa" w:w="2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iCCM decision support activated in Kenema. PBI anomaly detection active. Basic stockout alerts active. Community feedback AI classification active with CHC contestability. First AI Learning Brief published.</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4</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SCALE</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Q3 2027–2028</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800–2,800</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Scale to 4 pilot districts after Kenema CQI &gt;60. Architecture phase replicated in each new district before ProcCHW deployment. UNICEF-MCF programme fully activated.</w:t>
            </w:r>
          </w:p>
        </w:tc>
        <w:tc>
          <w:tcPr>
            <w:tcW w:type="dxa" w:w="2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Phase 2 IDHS tools activated after supply chain Optimize complete: 21-day demand forecasting; outbreak detection; zero-dose prediction; personalised supervision. IDHS validated in Kenema before each new district deployment.</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5</w:t>
            </w:r>
          </w:p>
        </w:tc>
        <w:tc>
          <w:tcPr>
            <w:tcW w:type="dxa" w:w="1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1A4731"/>
                <w:sz w:val="20"/>
                <w:szCs w:val="20"/>
              </w:rPr>
              <w:t xml:space="preserve">INSTITUTIONALISATION</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2029–2031</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6,800</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16 districts; 70–80% domestic financing; MoH leads all operations; iREACHE transitions to TA role in earliest districts; final evaluation published</w:t>
            </w:r>
          </w:p>
        </w:tc>
        <w:tc>
          <w:tcPr>
            <w:tcW w:type="dxa" w:w="25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Phase 3 IDHS tools active: MUAC trajectory; financing simulation; Krio NLP. Full IDHS government ownership transfer by 2031. iREACHE TA role includes IDHS model governance support for government.</w:t>
            </w:r>
          </w:p>
        </w:tc>
      </w:tr>
    </w:tbl>
    <w:p>
      <w:pPr>
        <w:pStyle w:val="Heading2"/>
        <w:pBdr>
          <w:bottom w:val="single" w:color="EAF3EE" w:sz="4"/>
        </w:pBdr>
        <w:spacing w:after="100" w:before="280"/>
      </w:pPr>
      <w:r>
        <w:rPr>
          <w:rFonts w:ascii="Georgia" w:cs="Georgia" w:eastAsia="Georgia" w:hAnsi="Georgia"/>
          <w:b/>
          <w:bCs/>
          <w:color w:val="1A4731"/>
          <w:sz w:val="28"/>
          <w:szCs w:val="28"/>
        </w:rPr>
        <w:t xml:space="preserve">27.2  Critical Path Documents Before First ProcCHW Deployment</w:t>
      </w:r>
    </w:p>
    <w:p>
      <w:pPr>
        <w:spacing w:after="140" w:before="0"/>
        <w:jc w:val="both"/>
      </w:pPr>
      <w:r>
        <w:rPr>
          <w:rFonts w:ascii="Georgia" w:cs="Georgia" w:eastAsia="Georgia" w:hAnsi="Georgia"/>
          <w:b w:val="false"/>
          <w:bCs w:val="false"/>
          <w:i w:val="false"/>
          <w:iCs w:val="false"/>
          <w:color w:val="252525"/>
          <w:sz w:val="24"/>
          <w:szCs w:val="24"/>
        </w:rPr>
        <w:t xml:space="preserve">Thirty-two documents must be produced before the first Kenema ProcCHW is deployed. The following are the ten highest-priority documents in the critical path sequence — documents on which all others depend.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400"/>
        <w:gridCol w:w="1000"/>
        <w:gridCol w:w="1160"/>
      </w:tblGrid>
      <w:tr>
        <w:trPr>
          <w:tblHeader/>
        </w:trPr>
        <w:tc>
          <w:tcPr>
            <w:tcW w:type="dxa" w:w="6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Priority</w:t>
            </w:r>
          </w:p>
        </w:tc>
        <w:tc>
          <w:tcPr>
            <w:tcW w:type="dxa" w:w="4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Document</w:t>
            </w:r>
          </w:p>
        </w:tc>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Hard Dependency</w:t>
            </w:r>
          </w:p>
        </w:tc>
        <w:tc>
          <w:tcPr>
            <w:tcW w:type="dxa" w:w="1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Target</w:t>
            </w:r>
          </w:p>
        </w:tc>
        <w:tc>
          <w:tcPr>
            <w:tcW w:type="dxa" w:w="11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Owner</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1</w:t>
            </w:r>
          </w:p>
        </w:tc>
        <w:tc>
          <w:tcPr>
            <w:tcW w:type="dxa" w:w="4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Organisational Constitution and Memorandum of Association</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None — must come first; enables all legal registration</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Feb 2026</w:t>
            </w:r>
          </w:p>
        </w:tc>
        <w:tc>
          <w:tcPr>
            <w:tcW w:type="dxa" w:w="1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Board Secretary</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2</w:t>
            </w:r>
          </w:p>
        </w:tc>
        <w:tc>
          <w:tcPr>
            <w:tcW w:type="dxa" w:w="4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Board Governance Charter and Committee Terms of Reference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Constitution completed and signed</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Feb 2026</w:t>
            </w:r>
          </w:p>
        </w:tc>
        <w:tc>
          <w:tcPr>
            <w:tcW w:type="dxa" w:w="1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Board Chair</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3</w:t>
            </w:r>
          </w:p>
        </w:tc>
        <w:tc>
          <w:tcPr>
            <w:tcW w:type="dxa" w:w="4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Organisational Policies and Procedures Manual (11 core policies)</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Board constituted and governance charter approved</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Mar 2026</w:t>
            </w:r>
          </w:p>
        </w:tc>
        <w:tc>
          <w:tcPr>
            <w:tcW w:type="dxa" w:w="1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Executive Director</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4</w:t>
            </w:r>
          </w:p>
        </w:tc>
        <w:tc>
          <w:tcPr>
            <w:tcW w:type="dxa" w:w="4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This Document: REACH 360° CHSSF Master Document Version 1.0</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Constitutional documents completed; Board in place</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Jun 2026</w:t>
            </w:r>
          </w:p>
        </w:tc>
        <w:tc>
          <w:tcPr>
            <w:tcW w:type="dxa" w:w="1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Programme Director</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5</w:t>
            </w:r>
          </w:p>
        </w:tc>
        <w:tc>
          <w:tcPr>
            <w:tcW w:type="dxa" w:w="4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MoH Recognition Application Package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Framework Master Document; Constitution completed</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Jun 2026</w:t>
            </w:r>
          </w:p>
        </w:tc>
        <w:tc>
          <w:tcPr>
            <w:tcW w:type="dxa" w:w="1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Executive Director</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6</w:t>
            </w:r>
          </w:p>
        </w:tc>
        <w:tc>
          <w:tcPr>
            <w:tcW w:type="dxa" w:w="4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TACGS TRIAD Governance Protocol — Kenema District</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DHMT relationship established 3+ months; Policies in place</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Aug 2026</w:t>
            </w:r>
          </w:p>
        </w:tc>
        <w:tc>
          <w:tcPr>
            <w:tcW w:type="dxa" w:w="1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DC Kenema</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7</w:t>
            </w:r>
          </w:p>
        </w:tc>
        <w:tc>
          <w:tcPr>
            <w:tcW w:type="dxa" w:w="4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MoU with Kenema DHMT</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TRIAD Protocol drafted; MoH recognition received or in process</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Aug 2026</w:t>
            </w:r>
          </w:p>
        </w:tc>
        <w:tc>
          <w:tcPr>
            <w:tcW w:type="dxa" w:w="1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Executive Director</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8</w:t>
            </w:r>
          </w:p>
        </w:tc>
        <w:tc>
          <w:tcPr>
            <w:tcW w:type="dxa" w:w="4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Training Curriculum and Certification Framework</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Framework Master Document; MoH curriculum review initiated</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Sep 2026</w:t>
            </w:r>
          </w:p>
        </w:tc>
        <w:tc>
          <w:tcPr>
            <w:tcW w:type="dxa" w:w="1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Programme Director</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9</w:t>
            </w:r>
          </w:p>
        </w:tc>
        <w:tc>
          <w:tcPr>
            <w:tcW w:type="dxa" w:w="4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Government CHW Digital Platform Configuration Guide — Kenema</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DHMT MoU signed; MoH HMIS team engaged; IDHS tool design complete</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Sep 2026</w:t>
            </w:r>
          </w:p>
        </w:tc>
        <w:tc>
          <w:tcPr>
            <w:tcW w:type="dxa" w:w="1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Digital Systems Manager</w:t>
            </w:r>
          </w:p>
        </w:tc>
      </w:tr>
      <w:tr>
        <w:trPr>
          <w:tblHeader w:val="false"/>
        </w:trPr>
        <w:tc>
          <w:tcPr>
            <w:tcW w:type="dxa" w:w="6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10</w:t>
            </w:r>
          </w:p>
        </w:tc>
        <w:tc>
          <w:tcPr>
            <w:tcW w:type="dxa" w:w="4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Kenema District Equity Baseline Assessment Report</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All assessment instruments validated; MEL Manager in post</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Dec 2026</w:t>
            </w:r>
          </w:p>
        </w:tc>
        <w:tc>
          <w:tcPr>
            <w:tcW w:type="dxa" w:w="1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MEL Manager</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28  </w:t>
      </w:r>
      <w:r>
        <w:rPr>
          <w:rFonts w:ascii="Georgia" w:cs="Georgia" w:eastAsia="Georgia" w:hAnsi="Georgia"/>
          <w:b/>
          <w:bCs/>
          <w:color w:val="FFFFFF"/>
          <w:sz w:val="34"/>
          <w:szCs w:val="34"/>
        </w:rPr>
        <w:t xml:space="preserve">FIVE-YEAR IMPLEMENTATION ROADMAP</w:t>
      </w:r>
    </w:p>
    <w:p>
      <w:pPr>
        <w:pBdr>
          <w:bottom w:val="single" w:color="B55334"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800"/>
        <w:gridCol w:w="2160"/>
      </w:tblGrid>
      <w:tr>
        <w:trPr>
          <w:tblHeader/>
        </w:trPr>
        <w:tc>
          <w:tcPr>
            <w:tcW w:type="dxa" w:w="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Year</w:t>
            </w:r>
          </w:p>
        </w:tc>
        <w:tc>
          <w:tcPr>
            <w:tcW w:type="dxa" w:w="36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Key Programme Milestones</w:t>
            </w:r>
          </w:p>
        </w:tc>
        <w:tc>
          <w:tcPr>
            <w:tcW w:type="dxa" w:w="2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Key IDHS Milestones</w:t>
            </w:r>
          </w:p>
        </w:tc>
        <w:tc>
          <w:tcPr>
            <w:tcW w:type="dxa" w:w="21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Key Sustainability Milestones</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2026</w:t>
            </w:r>
          </w:p>
        </w:tc>
        <w:tc>
          <w:tcPr>
            <w:tcW w:type="dxa" w:w="3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Kenema pilot chieftaincies established; TRIAD Governance Protocols signed; ProcCHW Supervisors trained; CEIN activation guide completed; first ProcCHW cohort training begins Q4</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DHIS2 platform fully configured; IDHS Readiness Assessment completed; AI clinical decision support designed and validated in simulation</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MoH recognition secured; UNICEF-MCF implementing partner application submitted; 6-month operational reserve fund established; first MoH cost-effectiveness brief produced</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2027</w:t>
            </w:r>
          </w:p>
        </w:tc>
        <w:tc>
          <w:tcPr>
            <w:tcW w:type="dxa" w:w="3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250 ProcCHWs deployed in Kenema; first PBI payment cycle completed; first CQI assessment conducted (target &gt;40); scale to 3 additional pilot districts begins Q3; national ProcCHW conference convened</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Phase 1 IDHS Activation: iCCM decision support; PBI anomaly detection; basic stockout alerts; TACGS community feedback AI. First AI Learning Brief published Q1.</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Pilot district ProcCHW budget lines in DHMT plans; Chieftaincy Track advocacy launched; first Parliamentary Health Committee engagement</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2028</w:t>
            </w:r>
          </w:p>
        </w:tc>
        <w:tc>
          <w:tcPr>
            <w:tcW w:type="dxa" w:w="3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2,800 ProcCHWs deployed; 4 districts active; CQI target &gt;60 in Kenema; Mid-Term Evaluation commissioned; scale to 10 districts initiated</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Phase 2 IDHS Integration: 21-day demand forecasting; outbreak detection; zero-dose prediction; personalised supervision agendas; MUAC trajectory analysis. Government technical staff begin IDHS training.</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National budget allocation for ProcCHW stipends; domestic financing at 35%; iREACHE transitions to TA role in Kenema for select functions; first TA revenue from Centre</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2029</w:t>
            </w:r>
          </w:p>
        </w:tc>
        <w:tc>
          <w:tcPr>
            <w:tcW w:type="dxa" w:w="3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5,000 ProcCHWs deployed; 12 districts active; CQI target &gt;65 all active districts; strategic partnership revenues significant</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Phase 3 IDHS Scale: MUAC full deployment; financing simulation for Parliament; Krio NLP operational. Government technical staff independently monitoring IDHS tools.</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Domestic financing at 50%; co-financing parity; iREACHE TA role in earliest districts; Centre training revenue contributing 15% of operating costs</w:t>
            </w:r>
          </w:p>
        </w:tc>
      </w:tr>
      <w:tr>
        <w:trPr>
          <w:tblHeader w:val="false"/>
        </w:trPr>
        <w:tc>
          <w:tcPr>
            <w:tcW w:type="dxa" w:w="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2030–31</w:t>
            </w:r>
          </w:p>
        </w:tc>
        <w:tc>
          <w:tcPr>
            <w:tcW w:type="dxa" w:w="3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6,800 ProcCHWs deployed all 16 districts; CQI target &gt;75; final evaluation confirms 30% presence reduction test passed; West Africa Learning Exchange convened 2+ years</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Full IDHS government ownership transfer; all AI tools operating under government management; final AI Learning Brief documenting complete IDHS integration experience published open-access</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Domestic financing at 70–80%; MoH leads all programme operations; iREACHE LASTMILE is Sierra Leone's national community health knowledge institution; Centre at Stage 2 institutional formation</w:t>
            </w:r>
          </w:p>
        </w:tc>
      </w:tr>
    </w:tbl>
    <w:p>
      <w:r>
        <w:br w:type="page"/>
      </w:r>
    </w:p>
    <w:p>
      <w:r>
        <w:br w:type="page"/>
      </w:r>
    </w:p>
    <w:p>
      <w:pPr>
        <w:spacing w:after="80" w:before="1200"/>
        <w:jc w:val="left"/>
      </w:pPr>
      <w:r>
        <w:rPr>
          <w:rFonts w:ascii="Georgia" w:cs="Georgia" w:eastAsia="Georgia" w:hAnsi="Georgia"/>
          <w:b/>
          <w:bCs/>
          <w:color w:val="2D6A4F"/>
          <w:sz w:val="48"/>
          <w:szCs w:val="48"/>
        </w:rPr>
        <w:t xml:space="preserve">PART IX</w:t>
      </w:r>
    </w:p>
    <w:p>
      <w:pPr>
        <w:pBdr>
          <w:bottom w:val="single" w:color="B55334" w:sz="12"/>
        </w:pBdr>
        <w:spacing w:after="80" w:before="0"/>
        <w:jc w:val="left"/>
      </w:pPr>
      <w:r>
        <w:rPr>
          <w:rFonts w:ascii="Georgia" w:cs="Georgia" w:eastAsia="Georgia" w:hAnsi="Georgia"/>
          <w:b/>
          <w:bCs/>
          <w:color w:val="1A4731"/>
          <w:sz w:val="52"/>
          <w:szCs w:val="52"/>
        </w:rPr>
        <w:t xml:space="preserve">LEARNING ORGANISATION AND SUSTAINABILITY</w:t>
      </w:r>
    </w:p>
    <w:p>
      <w:pPr>
        <w:spacing w:after="0" w:before="60"/>
      </w:pPr>
      <w:r>
        <w:rPr>
          <w:rFonts w:ascii="Georgia" w:cs="Georgia" w:eastAsia="Georgia" w:hAnsi="Georgia"/>
          <w:i/>
          <w:iCs/>
          <w:color w:val="5C5C5C"/>
          <w:sz w:val="22"/>
          <w:szCs w:val="22"/>
        </w:rPr>
        <w:t xml:space="preserve">iREACHE LASTMILE as a producer of knowledge and a self-sustaining national institution — not a programme that depends on donors to continue</w:t>
      </w:r>
    </w:p>
    <w:p>
      <w:r>
        <w:br w:type="page"/>
      </w:r>
    </w:p>
    <w:p>
      <w:pPr>
        <w:pStyle w:val="Heading1"/>
        <w:shd w:fill="1A4731" w:val="clear"/>
        <w:spacing w:after="0" w:before="400"/>
      </w:pPr>
      <w:r>
        <w:rPr>
          <w:rFonts w:ascii="Georgia" w:cs="Georgia" w:eastAsia="Georgia" w:hAnsi="Georgia"/>
          <w:b/>
          <w:bCs/>
          <w:color w:val="7BC99A"/>
          <w:sz w:val="18"/>
          <w:szCs w:val="18"/>
        </w:rPr>
        <w:t xml:space="preserve">29  </w:t>
      </w:r>
      <w:r>
        <w:rPr>
          <w:rFonts w:ascii="Georgia" w:cs="Georgia" w:eastAsia="Georgia" w:hAnsi="Georgia"/>
          <w:b/>
          <w:bCs/>
          <w:color w:val="FFFFFF"/>
          <w:sz w:val="34"/>
          <w:szCs w:val="34"/>
        </w:rPr>
        <w:t xml:space="preserve">iREACHE LASTMILE AS A LEARNING ORGANISATION</w:t>
      </w:r>
    </w:p>
    <w:p>
      <w:pPr>
        <w:pBdr>
          <w:bottom w:val="single" w:color="B55334" w:sz="8"/>
        </w:pBdr>
        <w:spacing w:after="200" w:before="0"/>
      </w:pPr>
      <w:r>
        <w:rPr>
          <w:sz w:val="2"/>
          <w:szCs w:val="2"/>
        </w:rPr>
        <w:t xml:space="preserve"/>
      </w:r>
    </w:p>
    <w:p>
      <w:pPr>
        <w:spacing w:after="140" w:before="0"/>
        <w:jc w:val="both"/>
      </w:pPr>
      <w:r>
        <w:rPr>
          <w:rFonts w:ascii="Georgia" w:cs="Georgia" w:eastAsia="Georgia" w:hAnsi="Georgia"/>
          <w:b w:val="false"/>
          <w:bCs w:val="false"/>
          <w:i w:val="false"/>
          <w:iCs w:val="false"/>
          <w:color w:val="252525"/>
          <w:sz w:val="24"/>
          <w:szCs w:val="24"/>
        </w:rPr>
        <w:t xml:space="preserve">The learning organisation principle — applied consistently in global health by Living Goods, VillageReach, and Muso — requires that programme delivery and knowledge generation are not separated into different institutional functions. iREACHE LASTMILE's learning architecture makes every programme activity a potential evidence source and every evidence finding a potential programme adaptation.</w:t>
      </w:r>
    </w:p>
    <w:p>
      <w:pPr>
        <w:pStyle w:val="Heading2"/>
        <w:pBdr>
          <w:bottom w:val="single" w:color="EAF3EE" w:sz="4"/>
        </w:pBdr>
        <w:spacing w:after="100" w:before="280"/>
      </w:pPr>
      <w:r>
        <w:rPr>
          <w:rFonts w:ascii="Georgia" w:cs="Georgia" w:eastAsia="Georgia" w:hAnsi="Georgia"/>
          <w:b/>
          <w:bCs/>
          <w:color w:val="1A4731"/>
          <w:sz w:val="28"/>
          <w:szCs w:val="28"/>
        </w:rPr>
        <w:t xml:space="preserve">29.1  Three Learning Loops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000"/>
        <w:gridCol w:w="2400"/>
        <w:gridCol w:w="1960"/>
      </w:tblGrid>
      <w:tr>
        <w:trPr>
          <w:tblHeader/>
        </w:trPr>
        <w:tc>
          <w:tcPr>
            <w:tcW w:type="dxa" w:w="1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Loop</w:t>
            </w:r>
          </w:p>
        </w:tc>
        <w:tc>
          <w:tcPr>
            <w:tcW w:type="dxa" w:w="2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Question It Addresses</w:t>
            </w:r>
          </w:p>
        </w:tc>
        <w:tc>
          <w:tcPr>
            <w:tcW w:type="dxa" w:w="10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Timescale</w:t>
            </w:r>
          </w:p>
        </w:tc>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Primary Mechanism</w:t>
            </w:r>
          </w:p>
        </w:tc>
        <w:tc>
          <w:tcPr>
            <w:tcW w:type="dxa" w:w="19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Support</w:t>
            </w:r>
          </w:p>
        </w:tc>
      </w:tr>
      <w:tr>
        <w:trPr>
          <w:tblHeader w:val="false"/>
        </w:trPr>
        <w:tc>
          <w:tcPr>
            <w:tcW w:type="dxa" w:w="1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First: Operational</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What is happening right now and what should we adjust immediately?</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Weekly / Monthly</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Connected Health Workforce supervision data; CISS dashboard alerts; LSCCS stockout patterns; PCHDS visit coverage</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real-time monitoring provides continuous intelligence that weekly human review cannot match in speed or breadth</w:t>
            </w:r>
          </w:p>
        </w:tc>
      </w:tr>
      <w:tr>
        <w:trPr>
          <w:tblHeader w:val="false"/>
        </w:trPr>
        <w:tc>
          <w:tcPr>
            <w:tcW w:type="dxa" w:w="1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Second: Implementation</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Is our programme design producing the predicted results and why or why not?</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 / Annual</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CQI quarterly assessment; Crosswalk divergence alerts; quarterly Learning Briefs; implementation research against pre-registered questions</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performance review — are AI tools producing the clinical and operational improvements predicted? AI Learning Brief documents IDHS-specific learning</w:t>
            </w:r>
          </w:p>
        </w:tc>
      </w:tr>
      <w:tr>
        <w:trPr>
          <w:tblHeader w:val="false"/>
        </w:trPr>
        <w:tc>
          <w:tcPr>
            <w:tcW w:type="dxa" w:w="1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Third: Strategic</w:t>
            </w:r>
          </w:p>
        </w:tc>
        <w:tc>
          <w:tcPr>
            <w:tcW w:type="dxa" w:w="2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Are the REACH 360° Framework's foundational assumptions correct — is the three-systems connection theory explaining variation in health outcomes?</w:t>
            </w:r>
          </w:p>
        </w:tc>
        <w:tc>
          <w:tcPr>
            <w:tcW w:type="dxa" w:w="10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Mid-term / Final</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Pre-registered implementation research; mid-term and final evaluation; peer-reviewed publications; Board strategic review</w:t>
            </w:r>
          </w:p>
        </w:tc>
        <w:tc>
          <w:tcPr>
            <w:tcW w:type="dxa" w:w="1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provides evidence for strategic questions — does AI clinical decision support improve health outcomes independently of supervision quality improvements?</w:t>
            </w:r>
          </w:p>
        </w:tc>
      </w:tr>
    </w:tbl>
    <w:p>
      <w:pPr>
        <w:pStyle w:val="Heading2"/>
        <w:pBdr>
          <w:bottom w:val="single" w:color="EAF3EE" w:sz="4"/>
        </w:pBdr>
        <w:spacing w:after="100" w:before="280"/>
      </w:pPr>
      <w:r>
        <w:rPr>
          <w:rFonts w:ascii="Georgia" w:cs="Georgia" w:eastAsia="Georgia" w:hAnsi="Georgia"/>
          <w:b/>
          <w:bCs/>
          <w:color w:val="1A4731"/>
          <w:sz w:val="28"/>
          <w:szCs w:val="28"/>
        </w:rPr>
        <w:t xml:space="preserve">29.2  Nine Knowledge Products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800"/>
        <w:gridCol w:w="800"/>
        <w:gridCol w:w="1360"/>
      </w:tblGrid>
      <w:tr>
        <w:trPr>
          <w:tblHeader/>
        </w:trPr>
        <w:tc>
          <w:tcPr>
            <w:tcW w:type="dxa" w:w="1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Product</w:t>
            </w:r>
          </w:p>
        </w:tc>
        <w:tc>
          <w:tcPr>
            <w:tcW w:type="dxa" w:w="3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Description</w:t>
            </w:r>
          </w:p>
        </w:tc>
        <w:tc>
          <w:tcPr>
            <w:tcW w:type="dxa" w:w="1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Audience</w:t>
            </w:r>
          </w:p>
        </w:tc>
        <w:tc>
          <w:tcPr>
            <w:tcW w:type="dxa" w:w="8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Frequency</w:t>
            </w:r>
          </w:p>
        </w:tc>
        <w:tc>
          <w:tcPr>
            <w:tcW w:type="dxa" w:w="13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Channel</w:t>
            </w:r>
          </w:p>
        </w:tc>
      </w:tr>
      <w:tr>
        <w:trPr>
          <w:tblHeader w:val="false"/>
        </w:trPr>
        <w:tc>
          <w:tcPr>
            <w:tcW w:type="dxa" w:w="1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Operational Research Reports</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Fast-turnaround evidence from programme data answering specific operational questions. No separate data collection required.</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management; DHMTs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Internal; shared with DHMTs; website</w:t>
            </w:r>
          </w:p>
        </w:tc>
      </w:tr>
      <w:tr>
        <w:trPr>
          <w:tblHeader w:val="false"/>
        </w:trPr>
        <w:tc>
          <w:tcPr>
            <w:tcW w:type="dxa" w:w="1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Implementation Research Studies</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Rigorous quasi-experimental and mixed-methods studies addressing five pre-registered questions about REACH 360° impact mechanisms.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Academic community; global health</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Peer-reviewed journals; pre-print</w:t>
            </w:r>
          </w:p>
        </w:tc>
      </w:tr>
      <w:tr>
        <w:trPr>
          <w:tblHeader w:val="false"/>
        </w:trPr>
        <w:tc>
          <w:tcPr>
            <w:tcW w:type="dxa" w:w="1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Cost-Effectiveness Studies</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Full economic evaluation comparing cost per life-year saved, per ProcCHW deployed, per iCCM case treated against INGO benchmarks. Full study at Year 3 and Year 5.</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Donors; MoH; Parliament</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 update</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Policy brief; peer-review; donor reporting</w:t>
            </w:r>
          </w:p>
        </w:tc>
      </w:tr>
      <w:tr>
        <w:trPr>
          <w:tblHeader w:val="false"/>
        </w:trPr>
        <w:tc>
          <w:tcPr>
            <w:tcW w:type="dxa" w:w="1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Case Studies</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Honest documentation of programme successes and failures revealing mechanisms — what worked, what did not, what would be done differently. Four per year. No unpublished failures.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Practitioners; peer organisations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Open-access; CHIC platform</w:t>
            </w:r>
          </w:p>
        </w:tc>
      </w:tr>
      <w:tr>
        <w:trPr>
          <w:tblHeader w:val="false"/>
        </w:trPr>
        <w:tc>
          <w:tcPr>
            <w:tcW w:type="dxa" w:w="1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Learning Briefs</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2–4 page practitioner-facing synthesis of a specific programme finding — driven by Crosswalk divergence alerts and CQI findings. More rigorous than newsletters, faster than journals.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health practitioners; DHMT staff</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Open-access; PHCPI; WHO</w:t>
            </w:r>
          </w:p>
        </w:tc>
      </w:tr>
      <w:tr>
        <w:trPr>
          <w:tblHeader w:val="false"/>
        </w:trPr>
        <w:tc>
          <w:tcPr>
            <w:tcW w:type="dxa" w:w="1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Policy Briefs</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Targeted evidence synthesis for government decision-makers tied to specific policy decisions. Driven by SHFS domestic financing advocacy agenda and TACGS accountability findings.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MoH; Parliament; District Councils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Bi-annual</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Direct submission; website</w:t>
            </w:r>
          </w:p>
        </w:tc>
      </w:tr>
      <w:tr>
        <w:trPr>
          <w:tblHeader w:val="false"/>
        </w:trPr>
        <w:tc>
          <w:tcPr>
            <w:tcW w:type="dxa" w:w="1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Peer-Reviewed Publications</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Academic submissions co-authored with Sierra Leonean academic partners. Target: 5 over programme cycle. Published regardless of whether results confirm or challenge REACH 360° hypotheses.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Global health academic community</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Annual cycle</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Lancet Global Health; Health Policy and Planning; PLOS Medicine; BMC</w:t>
            </w:r>
          </w:p>
        </w:tc>
      </w:tr>
      <w:tr>
        <w:trPr>
          <w:tblHeader w:val="false"/>
        </w:trPr>
        <w:tc>
          <w:tcPr>
            <w:tcW w:type="dxa" w:w="18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Technical Guidance Notes</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Practical guidance for practitioners replicating REACH 360° approaches — written for West African community health organisations. Open-source. 2 per year from Year 2.</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West African CHW programmes; national NGOs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2/year</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Open-access; WHO AFRO</w:t>
            </w:r>
          </w:p>
        </w:tc>
      </w:tr>
      <w:tr>
        <w:trPr>
          <w:tblHeader w:val="false"/>
        </w:trPr>
        <w:tc>
          <w:tcPr>
            <w:tcW w:type="dxa" w:w="1800"/>
            <w:gridSpan w:val="1"/>
            <w:tcBorders>
              <w:top w:val="single" w:color="CECECE" w:sz="4"/>
              <w:left w:val="single" w:color="CECECE" w:sz="4"/>
              <w:bottom w:val="single" w:color="CECECE" w:sz="4"/>
              <w:right w:val="single" w:color="CECECE" w:sz="4"/>
            </w:tcBorders>
            <w:shd w:fill="EBF0F7"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C4A6E"/>
                <w:sz w:val="20"/>
                <w:szCs w:val="20"/>
              </w:rPr>
              <w:t xml:space="preserve">IDHS AI Learning Brief</w:t>
            </w:r>
          </w:p>
        </w:tc>
        <w:tc>
          <w:tcPr>
            <w:tcW w:type="dxa" w:w="3800"/>
            <w:gridSpan w:val="1"/>
            <w:tcBorders>
              <w:top w:val="single" w:color="CECECE" w:sz="4"/>
              <w:left w:val="single" w:color="CECECE" w:sz="4"/>
              <w:bottom w:val="single" w:color="CECECE" w:sz="4"/>
              <w:right w:val="single" w:color="CECECE" w:sz="4"/>
            </w:tcBorders>
            <w:shd w:fill="EBF0F7"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NEW: Quarterly report on IDHS performance, model updates, TRIAD AI Test results, community contestation events, and equity audit findings. Global contribution to responsible AI in community health knowledge base.</w:t>
            </w:r>
          </w:p>
        </w:tc>
        <w:tc>
          <w:tcPr>
            <w:tcW w:type="dxa" w:w="1800"/>
            <w:gridSpan w:val="1"/>
            <w:tcBorders>
              <w:top w:val="single" w:color="CECECE" w:sz="4"/>
              <w:left w:val="single" w:color="CECECE" w:sz="4"/>
              <w:bottom w:val="single" w:color="CECECE" w:sz="4"/>
              <w:right w:val="single" w:color="CECECE" w:sz="4"/>
            </w:tcBorders>
            <w:shd w:fill="EBF0F7"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WHO; global health AI community; iREACHE Board</w:t>
            </w:r>
          </w:p>
        </w:tc>
        <w:tc>
          <w:tcPr>
            <w:tcW w:type="dxa" w:w="800"/>
            <w:gridSpan w:val="1"/>
            <w:tcBorders>
              <w:top w:val="single" w:color="CECECE" w:sz="4"/>
              <w:left w:val="single" w:color="CECECE" w:sz="4"/>
              <w:bottom w:val="single" w:color="CECECE" w:sz="4"/>
              <w:right w:val="single" w:color="CECECE" w:sz="4"/>
            </w:tcBorders>
            <w:shd w:fill="EBF0F7"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Quarterly</w:t>
            </w:r>
          </w:p>
        </w:tc>
        <w:tc>
          <w:tcPr>
            <w:tcW w:type="dxa" w:w="1360"/>
            <w:gridSpan w:val="1"/>
            <w:tcBorders>
              <w:top w:val="single" w:color="CECECE" w:sz="4"/>
              <w:left w:val="single" w:color="CECECE" w:sz="4"/>
              <w:bottom w:val="single" w:color="CECECE" w:sz="4"/>
              <w:right w:val="single" w:color="CECECE" w:sz="4"/>
            </w:tcBorders>
            <w:shd w:fill="EBF0F7"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Open-access; WHO Digital Health; global health AI platforms</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30  </w:t>
      </w:r>
      <w:r>
        <w:rPr>
          <w:rFonts w:ascii="Georgia" w:cs="Georgia" w:eastAsia="Georgia" w:hAnsi="Georgia"/>
          <w:b/>
          <w:bCs/>
          <w:color w:val="FFFFFF"/>
          <w:sz w:val="34"/>
          <w:szCs w:val="34"/>
        </w:rPr>
        <w:t xml:space="preserve">SUSTAINABILITY AND DOMESTIC FINANCING ROADMAP</w:t>
      </w:r>
    </w:p>
    <w:p>
      <w:pPr>
        <w:pBdr>
          <w:bottom w:val="single" w:color="B55334" w:sz="8"/>
        </w:pBdr>
        <w:spacing w:after="200" w:before="0"/>
      </w:pPr>
      <w:r>
        <w:rPr>
          <w:sz w:val="2"/>
          <w:szCs w:val="2"/>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30.1  The Sustainability Architecture</w:t>
      </w:r>
    </w:p>
    <w:p>
      <w:pPr>
        <w:spacing w:after="140" w:before="0"/>
        <w:jc w:val="both"/>
      </w:pPr>
      <w:r>
        <w:rPr>
          <w:rFonts w:ascii="Georgia" w:cs="Georgia" w:eastAsia="Georgia" w:hAnsi="Georgia"/>
          <w:b w:val="false"/>
          <w:bCs w:val="false"/>
          <w:i w:val="false"/>
          <w:iCs w:val="false"/>
          <w:color w:val="252525"/>
          <w:sz w:val="24"/>
          <w:szCs w:val="24"/>
        </w:rPr>
        <w:t xml:space="preserve">iREACHE LASTMILE's sustainability strategy is built on three simultaneous foundations: domestic government financing replacing donor dependency, non-donor revenue from technical assistance and training services replacing grant dependency, and community and traditional authority governance replacing NGO programme management. By 2031, the REACH 360° Framework should be self-sustaining across all three dimensions — not dependent on any single funder, not dependent on any single revenue stream, and not dependent on iREACHE LASTMILE's continued operational involvement in communities where governance has been fully transferred to the three-authority structure.</w:t>
      </w:r>
    </w:p>
    <w:p>
      <w:pPr>
        <w:pStyle w:val="Heading2"/>
        <w:pBdr>
          <w:bottom w:val="single" w:color="EAF3EE" w:sz="4"/>
        </w:pBdr>
        <w:spacing w:after="100" w:before="280"/>
      </w:pPr>
      <w:r>
        <w:rPr>
          <w:rFonts w:ascii="Georgia" w:cs="Georgia" w:eastAsia="Georgia" w:hAnsi="Georgia"/>
          <w:b/>
          <w:bCs/>
          <w:color w:val="1A4731"/>
          <w:sz w:val="28"/>
          <w:szCs w:val="28"/>
        </w:rPr>
        <w:t xml:space="preserve">30.2  Non-Donor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200"/>
        <w:gridCol w:w="2160"/>
      </w:tblGrid>
      <w:tr>
        <w:trPr>
          <w:tblHeader/>
        </w:trPr>
        <w:tc>
          <w:tcPr>
            <w:tcW w:type="dxa" w:w="2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Revenue Stream</w:t>
            </w:r>
          </w:p>
        </w:tc>
        <w:tc>
          <w:tcPr>
            <w:tcW w:type="dxa" w:w="3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Description</w:t>
            </w:r>
          </w:p>
        </w:tc>
        <w:tc>
          <w:tcPr>
            <w:tcW w:type="dxa" w:w="12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Activation Year</w:t>
            </w:r>
          </w:p>
        </w:tc>
        <w:tc>
          <w:tcPr>
            <w:tcW w:type="dxa" w:w="21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Year 5 Revenue Estimate</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Technical Assistance</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REACH 360° Framework adaptation; TACGS governance design; LSCCS supply chain integration; CISS DHIS2 configuration; ProcCHW supervision design; IDHS responsible integration guidance. Fee-for-service to other national NGOs, DHMTs, and international partners.</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Year 2</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USD 60,000–120,000/year</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Training and Certification</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ProcCHW Initial Certification for other organisations; ProcCHW Supervisor Induction; Community Health Leadership for DHMTs and TA leaders; IDHS Responsible AI for Community Health. MoH-accredited; West Africa regional delivery from Year 4.</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Year 2</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USD 150,000–300,000/year</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Centre Facility Revenue</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Conference and workshop room hire in Kenema (scarce quality meeting space in Eastern Province); residential training accommodation; annual West Africa Learning Exchange registration fees and sponsorship.</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Year 2</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USD 80,000–120,000/year</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Data Analytics Services</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District-level community health equity reports for DHMTs, donors, and NGOs operating in programme districts; community health market assessments for private sector health actors; research data partnership fees with academic institutions.</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Year 3</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USD 50,000–100,000/year</w:t>
            </w:r>
          </w:p>
        </w:tc>
      </w:tr>
      <w:tr>
        <w:trPr>
          <w:tblHeader w:val="false"/>
        </w:trPr>
        <w:tc>
          <w:tcPr>
            <w:tcW w:type="dxa" w:w="22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IDHS Tool Licensing</w:t>
            </w:r>
          </w:p>
        </w:tc>
        <w:tc>
          <w:tcPr>
            <w:tcW w:type="dxa" w:w="3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Open-source DHIS2 configuration packages and training protocols for AI clinical decision support; CEIN surveillance module; PBI integrity system. Licensed to other national CHW programmes in West Africa. Support contracts for government adoption.</w:t>
            </w:r>
          </w:p>
        </w:tc>
        <w:tc>
          <w:tcPr>
            <w:tcW w:type="dxa" w:w="12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Year 4</w:t>
            </w:r>
          </w:p>
        </w:tc>
        <w:tc>
          <w:tcPr>
            <w:tcW w:type="dxa" w:w="21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USD 40,000–80,000/year</w:t>
            </w:r>
          </w:p>
        </w:tc>
      </w:tr>
    </w:tbl>
    <w:p>
      <w:pPr>
        <w:spacing w:after="0" w:before="0"/>
      </w:pPr>
      <w:r>
        <w:rPr>
          <w:rFonts w:ascii="Georgia" w:cs="Georgia" w:eastAsia="Georgia" w:hAnsi="Georgi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SUSTAINABILITY TARGET BY 2031</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Domestic government financing: 70–80% of programme operating costs</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Non-donor organisational revenue (TA, training, Centre, analytics): 15–20% of operating costs</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Residual donor grant dependency: &lt;15% of total operating costs</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and traditional authority governance: independently governing health priorities in all programme districts without iREACHE LASTMILE facilitation</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IDHS tool operation: all AI tools under government ownership and operation without iREACHE technical intermediation</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REACH 360° Framework: adopted as Sierra Leone's national community health systems strengthening architecture by MoH</w:t>
            </w:r>
          </w:p>
        </w:tc>
      </w:tr>
      <w:tr>
        <w:trPr>
          <w:tblHeader w:val="false"/>
        </w:trPr>
        <w:tc>
          <w:tcPr>
            <w:tcW w:type="dxa" w:w="936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LASTMILE's identity by 2031: Sierra Leone's national community health knowledge institution — not a programme implementer</w:t>
            </w:r>
          </w:p>
        </w:tc>
      </w:tr>
    </w:tbl>
    <w:p>
      <w:pPr>
        <w:spacing w:after="0" w:before="0"/>
      </w:pPr>
      <w:r>
        <w:rPr>
          <w:rFonts w:ascii="Georgia" w:cs="Georgia" w:eastAsia="Georgia" w:hAnsi="Georgia"/>
          <w:sz w:val="10"/>
          <w:szCs w:val="10"/>
        </w:rPr>
        <w:t xml:space="preserve"/>
      </w:r>
    </w:p>
    <w:p>
      <w:r>
        <w:br w:type="page"/>
      </w:r>
    </w:p>
    <w:p>
      <w:r>
        <w:br w:type="page"/>
      </w:r>
    </w:p>
    <w:p>
      <w:pPr>
        <w:spacing w:after="80" w:before="1200"/>
        <w:jc w:val="left"/>
      </w:pPr>
      <w:r>
        <w:rPr>
          <w:rFonts w:ascii="Georgia" w:cs="Georgia" w:eastAsia="Georgia" w:hAnsi="Georgia"/>
          <w:b/>
          <w:bCs/>
          <w:color w:val="2D6A4F"/>
          <w:sz w:val="48"/>
          <w:szCs w:val="48"/>
        </w:rPr>
        <w:t xml:space="preserve">PART X</w:t>
      </w:r>
    </w:p>
    <w:p>
      <w:pPr>
        <w:pBdr>
          <w:bottom w:val="single" w:color="B55334" w:sz="12"/>
        </w:pBdr>
        <w:spacing w:after="80" w:before="0"/>
        <w:jc w:val="left"/>
      </w:pPr>
      <w:r>
        <w:rPr>
          <w:rFonts w:ascii="Georgia" w:cs="Georgia" w:eastAsia="Georgia" w:hAnsi="Georgia"/>
          <w:b/>
          <w:bCs/>
          <w:color w:val="1A4731"/>
          <w:sz w:val="52"/>
          <w:szCs w:val="52"/>
        </w:rPr>
        <w:t xml:space="preserve">ANNEXES</w:t>
      </w:r>
    </w:p>
    <w:p>
      <w:pPr>
        <w:spacing w:after="0" w:before="60"/>
      </w:pPr>
      <w:r>
        <w:rPr>
          <w:rFonts w:ascii="Georgia" w:cs="Georgia" w:eastAsia="Georgia" w:hAnsi="Georgia"/>
          <w:i/>
          <w:iCs/>
          <w:color w:val="5C5C5C"/>
          <w:sz w:val="22"/>
          <w:szCs w:val="22"/>
        </w:rPr>
        <w:t xml:space="preserve">Comprehensive glossary, selected references, framework at a glance, BRIDGE 360° LASTMILE CARE summary, and IDHS responsible commitments</w:t>
      </w:r>
    </w:p>
    <w:p>
      <w:r>
        <w:br w:type="page"/>
      </w:r>
    </w:p>
    <w:p>
      <w:pPr>
        <w:pStyle w:val="Heading1"/>
        <w:shd w:fill="1A4731" w:val="clear"/>
        <w:spacing w:after="0" w:before="400"/>
      </w:pPr>
      <w:r>
        <w:rPr>
          <w:rFonts w:ascii="Georgia" w:cs="Georgia" w:eastAsia="Georgia" w:hAnsi="Georgia"/>
          <w:b/>
          <w:bCs/>
          <w:color w:val="7BC99A"/>
          <w:sz w:val="18"/>
          <w:szCs w:val="18"/>
        </w:rPr>
        <w:t xml:space="preserve">ANNEX A  </w:t>
      </w:r>
      <w:r>
        <w:rPr>
          <w:rFonts w:ascii="Georgia" w:cs="Georgia" w:eastAsia="Georgia" w:hAnsi="Georgia"/>
          <w:b/>
          <w:bCs/>
          <w:color w:val="FFFFFF"/>
          <w:sz w:val="34"/>
          <w:szCs w:val="34"/>
        </w:rPr>
        <w:t xml:space="preserve">COMPREHENSIVE GLOSSARY</w:t>
      </w:r>
    </w:p>
    <w:p>
      <w:pPr>
        <w:pBdr>
          <w:bottom w:val="single" w:color="B55334"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Term</w:t>
            </w:r>
          </w:p>
        </w:tc>
        <w:tc>
          <w:tcPr>
            <w:tcW w:type="dxa" w:w="6960"/>
            <w:gridSpan w:val="1"/>
            <w:tcBorders>
              <w:top w:val="single" w:color="CECECE" w:sz="4"/>
              <w:left w:val="single" w:color="CECECE" w:sz="4"/>
              <w:bottom w:val="single" w:color="CECECE" w:sz="4"/>
              <w:right w:val="single" w:color="CECECE" w:sz="4"/>
            </w:tcBorders>
            <w:shd w:fill="1A4731"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Definition</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Agricultural Calendar Alignment Protocol</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REACH 360° PCHDS operational protocol adjusting ProcCHW visit scheduling around district-specific Sierra Leone farming calendars with Community Health Committee co-development, ensuring peak agricultural seasons never become health access gaps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BRIDGE 360° LASTMILE CARE</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Building Resilient Integrated Delivery Gateways for Every community — iREACHE LASTMILE's care model delivered through five mechanisms: Proactive Doorstep Visits, Community Governance Access, Care Without Barriers, Connected Government Referral, and Care That Lasts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CEIN</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Epidemiological Intelligence Network — the post-Ebola community surveillance capabilities formalised as a standing health system component within the CISS pillar, governed by Community Health Committees and integrated into Sierra Leone's national IDSR architecture</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CISS</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Intelligence and Surveillance System — REACH 360° Pillar 2, addressing WHO Health Information Systems building block through three instruments: government CHW digital platform, CEIN, and district analytics dashboard</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Connection Quality Index (CQI)</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REACH 360° Framework's primary measurement instrument tracking three-systems connection quality across three dimensions: Traditional Authority Governance Integration, Government-Community Intelligence Flow, and Community Health System Navigation Capacity</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Connected Health Workforce</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REACH 360° Pillar 1, addressing WHO Health Workforce building block through the Three-Tier Connectivity Standard requiring simultaneous upward, lateral, and downward connections for every ProcCHW</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IDHS</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Intelligent Digital Health Systems Integration — the horizontal dimension of the REACH 360° Framework deploying AI-assisted digital tools within Sierra Leone's national government health information architecture across all seven pillars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LSCCS</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Last-Mile Supply Chain and Commodity Access — REACH 360° Pillar 3, addressing WHO Essential Medicines building block through Optimize-Integrate-Sustain sequencing, Traditional Authority Supply Stewardship, and Rainy Season Routing Protocol</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PCHDS</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Proactive Community Health Service Delivery — REACH 360° Pillar 6, addressing WHO Service Delivery building block through universal proactive monthly household coverage, integrated seven-area service package, and three Sierra Leone-original delivery innovations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ProcCHW</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Professional Connected Community Health Worker — iREACHE LASTMILE's frontline changemaker cadre; certified, compensated, IDHS-supported, triple-connected (upward, lateral, downward), government-integrated, community-governed, and career-pathed</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REACH 360° CHSSF</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REACH 360° Community Health Systems Strengthening Framework — iREACHE LASTMILE's original programme architecture for Sierra Leone, built on the Three-Systems Connection Theory, grounded in the Four Constitutional Foundations, and expressed through seven pillars mapping to WHO Health System Building Blocks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SHFS</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Sustainable Health Financing and Domestic Resource Mobilisation System — REACH 360° Pillar 4, addressing WHO Health Financing building block through three-party Shared Sovereignty Financing and five-year domestic transition roadmap</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Shared Sovereignty Financing</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SHFS original three-party domestic financing model adding traditional authority as a sovereign financing advocate alongside government and donors, operationalised through the Chieftaincy Track District Council advocacy mechanism</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TACGS</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Three-Authority Community Governance and Accountability — REACH 360° Pillar 5, addressing WHO Leadership and Governance building block through the TRIAD Governance Protocol giving traditional authority, government, and community self-governance defined co-equal decision-making domains</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Three-Systems Connection Theory</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REACH 360° Framework's core original theoretical contribution: Sierra Leone's community health crisis is a systems disconnection problem, not a CHW performance problem. ProcCHWs function as systems connectors between the Traditional Authority System, Government Health System, and Community Epidemiological System.</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TRIAD AI Test</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three-dimension IDHS governance test every AI tool must pass before deployment: Traditional Authority Intelligibility — can a chief understand and formally query it? Government Health Authority Ownership — does DHMT access it independently? Community Self-Governance Contestability — can CHCs challenge its outputs through TRIAD Protocol?</w:t>
            </w:r>
          </w:p>
        </w:tc>
      </w:tr>
      <w:tr>
        <w:trPr>
          <w:tblHeader w:val="false"/>
        </w:trPr>
        <w:tc>
          <w:tcPr>
            <w:tcW w:type="dxa" w:w="2400"/>
            <w:gridSpan w:val="1"/>
            <w:tcBorders>
              <w:top w:val="single" w:color="CECECE" w:sz="4"/>
              <w:left w:val="single" w:color="CECECE" w:sz="4"/>
              <w:bottom w:val="single" w:color="CECECE" w:sz="4"/>
              <w:right w:val="single" w:color="CECECE" w:sz="4"/>
            </w:tcBorders>
            <w:shd w:fill="EAF3EE"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TRIAD Governance Protocol</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The legally-referenced TACGS document signed by Paramount Chief, DHMT District Medical Officer, and iREACHE LASTMILE District Coordinator in every programme district, defining decision-making authority, process, timelines, and accountability for each governance decision category including IDHS tool contestation</w:t>
            </w:r>
          </w:p>
        </w:tc>
      </w:tr>
    </w:tbl>
    <w:p>
      <w:r>
        <w:br w:type="page"/>
      </w:r>
    </w:p>
    <w:p>
      <w:pPr>
        <w:pStyle w:val="Heading1"/>
        <w:shd w:fill="1A4731" w:val="clear"/>
        <w:spacing w:after="0" w:before="400"/>
      </w:pPr>
      <w:r>
        <w:rPr>
          <w:rFonts w:ascii="Georgia" w:cs="Georgia" w:eastAsia="Georgia" w:hAnsi="Georgia"/>
          <w:b/>
          <w:bCs/>
          <w:color w:val="7BC99A"/>
          <w:sz w:val="18"/>
          <w:szCs w:val="18"/>
        </w:rPr>
        <w:t xml:space="preserve">ANNEX B  </w:t>
      </w:r>
      <w:r>
        <w:rPr>
          <w:rFonts w:ascii="Georgia" w:cs="Georgia" w:eastAsia="Georgia" w:hAnsi="Georgia"/>
          <w:b/>
          <w:bCs/>
          <w:color w:val="FFFFFF"/>
          <w:sz w:val="34"/>
          <w:szCs w:val="34"/>
        </w:rPr>
        <w:t xml:space="preserve">SELECTED REFERENCES</w:t>
      </w:r>
    </w:p>
    <w:p>
      <w:pPr>
        <w:pBdr>
          <w:bottom w:val="single" w:color="B55334" w:sz="8"/>
        </w:pBdr>
        <w:spacing w:after="200" w:before="0"/>
      </w:pPr>
      <w:r>
        <w:rPr>
          <w:sz w:val="2"/>
          <w:szCs w:val="2"/>
        </w:rPr>
        <w:t xml:space="preserve"/>
      </w:r>
    </w:p>
    <w:p>
      <w:pPr>
        <w:pStyle w:val="Heading2"/>
        <w:pBdr>
          <w:bottom w:val="single" w:color="EAF3EE" w:sz="4"/>
        </w:pBdr>
        <w:spacing w:after="100" w:before="280"/>
      </w:pPr>
      <w:r>
        <w:rPr>
          <w:rFonts w:ascii="Georgia" w:cs="Georgia" w:eastAsia="Georgia" w:hAnsi="Georgia"/>
          <w:b/>
          <w:bCs/>
          <w:color w:val="1A4731"/>
          <w:sz w:val="28"/>
          <w:szCs w:val="28"/>
        </w:rPr>
        <w:t xml:space="preserve">AI, Digital Health, and Global Frameworks</w:t>
      </w:r>
    </w:p>
    <w:p>
      <w:pPr>
        <w:pStyle w:val="ListParagraph"/>
        <w:numPr>
          <w:ilvl w:val="0"/>
          <w:numId w:val="2"/>
        </w:numPr>
        <w:spacing w:after="60" w:before="0"/>
      </w:pPr>
      <w:r>
        <w:rPr>
          <w:rFonts w:ascii="Georgia" w:cs="Georgia" w:eastAsia="Georgia" w:hAnsi="Georgia"/>
          <w:color w:val="252525"/>
          <w:sz w:val="22"/>
          <w:szCs w:val="22"/>
        </w:rPr>
        <w:t xml:space="preserve">World Health Organization (2021). Ethics and Governance of Artificial Intelligence for Health: WHO Guidance. Geneva: WHO.</w:t>
      </w:r>
    </w:p>
    <w:p>
      <w:pPr>
        <w:pStyle w:val="ListParagraph"/>
        <w:numPr>
          <w:ilvl w:val="0"/>
          <w:numId w:val="2"/>
        </w:numPr>
        <w:spacing w:after="60" w:before="0"/>
      </w:pPr>
      <w:r>
        <w:rPr>
          <w:rFonts w:ascii="Georgia" w:cs="Georgia" w:eastAsia="Georgia" w:hAnsi="Georgia"/>
          <w:color w:val="252525"/>
          <w:sz w:val="22"/>
          <w:szCs w:val="22"/>
        </w:rPr>
        <w:t xml:space="preserve">World Health Organization (2024). Global Initiative on Digital Health. Geneva: WHO.</w:t>
      </w:r>
    </w:p>
    <w:p>
      <w:pPr>
        <w:pStyle w:val="ListParagraph"/>
        <w:numPr>
          <w:ilvl w:val="0"/>
          <w:numId w:val="2"/>
        </w:numPr>
        <w:spacing w:after="60" w:before="0"/>
      </w:pPr>
      <w:r>
        <w:rPr>
          <w:rFonts w:ascii="Georgia" w:cs="Georgia" w:eastAsia="Georgia" w:hAnsi="Georgia"/>
          <w:color w:val="252525"/>
          <w:sz w:val="22"/>
          <w:szCs w:val="22"/>
        </w:rPr>
        <w:t xml:space="preserve">World Health Organization (2007). Everybody's Business: Strengthening Health Systems to Improve Health Outcomes. Geneva: WHO.</w:t>
      </w:r>
    </w:p>
    <w:p>
      <w:pPr>
        <w:pStyle w:val="ListParagraph"/>
        <w:numPr>
          <w:ilvl w:val="0"/>
          <w:numId w:val="2"/>
        </w:numPr>
        <w:spacing w:after="60" w:before="0"/>
      </w:pPr>
      <w:r>
        <w:rPr>
          <w:rFonts w:ascii="Georgia" w:cs="Georgia" w:eastAsia="Georgia" w:hAnsi="Georgia"/>
          <w:color w:val="252525"/>
          <w:sz w:val="22"/>
          <w:szCs w:val="22"/>
        </w:rPr>
        <w:t xml:space="preserve">WHO and UNICEF (2018). Declaration of Astana — Global Conference on Primary Health Care. Astana, Kazakhstan.</w:t>
      </w:r>
    </w:p>
    <w:p>
      <w:pPr>
        <w:pStyle w:val="ListParagraph"/>
        <w:numPr>
          <w:ilvl w:val="0"/>
          <w:numId w:val="2"/>
        </w:numPr>
        <w:spacing w:after="60" w:before="0"/>
      </w:pPr>
      <w:r>
        <w:rPr>
          <w:rFonts w:ascii="Georgia" w:cs="Georgia" w:eastAsia="Georgia" w:hAnsi="Georgia"/>
          <w:color w:val="252525"/>
          <w:sz w:val="22"/>
          <w:szCs w:val="22"/>
        </w:rPr>
        <w:t xml:space="preserve">United Nations (2015). Transforming Our World: The 2030 Agenda for Sustainable Development. New York: United Nations.</w:t>
      </w:r>
    </w:p>
    <w:p>
      <w:pPr>
        <w:pStyle w:val="Heading2"/>
        <w:pBdr>
          <w:bottom w:val="single" w:color="EAF3EE" w:sz="4"/>
        </w:pBdr>
        <w:spacing w:after="100" w:before="280"/>
      </w:pPr>
      <w:r>
        <w:rPr>
          <w:rFonts w:ascii="Georgia" w:cs="Georgia" w:eastAsia="Georgia" w:hAnsi="Georgia"/>
          <w:b/>
          <w:bCs/>
          <w:color w:val="1A4731"/>
          <w:sz w:val="28"/>
          <w:szCs w:val="28"/>
        </w:rPr>
        <w:t xml:space="preserve">Community Health Organisation Evidence</w:t>
      </w:r>
    </w:p>
    <w:p>
      <w:pPr>
        <w:pStyle w:val="ListParagraph"/>
        <w:numPr>
          <w:ilvl w:val="0"/>
          <w:numId w:val="2"/>
        </w:numPr>
        <w:spacing w:after="60" w:before="0"/>
      </w:pPr>
      <w:r>
        <w:rPr>
          <w:rFonts w:ascii="Georgia" w:cs="Georgia" w:eastAsia="Georgia" w:hAnsi="Georgia"/>
          <w:color w:val="252525"/>
          <w:sz w:val="22"/>
          <w:szCs w:val="22"/>
        </w:rPr>
        <w:t xml:space="preserve">Björkman Nyqvist, M., et al. (2019). Reducing Child Mortality in the Last Mile: A Randomised Social Entrepreneurship Intervention in Uganda. Journal of Development Economics, 138, 1–19.</w:t>
      </w:r>
    </w:p>
    <w:p>
      <w:pPr>
        <w:pStyle w:val="ListParagraph"/>
        <w:numPr>
          <w:ilvl w:val="0"/>
          <w:numId w:val="2"/>
        </w:numPr>
        <w:spacing w:after="60" w:before="0"/>
      </w:pPr>
      <w:r>
        <w:rPr>
          <w:rFonts w:ascii="Georgia" w:cs="Georgia" w:eastAsia="Georgia" w:hAnsi="Georgia"/>
          <w:color w:val="252525"/>
          <w:sz w:val="22"/>
          <w:szCs w:val="22"/>
        </w:rPr>
        <w:t xml:space="preserve">VillageReach (2024). Liberia CHW Kitting System: National Integration into the Public Health Supply Chain Master Plan 2024. Seattle: VillageReach.</w:t>
      </w:r>
    </w:p>
    <w:p>
      <w:pPr>
        <w:pStyle w:val="ListParagraph"/>
        <w:numPr>
          <w:ilvl w:val="0"/>
          <w:numId w:val="2"/>
        </w:numPr>
        <w:spacing w:after="60" w:before="0"/>
      </w:pPr>
      <w:r>
        <w:rPr>
          <w:rFonts w:ascii="Georgia" w:cs="Georgia" w:eastAsia="Georgia" w:hAnsi="Georgia"/>
          <w:color w:val="252525"/>
          <w:sz w:val="22"/>
          <w:szCs w:val="22"/>
        </w:rPr>
        <w:t xml:space="preserve">VillageReach (2022). Optimize-Integrate-Sustain: VillageReach's Framework for Health Supply Chain Strengthening. Seattle: VillageReach.</w:t>
      </w:r>
    </w:p>
    <w:p>
      <w:pPr>
        <w:pStyle w:val="ListParagraph"/>
        <w:numPr>
          <w:ilvl w:val="0"/>
          <w:numId w:val="2"/>
        </w:numPr>
        <w:spacing w:after="60" w:before="0"/>
      </w:pPr>
      <w:r>
        <w:rPr>
          <w:rFonts w:ascii="Georgia" w:cs="Georgia" w:eastAsia="Georgia" w:hAnsi="Georgia"/>
          <w:color w:val="252525"/>
          <w:sz w:val="22"/>
          <w:szCs w:val="22"/>
        </w:rPr>
        <w:t xml:space="preserve">Muso (2021). Proactive Community Case Management: Restoring the Right to Health in Remote Communities. Bamako: Muso.</w:t>
      </w:r>
    </w:p>
    <w:p>
      <w:pPr>
        <w:pStyle w:val="ListParagraph"/>
        <w:numPr>
          <w:ilvl w:val="0"/>
          <w:numId w:val="2"/>
        </w:numPr>
        <w:spacing w:after="60" w:before="0"/>
      </w:pPr>
      <w:r>
        <w:rPr>
          <w:rFonts w:ascii="Georgia" w:cs="Georgia" w:eastAsia="Georgia" w:hAnsi="Georgia"/>
          <w:color w:val="252525"/>
          <w:sz w:val="22"/>
          <w:szCs w:val="22"/>
        </w:rPr>
        <w:t xml:space="preserve">Last Mile Health (2024). Geospatial Mapping of Community Health Workers in Sierra Leone — All Sixteen Districts. Freetown: Last Mile Health.</w:t>
      </w:r>
    </w:p>
    <w:p>
      <w:pPr>
        <w:pStyle w:val="ListParagraph"/>
        <w:numPr>
          <w:ilvl w:val="0"/>
          <w:numId w:val="2"/>
        </w:numPr>
        <w:spacing w:after="60" w:before="0"/>
      </w:pPr>
      <w:r>
        <w:rPr>
          <w:rFonts w:ascii="Georgia" w:cs="Georgia" w:eastAsia="Georgia" w:hAnsi="Georgia"/>
          <w:color w:val="252525"/>
          <w:sz w:val="22"/>
          <w:szCs w:val="22"/>
        </w:rPr>
        <w:t xml:space="preserve">Community Impact Coalition (2020). Standards for Community Health: Putting Community Health Workers at the Center. New York: Community Impact Coalition.</w:t>
      </w:r>
    </w:p>
    <w:p>
      <w:pPr>
        <w:pStyle w:val="ListParagraph"/>
        <w:numPr>
          <w:ilvl w:val="0"/>
          <w:numId w:val="2"/>
        </w:numPr>
        <w:spacing w:after="60" w:before="0"/>
      </w:pPr>
      <w:r>
        <w:rPr>
          <w:rFonts w:ascii="Georgia" w:cs="Georgia" w:eastAsia="Georgia" w:hAnsi="Georgia"/>
          <w:color w:val="252525"/>
          <w:sz w:val="22"/>
          <w:szCs w:val="22"/>
        </w:rPr>
        <w:t xml:space="preserve">Lwala Community Alliance (2022). Community Health Data Ownership as a Driver of Domestic Financing Advocacy. Lwala, Kenya: Lwala Community Alliance.</w:t>
      </w:r>
    </w:p>
    <w:p>
      <w:pPr>
        <w:pStyle w:val="Heading2"/>
        <w:pBdr>
          <w:bottom w:val="single" w:color="EAF3EE" w:sz="4"/>
        </w:pBdr>
        <w:spacing w:after="100" w:before="280"/>
      </w:pPr>
      <w:r>
        <w:rPr>
          <w:rFonts w:ascii="Georgia" w:cs="Georgia" w:eastAsia="Georgia" w:hAnsi="Georgia"/>
          <w:b/>
          <w:bCs/>
          <w:color w:val="1A4731"/>
          <w:sz w:val="28"/>
          <w:szCs w:val="28"/>
        </w:rPr>
        <w:t xml:space="preserve">Sierra Leone National Policies and Evidence</w:t>
      </w:r>
    </w:p>
    <w:p>
      <w:pPr>
        <w:pStyle w:val="ListParagraph"/>
        <w:numPr>
          <w:ilvl w:val="0"/>
          <w:numId w:val="2"/>
        </w:numPr>
        <w:spacing w:after="60" w:before="0"/>
      </w:pPr>
      <w:r>
        <w:rPr>
          <w:rFonts w:ascii="Georgia" w:cs="Georgia" w:eastAsia="Georgia" w:hAnsi="Georgia"/>
          <w:color w:val="252525"/>
          <w:sz w:val="22"/>
          <w:szCs w:val="22"/>
        </w:rPr>
        <w:t xml:space="preserve">Ministry of Health and Sanitation, Sierra Leone (2024). National Community Health Worker Policy and Strategy 2024. Freetown: MoHS.</w:t>
      </w:r>
    </w:p>
    <w:p>
      <w:pPr>
        <w:pStyle w:val="ListParagraph"/>
        <w:numPr>
          <w:ilvl w:val="0"/>
          <w:numId w:val="2"/>
        </w:numPr>
        <w:spacing w:after="60" w:before="0"/>
      </w:pPr>
      <w:r>
        <w:rPr>
          <w:rFonts w:ascii="Georgia" w:cs="Georgia" w:eastAsia="Georgia" w:hAnsi="Georgia"/>
          <w:color w:val="252525"/>
          <w:sz w:val="22"/>
          <w:szCs w:val="22"/>
        </w:rPr>
        <w:t xml:space="preserve">Ministry of Health and Sanitation, Sierra Leone (2025). Vision 2030 Community Health Programme Roadmap — Stakeholder Validation. Freetown: MoHS.</w:t>
      </w:r>
    </w:p>
    <w:p>
      <w:pPr>
        <w:pStyle w:val="ListParagraph"/>
        <w:numPr>
          <w:ilvl w:val="0"/>
          <w:numId w:val="2"/>
        </w:numPr>
        <w:spacing w:after="60" w:before="0"/>
      </w:pPr>
      <w:r>
        <w:rPr>
          <w:rFonts w:ascii="Georgia" w:cs="Georgia" w:eastAsia="Georgia" w:hAnsi="Georgia"/>
          <w:color w:val="252525"/>
          <w:sz w:val="22"/>
          <w:szCs w:val="22"/>
        </w:rPr>
        <w:t xml:space="preserve">Ministry of Health and Sanitation, Sierra Leone (2023). National Health Sector Strategic Plan 2023–2027. Freetown: MoHS.</w:t>
      </w:r>
    </w:p>
    <w:p>
      <w:pPr>
        <w:pStyle w:val="ListParagraph"/>
        <w:numPr>
          <w:ilvl w:val="0"/>
          <w:numId w:val="2"/>
        </w:numPr>
        <w:spacing w:after="60" w:before="0"/>
      </w:pPr>
      <w:r>
        <w:rPr>
          <w:rFonts w:ascii="Georgia" w:cs="Georgia" w:eastAsia="Georgia" w:hAnsi="Georgia"/>
          <w:color w:val="252525"/>
          <w:sz w:val="22"/>
          <w:szCs w:val="22"/>
        </w:rPr>
        <w:t xml:space="preserve">Sierra Leone MoHS and WHO (2016). Ebola Virus Disease Outbreak Response — After Action Review, Sierra Leone 2014–2016. Freetown: MoHS and WHO.</w:t>
      </w:r>
    </w:p>
    <w:p>
      <w:pPr>
        <w:pStyle w:val="ListParagraph"/>
        <w:numPr>
          <w:ilvl w:val="0"/>
          <w:numId w:val="2"/>
        </w:numPr>
        <w:spacing w:after="60" w:before="0"/>
      </w:pPr>
      <w:r>
        <w:rPr>
          <w:rFonts w:ascii="Georgia" w:cs="Georgia" w:eastAsia="Georgia" w:hAnsi="Georgia"/>
          <w:color w:val="252525"/>
          <w:sz w:val="22"/>
          <w:szCs w:val="22"/>
        </w:rPr>
        <w:t xml:space="preserve">ICF (2022). Sierra Leone Demographic and Health Survey 2022 — Key Indicators Report. Freetown: Statistics Sierra Leone and ICF.</w:t>
      </w:r>
    </w:p>
    <w:p>
      <w:pPr>
        <w:pStyle w:val="ListParagraph"/>
        <w:numPr>
          <w:ilvl w:val="0"/>
          <w:numId w:val="2"/>
        </w:numPr>
        <w:spacing w:after="60" w:before="0"/>
      </w:pPr>
      <w:r>
        <w:rPr>
          <w:rFonts w:ascii="Georgia" w:cs="Georgia" w:eastAsia="Georgia" w:hAnsi="Georgia"/>
          <w:color w:val="252525"/>
          <w:sz w:val="22"/>
          <w:szCs w:val="22"/>
        </w:rPr>
        <w:t xml:space="preserve">UNICEF and MasterCard Foundation (2026). Integrated Community Health Programme for Sierra Leone — Implementing Partner Call for Applications, January 2026. Freetown: UNICEF Sierra Leone.</w:t>
      </w:r>
    </w:p>
    <w:p>
      <w:r>
        <w:br w:type="page"/>
      </w:r>
    </w:p>
    <w:p>
      <w:pPr>
        <w:pStyle w:val="Heading1"/>
        <w:shd w:fill="1A4731" w:val="clear"/>
        <w:spacing w:after="0" w:before="400"/>
      </w:pPr>
      <w:r>
        <w:rPr>
          <w:rFonts w:ascii="Georgia" w:cs="Georgia" w:eastAsia="Georgia" w:hAnsi="Georgia"/>
          <w:b/>
          <w:bCs/>
          <w:color w:val="7BC99A"/>
          <w:sz w:val="18"/>
          <w:szCs w:val="18"/>
        </w:rPr>
        <w:t xml:space="preserve">ANNEX C  </w:t>
      </w:r>
      <w:r>
        <w:rPr>
          <w:rFonts w:ascii="Georgia" w:cs="Georgia" w:eastAsia="Georgia" w:hAnsi="Georgia"/>
          <w:b/>
          <w:bCs/>
          <w:color w:val="FFFFFF"/>
          <w:sz w:val="34"/>
          <w:szCs w:val="34"/>
        </w:rPr>
        <w:t xml:space="preserve">REACH 360° FRAMEWORK — AT A GLANCE</w:t>
      </w:r>
    </w:p>
    <w:p>
      <w:pPr>
        <w:pBdr>
          <w:bottom w:val="single" w:color="B55334" w:sz="8"/>
        </w:pBdr>
        <w:spacing w:after="20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THE REACH 360° COMMUNITY HEALTH SYSTEMS STRENGTHENING FRAMEWORK</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Organisation</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iREACHE LASTMILE | Kenema, Eastern Province, Sierra Leone | Version 1.0 | 2026</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Care Model</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BRIDGE 360° LASTMILE CARE — Building Resilient Integrated Delivery Gateways for Every community</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Frontline Cadre</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Professional Connected Community Health Workers (ProcCHWs) — certified, compensated, IDHS-supported, triple-connected, government-integrated, career-pathed</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Core Theory</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Three-Systems Connection Theory: Sierra Leone's community health crisis is a systems disconnection problem. ProcCHWs connect the Traditional Authority System, Government Health System, and Community Epidemiological System.</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IDHS Principle</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Human systems first. Government-owned. Community-governed. Equity-validated. ProcCHW judgment primary. Open-source. Published and peer-reviewed. TRIAD AI Test mandatory.</w:t>
            </w:r>
          </w:p>
        </w:tc>
      </w:tr>
      <w:tr>
        <w:trPr>
          <w:tblHeader w:val="false"/>
        </w:trPr>
        <w:tc>
          <w:tcPr>
            <w:tcW w:type="dxa" w:w="24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252525"/>
                <w:sz w:val="20"/>
                <w:szCs w:val="20"/>
              </w:rPr>
              <w:t xml:space="preserve">Brand</w:t>
            </w:r>
          </w:p>
        </w:tc>
        <w:tc>
          <w:tcPr>
            <w:tcW w:type="dxa" w:w="69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Deep Forest Green #1A4731 | Burnt Rust Orange #B55334 | Georgia Typeface</w:t>
            </w:r>
          </w:p>
        </w:tc>
      </w:tr>
    </w:tbl>
    <w:p>
      <w:pPr>
        <w:spacing w:after="0" w:before="0"/>
      </w:pPr>
      <w:r>
        <w:rPr>
          <w:rFonts w:ascii="Georgia" w:cs="Georgia" w:eastAsia="Georgia" w:hAnsi="Georgia"/>
          <w:sz w:val="10"/>
          <w:szCs w:val="10"/>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800"/>
        <w:gridCol w:w="1800"/>
        <w:gridCol w:w="2400"/>
        <w:gridCol w:w="1360"/>
      </w:tblGrid>
      <w:tr>
        <w:trPr>
          <w:tblHeader/>
        </w:trPr>
        <w:tc>
          <w:tcPr>
            <w:tcW w:type="dxa" w:w="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Pillar</w:t>
            </w:r>
          </w:p>
        </w:tc>
        <w:tc>
          <w:tcPr>
            <w:tcW w:type="dxa" w:w="26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Full Name</w:t>
            </w:r>
          </w:p>
        </w:tc>
        <w:tc>
          <w:tcPr>
            <w:tcW w:type="dxa" w:w="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Abbrev.</w:t>
            </w:r>
          </w:p>
        </w:tc>
        <w:tc>
          <w:tcPr>
            <w:tcW w:type="dxa" w:w="18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WHO Block</w:t>
            </w:r>
          </w:p>
        </w:tc>
        <w:tc>
          <w:tcPr>
            <w:tcW w:type="dxa" w:w="240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SL Original Contribution</w:t>
            </w:r>
          </w:p>
        </w:tc>
        <w:tc>
          <w:tcPr>
            <w:tcW w:type="dxa" w:w="1360"/>
            <w:gridSpan w:val="1"/>
            <w:tcBorders>
              <w:top w:val="single" w:color="CECECE" w:sz="4"/>
              <w:left w:val="single" w:color="CECECE" w:sz="4"/>
              <w:bottom w:val="single" w:color="CECECE" w:sz="4"/>
              <w:right w:val="single" w:color="CECECE" w:sz="4"/>
            </w:tcBorders>
            <w:shd w:fill="B55334" w:val="clear"/>
            <w:tcMar>
              <w:top w:type="dxa" w:w="100"/>
              <w:left w:type="dxa" w:w="160"/>
              <w:bottom w:type="dxa" w:w="100"/>
              <w:right w:type="dxa" w:w="160"/>
            </w:tcMar>
            <w:vAlign w:val="top"/>
          </w:tcPr>
          <w:p>
            <w:pPr>
              <w:spacing w:after="0" w:before="0"/>
              <w:jc w:val="left"/>
            </w:pPr>
            <w:r>
              <w:rPr>
                <w:rFonts w:ascii="Georgia" w:cs="Georgia" w:eastAsia="Georgia" w:hAnsi="Georgia"/>
                <w:b/>
                <w:bCs/>
                <w:i w:val="false"/>
                <w:iCs w:val="false"/>
                <w:color w:val="FFFFFF"/>
                <w:sz w:val="20"/>
                <w:szCs w:val="20"/>
              </w:rPr>
              <w:t xml:space="preserve">IDHS Application</w:t>
            </w:r>
          </w:p>
        </w:tc>
      </w:tr>
      <w:tr>
        <w:trPr>
          <w:tblHeader w:val="false"/>
        </w:trPr>
        <w:tc>
          <w:tcPr>
            <w:tcW w:type="dxa" w:w="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1</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Connected Health Workforce</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CHW</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Health Workforce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Three-Tier Connectivity Standard; TA Endorsement with women's group co-endorsement</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Predictive attrition; PBI integrity; personalised supervision</w:t>
            </w:r>
          </w:p>
        </w:tc>
      </w:tr>
      <w:tr>
        <w:trPr>
          <w:tblHeader w:val="false"/>
        </w:trPr>
        <w:tc>
          <w:tcPr>
            <w:tcW w:type="dxa" w:w="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2</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Community Intelligence and Surveillance System</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CISS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Health Information</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CEIN formalising post-Ebola surveillance as standing health system asset</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Outbreak detection; zero-dose prediction; Krio NLP</w:t>
            </w:r>
          </w:p>
        </w:tc>
      </w:tr>
      <w:tr>
        <w:trPr>
          <w:tblHeader w:val="false"/>
        </w:trPr>
        <w:tc>
          <w:tcPr>
            <w:tcW w:type="dxa" w:w="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3</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Last-Mile Supply Chain and Commodity Access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LSCCS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Essential Medicines</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Traditional Authority Supply Stewardship; Rainy Season Routing Protocol</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21-day demand forecasting; route optimisation</w:t>
            </w:r>
          </w:p>
        </w:tc>
      </w:tr>
      <w:tr>
        <w:trPr>
          <w:tblHeader w:val="false"/>
        </w:trPr>
        <w:tc>
          <w:tcPr>
            <w:tcW w:type="dxa" w:w="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4</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Sustainable Health Financing and Domestic Resource Mobilisation</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SHFS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Health Financing</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Three-party Shared Sovereignty Financing; Chieftaincy Track advocacy</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Financing simulation; PBI integrity; advocacy evidence</w:t>
            </w:r>
          </w:p>
        </w:tc>
      </w:tr>
      <w:tr>
        <w:trPr>
          <w:tblHeader w:val="false"/>
        </w:trPr>
        <w:tc>
          <w:tcPr>
            <w:tcW w:type="dxa" w:w="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5</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Three-Authority Community Governance and Accountability</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TACGS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Governance</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Three-authority TRIAD Governance Protocol; CHCs with real decision-making authority</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TRIAD AI Test; community feedback AI (CHC-contestable)</w:t>
            </w:r>
          </w:p>
        </w:tc>
      </w:tr>
      <w:tr>
        <w:trPr>
          <w:tblHeader w:val="false"/>
        </w:trPr>
        <w:tc>
          <w:tcPr>
            <w:tcW w:type="dxa" w:w="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6</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Proactive Community Health Service Delivery</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PCHDS</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Service Delivery</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Agricultural Calendar Protocol; Post-Ebola Mental Health Pulse Check; TA Access Endorsement</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iCCM decision support; MUAC trajectory; danger sign detection</w:t>
            </w:r>
          </w:p>
        </w:tc>
      </w:tr>
      <w:tr>
        <w:trPr>
          <w:tblHeader w:val="false"/>
        </w:trPr>
        <w:tc>
          <w:tcPr>
            <w:tcW w:type="dxa" w:w="800"/>
            <w:gridSpan w:val="1"/>
            <w:tcBorders>
              <w:top w:val="single" w:color="CECECE" w:sz="4"/>
              <w:left w:val="single" w:color="CECECE" w:sz="4"/>
              <w:bottom w:val="single" w:color="CECECE" w:sz="4"/>
              <w:right w:val="single" w:color="CECECE" w:sz="4"/>
            </w:tcBorders>
            <w:shd w:fill="FAF0ED" w:val="clear"/>
            <w:tcMar>
              <w:top w:type="dxa" w:w="100"/>
              <w:left w:type="dxa" w:w="160"/>
              <w:bottom w:type="dxa" w:w="100"/>
              <w:right w:type="dxa" w:w="160"/>
            </w:tcMar>
            <w:vAlign w:val="top"/>
          </w:tcPr>
          <w:p>
            <w:pPr>
              <w:spacing w:after="0" w:before="0"/>
              <w:jc w:val="center"/>
            </w:pPr>
            <w:r>
              <w:rPr>
                <w:rFonts w:ascii="Georgia" w:cs="Georgia" w:eastAsia="Georgia" w:hAnsi="Georgia"/>
                <w:b/>
                <w:bCs/>
                <w:i w:val="false"/>
                <w:iCs w:val="false"/>
                <w:color w:val="252525"/>
                <w:sz w:val="20"/>
                <w:szCs w:val="20"/>
              </w:rPr>
              <w:t xml:space="preserve">7</w:t>
            </w:r>
          </w:p>
        </w:tc>
        <w:tc>
          <w:tcPr>
            <w:tcW w:type="dxa" w:w="26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Driving Sustained Impact Through Strategic Partnerships</w:t>
            </w:r>
          </w:p>
        </w:tc>
        <w:tc>
          <w:tcPr>
            <w:tcW w:type="dxa" w:w="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IMPACT</w:t>
            </w:r>
          </w:p>
        </w:tc>
        <w:tc>
          <w:tcPr>
            <w:tcW w:type="dxa" w:w="18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Cross-cutting</w:t>
            </w:r>
          </w:p>
        </w:tc>
        <w:tc>
          <w:tcPr>
            <w:tcW w:type="dxa" w:w="240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West Africa Learning Exchange; Community Health Systems Innovation and Learning Centre</w:t>
            </w:r>
          </w:p>
        </w:tc>
        <w:tc>
          <w:tcPr>
            <w:tcW w:type="dxa" w:w="1360"/>
            <w:gridSpan w:val="1"/>
            <w:tcBorders>
              <w:top w:val="single" w:color="CECECE" w:sz="4"/>
              <w:left w:val="single" w:color="CECECE" w:sz="4"/>
              <w:bottom w:val="single" w:color="CECECE" w:sz="4"/>
              <w:right w:val="single" w:color="CECECE" w:sz="4"/>
            </w:tcBorders>
            <w:shd w:fill="FFFFFF" w:val="clear"/>
            <w:tcMar>
              <w:top w:type="dxa" w:w="100"/>
              <w:left w:type="dxa" w:w="160"/>
              <w:bottom w:type="dxa" w:w="100"/>
              <w:right w:type="dxa" w:w="160"/>
            </w:tcMar>
            <w:vAlign w:val="top"/>
          </w:tcPr>
          <w:p>
            <w:pPr>
              <w:spacing w:after="0" w:before="0"/>
              <w:jc w:val="left"/>
            </w:pPr>
            <w:r>
              <w:rPr>
                <w:rFonts w:ascii="Georgia" w:cs="Georgia" w:eastAsia="Georgia" w:hAnsi="Georgia"/>
                <w:b w:val="false"/>
                <w:bCs w:val="false"/>
                <w:i w:val="false"/>
                <w:iCs w:val="false"/>
                <w:color w:val="252525"/>
                <w:sz w:val="20"/>
                <w:szCs w:val="20"/>
              </w:rPr>
              <w:t xml:space="preserve">Knowledge management; policy simulation; literature synthesis</w:t>
            </w:r>
          </w:p>
        </w:tc>
      </w:tr>
    </w:tbl>
    <w:p>
      <w:pPr>
        <w:spacing w:after="0" w:before="0"/>
      </w:pPr>
      <w:r>
        <w:rPr>
          <w:rFonts w:ascii="Georgia" w:cs="Georgia" w:eastAsia="Georgia" w:hAnsi="Georgi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1A4731" w:sz="8"/>
              <w:left w:val="single" w:color="1A4731" w:sz="8"/>
              <w:bottom w:val="single" w:color="1A4731" w:sz="8"/>
              <w:right w:val="single" w:color="1A4731" w:sz="8"/>
            </w:tcBorders>
            <w:shd w:fill="1A4731" w:val="clear"/>
            <w:tcMar>
              <w:top w:type="dxa" w:w="200"/>
              <w:left w:type="dxa" w:w="280"/>
              <w:bottom w:type="dxa" w:w="200"/>
              <w:right w:type="dxa" w:w="280"/>
            </w:tcMar>
          </w:tcPr>
          <w:p>
            <w:pPr>
              <w:spacing w:after="20" w:before="0"/>
              <w:jc w:val="left"/>
            </w:pPr>
            <w:r>
              <w:rPr>
                <w:rFonts w:ascii="Georgia" w:cs="Georgia" w:eastAsia="Georgia" w:hAnsi="Georgia"/>
                <w:b/>
                <w:bCs/>
                <w:color w:val="7BC99A"/>
                <w:sz w:val="18"/>
                <w:szCs w:val="18"/>
              </w:rPr>
              <w:t xml:space="preserve">THE ULTIMATE TEST</w:t>
            </w:r>
          </w:p>
          <w:p>
            <w:pPr>
              <w:spacing w:after="20" w:before="0"/>
              <w:jc w:val="left"/>
            </w:pPr>
            <w:r>
              <w:rPr>
                <w:rFonts w:ascii="Georgia" w:cs="Georgia" w:eastAsia="Georgia" w:hAnsi="Georgia"/>
                <w:b/>
                <w:bCs/>
                <w:color w:val="FFFFFF"/>
                <w:sz w:val="26"/>
                <w:szCs w:val="26"/>
              </w:rPr>
              <w:t xml:space="preserve">If iREACHE LASTMILE reduces its presence by 30%, do the three systems continue to govern community health together?</w:t>
            </w:r>
          </w:p>
          <w:p>
            <w:pPr>
              <w:spacing w:after="20" w:before="0"/>
              <w:jc w:val="left"/>
            </w:pPr>
            <w:r>
              <w:rPr>
                <w:rFonts w:ascii="Georgia" w:cs="Georgia" w:eastAsia="Georgia" w:hAnsi="Georgia"/>
                <w:i/>
                <w:iCs/>
                <w:color w:val="7BC99A"/>
                <w:sz w:val="22"/>
                <w:szCs w:val="22"/>
              </w:rPr>
              <w:t xml:space="preserve">And: do the IDHS tools continue operating — in government hands, under community governance — without iREACHE LASTMILE's technical team?</w:t>
            </w:r>
          </w:p>
          <w:p>
            <w:pPr>
              <w:spacing w:after="0" w:before="0"/>
              <w:jc w:val="both"/>
            </w:pPr>
            <w:r>
              <w:rPr>
                <w:rFonts w:ascii="Georgia" w:cs="Georgia" w:eastAsia="Georgia" w:hAnsi="Georgia"/>
                <w:color w:val="FFFFFF"/>
                <w:sz w:val="20"/>
                <w:szCs w:val="20"/>
              </w:rPr>
              <w:t xml:space="preserve">Yes to both questions. That is the standard. The Connection Quality Index and the IDHS Government Ownership Transfer Assessment measure progress toward it.</w:t>
            </w:r>
          </w:p>
        </w:tc>
      </w:tr>
    </w:tbl>
    <w:p>
      <w:pPr>
        <w:spacing w:after="0" w:before="0"/>
      </w:pPr>
      <w:r>
        <w:rPr>
          <w:rFonts w:ascii="Georgia" w:cs="Georgia" w:eastAsia="Georgia" w:hAnsi="Georgia"/>
          <w:sz w:val="10"/>
          <w:szCs w:val="10"/>
        </w:rPr>
        <w:t xml:space="preserve"/>
      </w:r>
    </w:p>
    <w:p>
      <w:pPr>
        <w:spacing w:after="0" w:before="0"/>
      </w:pPr>
      <w:r>
        <w:rPr>
          <w:rFonts w:ascii="Georgia" w:cs="Georgia" w:eastAsia="Georgia" w:hAnsi="Georgia"/>
          <w:sz w:val="10"/>
          <w:szCs w:val="10"/>
        </w:rPr>
        <w:t xml:space="preserve"/>
      </w:r>
    </w:p>
    <w:p>
      <w:pPr>
        <w:spacing w:after="15" w:before="0"/>
        <w:jc w:val="center"/>
      </w:pPr>
      <w:r>
        <w:rPr>
          <w:rFonts w:ascii="Georgia" w:cs="Georgia" w:eastAsia="Georgia" w:hAnsi="Georgia"/>
          <w:i/>
          <w:iCs/>
          <w:color w:val="5C5C5C"/>
          <w:sz w:val="16"/>
          <w:szCs w:val="16"/>
        </w:rPr>
        <w:t xml:space="preserve">© iREACHE LASTMILE 2026  |  REACH 360° Community Health Systems Strengthening Framework V1.0  |  Georgia 12pt</w:t>
      </w:r>
    </w:p>
    <w:p>
      <w:pPr>
        <w:spacing w:after="0" w:before="0"/>
        <w:jc w:val="center"/>
      </w:pPr>
      <w:r>
        <w:rPr>
          <w:rFonts w:ascii="Georgia" w:cs="Georgia" w:eastAsia="Georgia" w:hAnsi="Georgia"/>
          <w:i/>
          <w:iCs/>
          <w:color w:val="5C5C5C"/>
          <w:sz w:val="16"/>
          <w:szCs w:val="16"/>
        </w:rPr>
        <w:t xml:space="preserve">Deep Forest Green #1A4731  |  Burnt Rust Orange #B55334  |  Creative Commons CC BY 4.0  |  Kenema, Sierra Leone  |  www.ireachelastmile.org</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5334" w:sz="4"/>
      </w:pBdr>
      <w:spacing w:after="0" w:before="80"/>
      <w:jc w:val="center"/>
    </w:pPr>
    <w:r>
      <w:rPr>
        <w:rFonts w:ascii="Georgia" w:cs="Georgia" w:eastAsia="Georgia" w:hAnsi="Georgia"/>
        <w:color w:val="5C5C5C"/>
        <w:sz w:val="15"/>
        <w:szCs w:val="15"/>
      </w:rPr>
      <w:t xml:space="preserve">© iREACHE LASTMILE 2026  |  BRIDGE 360° LASTMILE CARE  |  ProcCHW  |  Open Access CC BY 4.0   |   Page </w:t>
    </w:r>
    <w:r>
      <w:rPr>
        <w:rFonts w:ascii="Georgia" w:cs="Georgia" w:eastAsia="Georgia" w:hAnsi="Georgia"/>
        <w:color w:val="B55334"/>
        <w:sz w:val="15"/>
        <w:szCs w:val="15"/>
      </w:rPr>
      <w:fldChar w:fldCharType="begin"/>
      <w:instrText xml:space="preserve">PAGE</w:instrText>
      <w:fldChar w:fldCharType="separate"/>
      <w:fldChar w:fldCharType="end"/>
    </w:r>
    <w:r>
      <w:rPr>
        <w:rFonts w:ascii="Georgia" w:cs="Georgia" w:eastAsia="Georgia" w:hAnsi="Georgia"/>
        <w:color w:val="5C5C5C"/>
        <w:sz w:val="15"/>
        <w:szCs w:val="15"/>
      </w:rPr>
      <w:t xml:space="preserve"> of </w:t>
    </w:r>
    <w:r>
      <w:rPr>
        <w:rFonts w:ascii="Georgia" w:cs="Georgia" w:eastAsia="Georgia" w:hAnsi="Georgia"/>
        <w:color w:val="B5533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731" w:sz="6"/>
      </w:pBdr>
      <w:tabs>
        <w:tab w:val="right" w:pos="9360"/>
      </w:tabs>
      <w:spacing w:after="80" w:before="0"/>
    </w:pPr>
    <w:r>
      <w:rPr>
        <w:rFonts w:ascii="Georgia" w:cs="Georgia" w:eastAsia="Georgia" w:hAnsi="Georgia"/>
        <w:b/>
        <w:bCs/>
        <w:color w:val="1A4731"/>
        <w:sz w:val="15"/>
        <w:szCs w:val="15"/>
      </w:rPr>
      <w:t xml:space="preserve">REACH 360° Community Health Systems Strengthening Framework — Master Document Version 1.0</w:t>
    </w:r>
    <w:r>
      <w:rPr>
        <w:rFonts w:ascii="Georgia" w:cs="Georgia" w:eastAsia="Georgia" w:hAnsi="Georgia"/>
        <w:color w:val="5C5C5C"/>
        <w:sz w:val="15"/>
        <w:szCs w:val="15"/>
      </w:rPr>
      <w:t xml:space="preserve">		iREACHE LASTMILE  |  Kenema, Sierra Leone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color w:val="B55334"/>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5252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400"/>
      <w:outlineLvl w:val="0"/>
    </w:pPr>
    <w:rPr>
      <w:rFonts w:ascii="Georgia" w:cs="Georgia" w:eastAsia="Georgia" w:hAnsi="Georgia"/>
      <w:b/>
      <w:bCs/>
      <w:color w:val="FFFFFF"/>
      <w:sz w:val="34"/>
      <w:szCs w:val="34"/>
    </w:rPr>
  </w:style>
  <w:style w:type="paragraph" w:styleId="Heading2">
    <w:name w:val="Heading 2"/>
    <w:basedOn w:val="Normal"/>
    <w:next w:val="Normal"/>
    <w:qFormat/>
    <w:pPr>
      <w:spacing w:after="100" w:before="280"/>
      <w:outlineLvl w:val="1"/>
    </w:pPr>
    <w:rPr>
      <w:rFonts w:ascii="Georgia" w:cs="Georgia" w:eastAsia="Georgia" w:hAnsi="Georgia"/>
      <w:b/>
      <w:bCs/>
      <w:color w:val="1A4731"/>
      <w:sz w:val="28"/>
      <w:szCs w:val="28"/>
    </w:rPr>
  </w:style>
  <w:style w:type="paragraph" w:styleId="Heading3">
    <w:name w:val="Heading 3"/>
    <w:basedOn w:val="Normal"/>
    <w:next w:val="Normal"/>
    <w:qFormat/>
    <w:pPr>
      <w:spacing w:after="80" w:before="220"/>
      <w:outlineLvl w:val="2"/>
    </w:pPr>
    <w:rPr>
      <w:rFonts w:ascii="Georgia" w:cs="Georgia" w:eastAsia="Georgia" w:hAnsi="Georgia"/>
      <w:b/>
      <w:bCs/>
      <w:color w:val="2D6A4F"/>
      <w:sz w:val="24"/>
      <w:szCs w:val="24"/>
    </w:rPr>
  </w:style>
  <w:style w:type="paragraph" w:styleId="Heading4">
    <w:name w:val="Heading 4"/>
    <w:basedOn w:val="Normal"/>
    <w:next w:val="Normal"/>
    <w:qFormat/>
    <w:pPr>
      <w:spacing w:after="60" w:before="180"/>
      <w:outlineLvl w:val="3"/>
    </w:pPr>
    <w:rPr>
      <w:rFonts w:ascii="Georgia" w:cs="Georgia" w:eastAsia="Georgia" w:hAnsi="Georgia"/>
      <w:b/>
      <w:bCs/>
      <w:i/>
      <w:iCs/>
      <w:color w:val="2525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REACH 360° Community Health Systems Strengthening Framework — Master Document Version 1.0</dc:title>
  <dc:creator>iREACHE LASTMILE</dc:creator>
  <dc:description>Georgia 12pt | Deep Forest Green #1A4731 | Burnt Rust Orange #B55334 | Seven Pillars | BRIDGE 360° LASTMILE CARE | ProcCHW | IDHS | Sierra Leone 2026</dc:description>
  <cp:lastModifiedBy>Un-named</cp:lastModifiedBy>
  <cp:revision>1</cp:revision>
  <dcterms:created xsi:type="dcterms:W3CDTF">2026-08-10T05:44:54.020Z</dcterms:created>
  <dcterms:modified xsi:type="dcterms:W3CDTF">2026-08-10T05:44:54.032Z</dcterms:modified>
</cp:coreProperties>
</file>

<file path=docProps/custom.xml><?xml version="1.0" encoding="utf-8"?>
<Properties xmlns="http://schemas.openxmlformats.org/officeDocument/2006/custom-properties" xmlns:vt="http://schemas.openxmlformats.org/officeDocument/2006/docPropsVTypes"/>
</file>