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0" w:firstLine="0"/>
        <w:rPr/>
      </w:pPr>
      <w:r w:rsidDel="00000000" w:rsidR="00000000" w:rsidRPr="00000000">
        <w:rPr>
          <w:rtl w:val="0"/>
        </w:rPr>
      </w:r>
    </w:p>
    <w:p w:rsidR="00000000" w:rsidDel="00000000" w:rsidP="00000000" w:rsidRDefault="00000000" w:rsidRPr="00000000" w14:paraId="0000000A">
      <w:pPr>
        <w:spacing w:before="0" w:line="276" w:lineRule="auto"/>
        <w:ind w:left="0" w:firstLine="0"/>
        <w:rPr/>
      </w:pPr>
      <w:r w:rsidDel="00000000" w:rsidR="00000000" w:rsidRPr="00000000">
        <w:rPr>
          <w:rtl w:val="0"/>
        </w:rPr>
        <w:t xml:space="preserve">The database server serves as a centralized repository for substantial volumes of critical business data, facilitating efficient storage and management. This server is employed to house essential customer information, campaign data, and analytical insights, enabling subsequent analysis for performance tracking and the customization of marketing strategies. The safeguarding of this system is paramount due to its frequent utilization in the execution of marketing operations, ensuring the protection of sensitive data and maintaining the integrity of marketing endeavors.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before="0" w:line="240" w:lineRule="auto"/>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before="0" w:line="240" w:lineRule="auto"/>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before="0" w:line="240" w:lineRule="auto"/>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before="0" w:line="240" w:lineRule="auto"/>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before="0" w:line="240" w:lineRule="auto"/>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before="0" w:line="240" w:lineRule="auto"/>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0" w:line="240" w:lineRule="auto"/>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rPr>
                <w:i w:val="1"/>
              </w:rPr>
            </w:pPr>
            <w:r w:rsidDel="00000000" w:rsidR="00000000" w:rsidRPr="00000000">
              <w:rPr>
                <w:i w:val="1"/>
                <w:rtl w:val="0"/>
              </w:rPr>
              <w:t xml:space="preserve">3</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9">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