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7nlk2ynsm6v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Access controls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29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90"/>
        <w:gridCol w:w="3990"/>
        <w:gridCol w:w="3240"/>
        <w:gridCol w:w="3240"/>
        <w:tblGridChange w:id="0">
          <w:tblGrid>
            <w:gridCol w:w="2490"/>
            <w:gridCol w:w="3990"/>
            <w:gridCol w:w="3240"/>
            <w:gridCol w:w="3240"/>
          </w:tblGrid>
        </w:tblGridChange>
      </w:tblGrid>
      <w:tr>
        <w:trPr>
          <w:cantSplit w:val="0"/>
          <w:trHeight w:val="870.5599999999998" w:hRule="atLeast"/>
          <w:tblHeader w:val="1"/>
        </w:trPr>
        <w:tc>
          <w:tcPr>
            <w:tcBorders>
              <w:top w:color="000000" w:space="0" w:sz="0" w:val="nil"/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rqizykdowjbx" w:id="1"/>
            <w:bookmarkEnd w:id="1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Note(s)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p472q8avw9cl" w:id="2"/>
            <w:bookmarkEnd w:id="2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Issue(s)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20luanqy86lg" w:id="3"/>
            <w:bookmarkEnd w:id="3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Recommendation(s)</w:t>
            </w:r>
          </w:p>
        </w:tc>
      </w:tr>
      <w:tr>
        <w:trPr>
          <w:cantSplit w:val="0"/>
          <w:trHeight w:val="2889.4" w:hRule="atLeast"/>
          <w:tblHeader w:val="0"/>
        </w:trPr>
        <w:tc>
          <w:tcPr>
            <w:shd w:fill="auto" w:val="clear"/>
            <w:tcMar>
              <w:top w:w="99.36" w:type="dxa"/>
              <w:left w:w="99.36" w:type="dxa"/>
              <w:bottom w:w="99.36" w:type="dxa"/>
              <w:right w:w="99.36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8"/>
                <w:szCs w:val="28"/>
                <w:rtl w:val="0"/>
              </w:rPr>
              <w:t xml:space="preserve">Authorization /authentication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Make 1-2 notes of information that can help identify the threat:</w:t>
            </w:r>
          </w:p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event took place on 10/03/23.</w:t>
            </w:r>
          </w:p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user is Legal/Administrator.</w:t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IP address of the computer used to login is 152.207.255.255.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Based on your notes, list 1-2 authorization issues:</w:t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Robert Taylor Jr is not an admin.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His contract ended in 2019, but his account accessed payroll systems in 2023.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Make at least 1 recommendation that could prevent this kind of incident:</w:t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User accounts should expire after 30 days.</w:t>
            </w:r>
          </w:p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Contractors should have limited access to business resources.</w:t>
            </w:r>
          </w:p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Enable MFA.</w:t>
            </w:r>
          </w:p>
        </w:tc>
      </w:tr>
    </w:tbl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sectPr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