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300"/>
        <w:jc w:val="center"/>
      </w:pPr>
      <w:r>
        <w:rPr>
          <w:rFonts w:ascii="Calibri" w:hAnsi="Calibri" w:eastAsia="Calibri"/>
          <w:b/>
          <w:color w:val="D9A63A"/>
          <w:sz w:val="20"/>
        </w:rPr>
        <w:t>EXECUTIVE GAME SUMMARY</w:t>
      </w:r>
    </w:p>
    <w:p>
      <w:pPr>
        <w:spacing w:after="100"/>
        <w:jc w:val="center"/>
      </w:pPr>
      <w:r>
        <w:rPr>
          <w:rFonts w:ascii="Calibri" w:hAnsi="Calibri" w:eastAsia="Calibri"/>
          <w:b/>
          <w:color w:val="10263A"/>
          <w:sz w:val="62"/>
        </w:rPr>
        <w:t>OLA: RISE</w:t>
      </w:r>
    </w:p>
    <w:p>
      <w:pPr>
        <w:spacing w:after="280"/>
        <w:jc w:val="center"/>
      </w:pPr>
      <w:r>
        <w:rPr>
          <w:rFonts w:ascii="Calibri" w:hAnsi="Calibri" w:eastAsia="Calibri"/>
          <w:i/>
          <w:color w:val="2E74B5"/>
          <w:sz w:val="30"/>
        </w:rPr>
        <w:t>Memory. Decisions. Projects. Destiny.</w:t>
      </w:r>
    </w:p>
    <w:p>
      <w:pPr>
        <w:spacing w:after="480"/>
        <w:pBdr>
          <w:bottom w:val="single" w:sz="20" w:space="4" w:color="D9A63A"/>
        </w:pBdr>
      </w:pPr>
    </w:p>
    <w:p>
      <w:pPr>
        <w:spacing w:after="760" w:line="300" w:lineRule="auto"/>
        <w:jc w:val="center"/>
      </w:pPr>
      <w:r>
        <w:rPr>
          <w:rFonts w:ascii="Calibri" w:hAnsi="Calibri" w:eastAsia="Calibri"/>
          <w:b/>
          <w:color w:val="17202A"/>
          <w:sz w:val="26"/>
        </w:rPr>
        <w:t>A live 3D decision game in which Eng. Ola reads current project evidence, chooses controlled management actions, explains the reasoning, and earns a trophy for every completed stage.</w:t>
      </w:r>
    </w:p>
    <w:tbl>
      <w:tblPr>
        <w:tblW w:type="dxa" w:w="9360"/>
        <w:jc w:val="left"/>
        <w:tblLayout w:type="fixed"/>
        <w:tblLook w:firstColumn="1" w:firstRow="1" w:lastColumn="0" w:lastRow="0" w:noHBand="0" w:noVBand="1" w:val="04A0"/>
        <w:tblInd w:w="120" w:type="dxa"/>
        <w:tblBorders>
          <w:top w:val="single" w:sz="10" w:color="D9A63A"/>
          <w:left w:val="single" w:sz="10" w:color="D9A63A"/>
          <w:bottom w:val="single" w:sz="10" w:color="D9A63A"/>
          <w:right w:val="single" w:sz="10" w:color="D9A63A"/>
          <w:insideH w:val="single" w:sz="10" w:color="D9A63A"/>
          <w:insideV w:val="single" w:sz="10" w:color="D9A63A"/>
        </w:tblBorders>
      </w:tblPr>
      <w:tblGrid>
        <w:gridCol w:w="9360"/>
      </w:tblGrid>
      <w:tr>
        <w:tc>
          <w:tcPr>
            <w:tcW w:type="dxa" w:w="9360"/>
            <w:tcMar>
              <w:top w:w="80" w:type="dxa"/>
              <w:start w:w="120" w:type="dxa"/>
              <w:bottom w:w="80" w:type="dxa"/>
              <w:end w:w="120" w:type="dxa"/>
            </w:tcMar>
            <w:vAlign w:val="center"/>
            <w:shd w:fill="FFF4D6"/>
          </w:tcPr>
          <w:p>
            <w:pPr>
              <w:spacing w:after="40"/>
            </w:pPr>
            <w:r>
              <w:rPr>
                <w:rFonts w:ascii="Calibri" w:hAnsi="Calibri" w:eastAsia="Calibri"/>
                <w:b/>
                <w:color w:val="10263A"/>
                <w:sz w:val="18"/>
              </w:rPr>
              <w:t>CENTRAL PURPOSE</w:t>
            </w:r>
          </w:p>
          <w:p>
            <w:pPr>
              <w:spacing w:before="0" w:after="0" w:line="288" w:lineRule="auto"/>
            </w:pPr>
            <w:r>
              <w:rPr>
                <w:rFonts w:ascii="Calibri" w:hAnsi="Calibri" w:eastAsia="Calibri"/>
                <w:b/>
                <w:color w:val="17202A"/>
                <w:sz w:val="22"/>
              </w:rPr>
              <w:t>Build a repeatable habit: observe the evidence, diagnose the real condition, decide deliberately, and protect the choice with ownership and a measurable next check.</w:t>
            </w:r>
          </w:p>
        </w:tc>
      </w:tr>
    </w:tbl>
    <w:p>
      <w:pPr>
        <w:spacing w:after="0"/>
      </w:pPr>
    </w:p>
    <w:p>
      <w:r>
        <w:br w:type="page"/>
      </w:r>
    </w:p>
    <w:p>
      <w:pPr>
        <w:pStyle w:val="Heading1"/>
        <w:keepNext/>
      </w:pPr>
      <w:r>
        <w:t>At a glance</w:t>
      </w:r>
    </w:p>
    <w:tbl>
      <w:tblPr>
        <w:tblW w:type="dxa" w:w="9360"/>
        <w:jc w:val="left"/>
        <w:tblLayout w:type="fixed"/>
        <w:tblLook w:firstColumn="1" w:firstRow="1" w:lastColumn="0" w:lastRow="0" w:noHBand="0" w:noVBand="1" w:val="04A0"/>
        <w:tblInd w:w="120" w:type="dxa"/>
        <w:tblBorders>
          <w:top w:val="single" w:sz="8" w:color="C9D3DE"/>
          <w:left w:val="single" w:sz="8" w:color="C9D3DE"/>
          <w:bottom w:val="single" w:sz="8" w:color="C9D3DE"/>
          <w:right w:val="single" w:sz="8" w:color="C9D3DE"/>
          <w:insideH w:val="single" w:sz="8" w:color="C9D3DE"/>
          <w:insideV w:val="single" w:sz="8" w:color="C9D3DE"/>
        </w:tblBorders>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Player role</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Eng. Ola, moving through a city of current management stages.</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Main objective</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Control every live mission and pass each three-question stage checkpoint before the 30-day window closes.</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Stage source</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The current controlled project snapshot, reporting period, evidence, and revision fingerprint.</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Learning method</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Decision choice, confidence calibration, consequence feedback, reasoning reflection, review, and checkpoint practice.</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World systems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3D navigation, collision-safe travel, time of day, personal needs, Food Court, conversation, music, and local progress saving.</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Success condition</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All current missions controlled and all current stage trophies earned.</w:t>
            </w:r>
          </w:p>
        </w:tc>
      </w:tr>
    </w:tbl>
    <w:p>
      <w:pPr>
        <w:spacing w:after="0"/>
      </w:pPr>
    </w:p>
    <w:p>
      <w:pPr>
        <w:pStyle w:val="Heading1"/>
        <w:keepNext/>
      </w:pPr>
      <w:r>
        <w:t>How to enter</w:t>
      </w:r>
    </w:p>
    <w:p>
      <w:pPr>
        <w:spacing w:before="0" w:after="120" w:line="300" w:lineRule="auto"/>
      </w:pPr>
      <w:r>
        <w:rPr>
          <w:rFonts w:ascii="Calibri" w:hAnsi="Calibri" w:eastAsia="Calibri"/>
          <w:b/>
          <w:color w:val="17202A"/>
          <w:sz w:val="22"/>
        </w:rPr>
        <w:t>Keyboard:</w:t>
      </w:r>
      <w:r>
        <w:rPr>
          <w:rFonts w:ascii="Calibri" w:hAnsi="Calibri" w:eastAsia="Calibri"/>
          <w:color w:val="17202A"/>
          <w:sz w:val="22"/>
        </w:rPr>
        <w:t xml:space="preserve"> press 6, 5, 4, 1, 2, 3 in that order.</w:t>
      </w:r>
    </w:p>
    <w:p>
      <w:pPr>
        <w:spacing w:before="0" w:after="120" w:line="300" w:lineRule="auto"/>
      </w:pPr>
      <w:r>
        <w:rPr>
          <w:rFonts w:ascii="Calibri" w:hAnsi="Calibri" w:eastAsia="Calibri"/>
          <w:b/>
          <w:color w:val="17202A"/>
          <w:sz w:val="22"/>
        </w:rPr>
        <w:t>Touchscreen:</w:t>
      </w:r>
      <w:r>
        <w:rPr>
          <w:rFonts w:ascii="Calibri" w:hAnsi="Calibri" w:eastAsia="Calibri"/>
          <w:color w:val="17202A"/>
          <w:sz w:val="22"/>
        </w:rPr>
        <w:t xml:space="preserve"> tap twice quickly, pause for about one second, then tap three times quickly.</w:t>
      </w:r>
    </w:p>
    <w:tbl>
      <w:tblPr>
        <w:tblW w:type="dxa" w:w="9360"/>
        <w:jc w:val="left"/>
        <w:tblLayout w:type="fixed"/>
        <w:tblLook w:firstColumn="1" w:firstRow="1" w:lastColumn="0" w:lastRow="0" w:noHBand="0" w:noVBand="1" w:val="04A0"/>
        <w:tblInd w:w="120" w:type="dxa"/>
        <w:tblBorders>
          <w:top w:val="single" w:sz="10" w:color="D9A63A"/>
          <w:left w:val="single" w:sz="10" w:color="D9A63A"/>
          <w:bottom w:val="single" w:sz="10" w:color="D9A63A"/>
          <w:right w:val="single" w:sz="10" w:color="D9A63A"/>
          <w:insideH w:val="single" w:sz="10" w:color="D9A63A"/>
          <w:insideV w:val="single" w:sz="10" w:color="D9A63A"/>
        </w:tblBorders>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eastAsia="Calibri"/>
                <w:b/>
                <w:color w:val="10263A"/>
                <w:sz w:val="18"/>
              </w:rPr>
              <w:t>TOUCH SEQUENCE</w:t>
            </w:r>
          </w:p>
          <w:p>
            <w:pPr>
              <w:spacing w:before="0" w:after="0" w:line="288" w:lineRule="auto"/>
            </w:pPr>
            <w:r>
              <w:rPr>
                <w:rFonts w:ascii="Calibri" w:hAnsi="Calibri" w:eastAsia="Calibri"/>
                <w:b/>
                <w:color w:val="17202A"/>
                <w:sz w:val="22"/>
              </w:rPr>
              <w:t>Tap-Tap  →  Pause  →  Tap-Tap-Tap</w:t>
            </w:r>
          </w:p>
        </w:tc>
      </w:tr>
    </w:tbl>
    <w:p>
      <w:pPr>
        <w:spacing w:after="0"/>
      </w:pPr>
    </w:p>
    <w:p>
      <w:pPr>
        <w:spacing w:before="0" w:after="120" w:line="300" w:lineRule="auto"/>
      </w:pPr>
      <w:r>
        <w:rPr>
          <w:rFonts w:ascii="Calibri" w:hAnsi="Calibri" w:eastAsia="Calibri"/>
          <w:color w:val="17202A"/>
          <w:sz w:val="22"/>
        </w:rPr>
        <w:t>After the entry sequence, the playable world opens directly. Use Exit game or the Escape key to return to the main application.</w:t>
      </w:r>
    </w:p>
    <w:p>
      <w:pPr>
        <w:pStyle w:val="Heading1"/>
        <w:keepNext/>
      </w:pPr>
      <w:r>
        <w:t>The core game loop</w:t>
      </w:r>
    </w:p>
    <w:p>
      <w:pPr>
        <w:pStyle w:val="ListNumber"/>
        <w:spacing w:after="80" w:line="300" w:lineRule="auto"/>
        <w:ind w:left="540" w:hanging="271"/>
      </w:pPr>
      <w:r>
        <w:rPr>
          <w:rFonts w:ascii="Calibri" w:hAnsi="Calibri" w:eastAsia="Calibri"/>
          <w:color w:val="17202A"/>
          <w:sz w:val="22"/>
        </w:rPr>
        <w:t>Follow the live objective and use GO TO to travel to the next required stage.</w:t>
      </w:r>
    </w:p>
    <w:p>
      <w:pPr>
        <w:pStyle w:val="ListNumber"/>
        <w:spacing w:after="80" w:line="300" w:lineRule="auto"/>
        <w:ind w:left="540" w:hanging="271"/>
      </w:pPr>
      <w:r>
        <w:rPr>
          <w:rFonts w:ascii="Calibri" w:hAnsi="Calibri" w:eastAsia="Calibri"/>
          <w:color w:val="17202A"/>
          <w:sz w:val="22"/>
        </w:rPr>
        <w:t>Open the stage and review its current period, evidence, metrics, and mission list.</w:t>
      </w:r>
    </w:p>
    <w:p>
      <w:pPr>
        <w:pStyle w:val="ListNumber"/>
        <w:spacing w:after="80" w:line="300" w:lineRule="auto"/>
        <w:ind w:left="540" w:hanging="271"/>
      </w:pPr>
      <w:r>
        <w:rPr>
          <w:rFonts w:ascii="Calibri" w:hAnsi="Calibri" w:eastAsia="Calibri"/>
          <w:color w:val="17202A"/>
          <w:sz w:val="22"/>
        </w:rPr>
        <w:t>Open a mission, read the verified condition, and inspect the control principle.</w:t>
      </w:r>
    </w:p>
    <w:p>
      <w:pPr>
        <w:pStyle w:val="ListNumber"/>
        <w:spacing w:after="80" w:line="300" w:lineRule="auto"/>
        <w:ind w:left="540" w:hanging="271"/>
      </w:pPr>
      <w:r>
        <w:rPr>
          <w:rFonts w:ascii="Calibri" w:hAnsi="Calibri" w:eastAsia="Calibri"/>
          <w:color w:val="17202A"/>
          <w:sz w:val="22"/>
        </w:rPr>
        <w:t>Choose a confidence level and select the management response.</w:t>
      </w:r>
    </w:p>
    <w:p>
      <w:pPr>
        <w:pStyle w:val="ListNumber"/>
        <w:spacing w:after="80" w:line="300" w:lineRule="auto"/>
        <w:ind w:left="540" w:hanging="271"/>
      </w:pPr>
      <w:r>
        <w:rPr>
          <w:rFonts w:ascii="Calibri" w:hAnsi="Calibri" w:eastAsia="Calibri"/>
          <w:color w:val="17202A"/>
          <w:sz w:val="22"/>
        </w:rPr>
        <w:t>Read the reason, consequence, and required next control.</w:t>
      </w:r>
    </w:p>
    <w:p>
      <w:pPr>
        <w:pStyle w:val="ListNumber"/>
        <w:spacing w:after="80" w:line="300" w:lineRule="auto"/>
        <w:ind w:left="540" w:hanging="271"/>
      </w:pPr>
      <w:r>
        <w:rPr>
          <w:rFonts w:ascii="Calibri" w:hAnsi="Calibri" w:eastAsia="Calibri"/>
          <w:color w:val="17202A"/>
          <w:sz w:val="22"/>
        </w:rPr>
        <w:t>Complete the reflection that proves the reasoning can transfer to changed figures.</w:t>
      </w:r>
    </w:p>
    <w:p>
      <w:pPr>
        <w:pStyle w:val="ListNumber"/>
        <w:spacing w:after="80" w:line="300" w:lineRule="auto"/>
        <w:ind w:left="540" w:hanging="271"/>
      </w:pPr>
      <w:r>
        <w:rPr>
          <w:rFonts w:ascii="Calibri" w:hAnsi="Calibri" w:eastAsia="Calibri"/>
          <w:color w:val="17202A"/>
          <w:sz w:val="22"/>
        </w:rPr>
        <w:t>Control every mission, pass the three-question checkpoint, and earn the stage trophy.</w:t>
      </w:r>
    </w:p>
    <w:p>
      <w:pPr>
        <w:pStyle w:val="Heading1"/>
        <w:keepNext/>
      </w:pPr>
      <w:r>
        <w:t>The decision framework</w:t>
      </w:r>
    </w:p>
    <w:tbl>
      <w:tblPr>
        <w:tblW w:type="dxa" w:w="9360"/>
        <w:jc w:val="left"/>
        <w:tblLayout w:type="fixed"/>
        <w:tblLook w:firstColumn="1" w:firstRow="1" w:lastColumn="0" w:lastRow="0" w:noHBand="0" w:noVBand="1" w:val="04A0"/>
        <w:tblInd w:w="120" w:type="dxa"/>
        <w:tblBorders>
          <w:top w:val="single" w:sz="8" w:color="C9D3DE"/>
          <w:left w:val="single" w:sz="8" w:color="C9D3DE"/>
          <w:bottom w:val="single" w:sz="8" w:color="C9D3DE"/>
          <w:right w:val="single" w:sz="8" w:color="C9D3DE"/>
          <w:insideH w:val="single" w:sz="8" w:color="C9D3DE"/>
          <w:insideV w:val="single" w:sz="8" w:color="C9D3DE"/>
        </w:tblBorders>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1. Observe</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Read the signal as it is. Do not hide, overwrite, or prematurely interpret the evidence.</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2. Diagnose</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Separate fact, assumption, scope, timing, and the driver management can influence.</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3. Decide</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Choose the response that best protects the verified condition.</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4. Protect</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Define the owner, evidence, timing, and next measurable review trigger.</w:t>
            </w:r>
          </w:p>
        </w:tc>
      </w:tr>
    </w:tbl>
    <w:p>
      <w:pPr>
        <w:spacing w:after="0"/>
      </w:pPr>
    </w:p>
    <w:p>
      <w:pPr>
        <w:pStyle w:val="Heading1"/>
        <w:keepNext/>
      </w:pPr>
      <w:r>
        <w:t>What the player practices</w:t>
      </w:r>
    </w:p>
    <w:p>
      <w:pPr>
        <w:pStyle w:val="ListBullet"/>
        <w:spacing w:after="80" w:line="300" w:lineRule="auto"/>
        <w:ind w:left="540" w:hanging="271"/>
      </w:pPr>
      <w:r>
        <w:rPr>
          <w:rFonts w:ascii="Calibri" w:hAnsi="Calibri" w:eastAsia="Calibri"/>
          <w:color w:val="17202A"/>
          <w:sz w:val="22"/>
        </w:rPr>
        <w:t>Reading evidence before reacting.</w:t>
      </w:r>
    </w:p>
    <w:p>
      <w:pPr>
        <w:pStyle w:val="ListBullet"/>
        <w:spacing w:after="80" w:line="300" w:lineRule="auto"/>
        <w:ind w:left="540" w:hanging="271"/>
      </w:pPr>
      <w:r>
        <w:rPr>
          <w:rFonts w:ascii="Calibri" w:hAnsi="Calibri" w:eastAsia="Calibri"/>
          <w:color w:val="17202A"/>
          <w:sz w:val="22"/>
        </w:rPr>
        <w:t>Keeping accounting, cost-control, forecast, and scenario scopes distinct.</w:t>
      </w:r>
    </w:p>
    <w:p>
      <w:pPr>
        <w:pStyle w:val="ListBullet"/>
        <w:spacing w:after="80" w:line="300" w:lineRule="auto"/>
        <w:ind w:left="540" w:hanging="271"/>
      </w:pPr>
      <w:r>
        <w:rPr>
          <w:rFonts w:ascii="Calibri" w:hAnsi="Calibri" w:eastAsia="Calibri"/>
          <w:color w:val="17202A"/>
          <w:sz w:val="22"/>
        </w:rPr>
        <w:t>Recognizing cost, forecast, cash, profitability, reconciliation, concentration, waste, and evidence-quality conditions.</w:t>
      </w:r>
    </w:p>
    <w:p>
      <w:pPr>
        <w:pStyle w:val="ListBullet"/>
        <w:spacing w:after="80" w:line="300" w:lineRule="auto"/>
        <w:ind w:left="540" w:hanging="271"/>
      </w:pPr>
      <w:r>
        <w:rPr>
          <w:rFonts w:ascii="Calibri" w:hAnsi="Calibri" w:eastAsia="Calibri"/>
          <w:color w:val="17202A"/>
          <w:sz w:val="22"/>
        </w:rPr>
        <w:t>Comparing realistic choices instead of choosing the most comfortable answer.</w:t>
      </w:r>
    </w:p>
    <w:p>
      <w:pPr>
        <w:pStyle w:val="ListBullet"/>
        <w:spacing w:after="80" w:line="300" w:lineRule="auto"/>
        <w:ind w:left="540" w:hanging="271"/>
      </w:pPr>
      <w:r>
        <w:rPr>
          <w:rFonts w:ascii="Calibri" w:hAnsi="Calibri" w:eastAsia="Calibri"/>
          <w:color w:val="17202A"/>
          <w:sz w:val="22"/>
        </w:rPr>
        <w:t>Matching confidence to the strength of the evidence.</w:t>
      </w:r>
    </w:p>
    <w:p>
      <w:pPr>
        <w:pStyle w:val="ListBullet"/>
        <w:spacing w:after="80" w:line="300" w:lineRule="auto"/>
        <w:ind w:left="540" w:hanging="271"/>
      </w:pPr>
      <w:r>
        <w:rPr>
          <w:rFonts w:ascii="Calibri" w:hAnsi="Calibri" w:eastAsia="Calibri"/>
          <w:color w:val="17202A"/>
          <w:sz w:val="22"/>
        </w:rPr>
        <w:t>Explaining why a decision is controlled.</w:t>
      </w:r>
    </w:p>
    <w:p>
      <w:pPr>
        <w:pStyle w:val="ListBullet"/>
        <w:spacing w:after="80" w:line="300" w:lineRule="auto"/>
        <w:ind w:left="540" w:hanging="271"/>
      </w:pPr>
      <w:r>
        <w:rPr>
          <w:rFonts w:ascii="Calibri" w:hAnsi="Calibri" w:eastAsia="Calibri"/>
          <w:color w:val="17202A"/>
          <w:sz w:val="22"/>
        </w:rPr>
        <w:t>Assigning ownership and a future check.</w:t>
      </w:r>
    </w:p>
    <w:p>
      <w:pPr>
        <w:pStyle w:val="ListBullet"/>
        <w:spacing w:after="80" w:line="300" w:lineRule="auto"/>
        <w:ind w:left="540" w:hanging="271"/>
      </w:pPr>
      <w:r>
        <w:rPr>
          <w:rFonts w:ascii="Calibri" w:hAnsi="Calibri" w:eastAsia="Calibri"/>
          <w:color w:val="17202A"/>
          <w:sz w:val="22"/>
        </w:rPr>
        <w:t>Reviewing weak decisions until the principle is understood.</w:t>
      </w:r>
    </w:p>
    <w:p>
      <w:pPr>
        <w:pStyle w:val="Heading1"/>
        <w:keepNext/>
      </w:pPr>
      <w:r>
        <w:t>Live stage integrity</w:t>
      </w:r>
    </w:p>
    <w:p>
      <w:pPr>
        <w:spacing w:before="0" w:after="120" w:line="300" w:lineRule="auto"/>
      </w:pPr>
      <w:r>
        <w:rPr>
          <w:rFonts w:ascii="Calibri" w:hAnsi="Calibri" w:eastAsia="Calibri"/>
          <w:color w:val="17202A"/>
          <w:sz w:val="22"/>
        </w:rPr>
        <w:t>The stage roster and questions follow the current controlled application data. A new project becomes a new stage; a changed period or revision produces a fresh challenge. Missing evidence remains an evidence gap, and one project cannot supply figures to another stage. Game choices never edit the source workbook, the controlled records, or the project forecast.</w:t>
      </w:r>
    </w:p>
    <w:tbl>
      <w:tblPr>
        <w:tblW w:type="dxa" w:w="9360"/>
        <w:jc w:val="left"/>
        <w:tblLayout w:type="fixed"/>
        <w:tblLook w:firstColumn="1" w:firstRow="1" w:lastColumn="0" w:lastRow="0" w:noHBand="0" w:noVBand="1" w:val="04A0"/>
        <w:tblInd w:w="120" w:type="dxa"/>
        <w:tblBorders>
          <w:top w:val="single" w:sz="10" w:color="D9A63A"/>
          <w:left w:val="single" w:sz="10" w:color="D9A63A"/>
          <w:bottom w:val="single" w:sz="10" w:color="D9A63A"/>
          <w:right w:val="single" w:sz="10" w:color="D9A63A"/>
          <w:insideH w:val="single" w:sz="10" w:color="D9A63A"/>
          <w:insideV w:val="single" w:sz="10" w:color="D9A63A"/>
        </w:tblBorders>
      </w:tblPr>
      <w:tblGrid>
        <w:gridCol w:w="9360"/>
      </w:tblGrid>
      <w:tr>
        <w:tc>
          <w:tcPr>
            <w:tcW w:type="dxa" w:w="9360"/>
            <w:tcMar>
              <w:top w:w="80" w:type="dxa"/>
              <w:start w:w="120" w:type="dxa"/>
              <w:bottom w:w="80" w:type="dxa"/>
              <w:end w:w="120" w:type="dxa"/>
            </w:tcMar>
            <w:vAlign w:val="center"/>
            <w:shd w:fill="FFF4D6"/>
          </w:tcPr>
          <w:p>
            <w:pPr>
              <w:spacing w:after="40"/>
            </w:pPr>
            <w:r>
              <w:rPr>
                <w:rFonts w:ascii="Calibri" w:hAnsi="Calibri" w:eastAsia="Calibri"/>
                <w:b/>
                <w:color w:val="10263A"/>
                <w:sz w:val="18"/>
              </w:rPr>
              <w:t>FAILURE-SAFE BEHAVIOR</w:t>
            </w:r>
          </w:p>
          <w:p>
            <w:pPr>
              <w:spacing w:before="0" w:after="0" w:line="288" w:lineRule="auto"/>
            </w:pPr>
            <w:r>
              <w:rPr>
                <w:rFonts w:ascii="Calibri" w:hAnsi="Calibri" w:eastAsia="Calibri"/>
                <w:b/>
                <w:color w:val="17202A"/>
                <w:sz w:val="22"/>
              </w:rPr>
              <w:t>If the current stage data cannot be loaded, the game presents a retry message. It does not substitute an older project or invent a value.</w:t>
            </w:r>
          </w:p>
        </w:tc>
      </w:tr>
    </w:tbl>
    <w:p>
      <w:pPr>
        <w:spacing w:after="0"/>
      </w:pPr>
    </w:p>
    <w:p>
      <w:pPr>
        <w:pStyle w:val="Heading1"/>
        <w:keepNext/>
      </w:pPr>
      <w:r>
        <w:t>Time, needs, and life management</w:t>
      </w:r>
    </w:p>
    <w:p>
      <w:pPr>
        <w:spacing w:before="0" w:after="120" w:line="300" w:lineRule="auto"/>
      </w:pPr>
      <w:r>
        <w:rPr>
          <w:rFonts w:ascii="Calibri" w:hAnsi="Calibri" w:eastAsia="Calibri"/>
          <w:color w:val="17202A"/>
          <w:sz w:val="22"/>
        </w:rPr>
        <w:t>Time moves through morning, afternoon, evening, and night at Pause, 1×, 2×, or 4× speed. Energy, focus, patience, social connection, and fun change during play. The mood reflects the weakest current need so a single depleted condition is not hidden by the others.</w:t>
      </w:r>
    </w:p>
    <w:p>
      <w:pPr>
        <w:pStyle w:val="ListBullet"/>
        <w:spacing w:after="80" w:line="300" w:lineRule="auto"/>
        <w:ind w:left="540" w:hanging="271"/>
      </w:pPr>
      <w:r>
        <w:rPr>
          <w:rFonts w:ascii="Calibri" w:hAnsi="Calibri" w:eastAsia="Calibri"/>
          <w:color w:val="17202A"/>
          <w:sz w:val="22"/>
        </w:rPr>
        <w:t>Coffee, rest, team huddles, site walks, water, meals, and conversation change visible needs and use game time.</w:t>
      </w:r>
    </w:p>
    <w:p>
      <w:pPr>
        <w:pStyle w:val="ListBullet"/>
        <w:spacing w:after="80" w:line="300" w:lineRule="auto"/>
        <w:ind w:left="540" w:hanging="271"/>
      </w:pPr>
      <w:r>
        <w:rPr>
          <w:rFonts w:ascii="Calibri" w:hAnsi="Calibri" w:eastAsia="Calibri"/>
          <w:color w:val="17202A"/>
          <w:sz w:val="22"/>
        </w:rPr>
        <w:t>The Daily Decision Gym matches a life-management question to Ola's current constraint.</w:t>
      </w:r>
    </w:p>
    <w:p>
      <w:pPr>
        <w:pStyle w:val="ListBullet"/>
        <w:spacing w:after="80" w:line="300" w:lineRule="auto"/>
        <w:ind w:left="540" w:hanging="271"/>
      </w:pPr>
      <w:r>
        <w:rPr>
          <w:rFonts w:ascii="Calibri" w:hAnsi="Calibri" w:eastAsia="Calibri"/>
          <w:color w:val="17202A"/>
          <w:sz w:val="22"/>
        </w:rPr>
        <w:t>At 21:00, management work closes. Ola can go to the Food Court for food and conversation or sleep until 06:00.</w:t>
      </w:r>
    </w:p>
    <w:p>
      <w:pPr>
        <w:pStyle w:val="ListBullet"/>
        <w:spacing w:after="80" w:line="300" w:lineRule="auto"/>
        <w:ind w:left="540" w:hanging="271"/>
      </w:pPr>
      <w:r>
        <w:rPr>
          <w:rFonts w:ascii="Calibri" w:hAnsi="Calibri" w:eastAsia="Calibri"/>
          <w:color w:val="17202A"/>
          <w:sz w:val="22"/>
        </w:rPr>
        <w:t>Music begins muted and is controlled by Play, track, and volume controls in the drawer.</w:t>
      </w:r>
    </w:p>
    <w:p>
      <w:pPr>
        <w:pStyle w:val="Heading1"/>
        <w:keepNext/>
      </w:pPr>
      <w:r>
        <w:t>Navigation and controls</w:t>
      </w:r>
    </w:p>
    <w:tbl>
      <w:tblPr>
        <w:tblW w:type="dxa" w:w="9360"/>
        <w:jc w:val="left"/>
        <w:tblLayout w:type="fixed"/>
        <w:tblLook w:firstColumn="1" w:firstRow="1" w:lastColumn="0" w:lastRow="0" w:noHBand="0" w:noVBand="1" w:val="04A0"/>
        <w:tblInd w:w="120" w:type="dxa"/>
        <w:tblBorders>
          <w:top w:val="single" w:sz="8" w:color="C9D3DE"/>
          <w:left w:val="single" w:sz="8" w:color="C9D3DE"/>
          <w:bottom w:val="single" w:sz="8" w:color="C9D3DE"/>
          <w:right w:val="single" w:sz="8" w:color="C9D3DE"/>
          <w:insideH w:val="single" w:sz="8" w:color="C9D3DE"/>
          <w:insideV w:val="single" w:sz="8" w:color="C9D3DE"/>
        </w:tblBorders>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GO TO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Guided, collision-safe travel to the next required destination.</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Tap</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Walk to a reachable point in the world.</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Joystick</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Manual movement on touchscreens.</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Drag / pinch</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Rotate the camera and zoom the view.</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ACT</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Interact with a nearby project stage or character.</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HELP</w:t>
            </w:r>
          </w:p>
        </w:tc>
        <w:tc>
          <w:tcPr>
            <w:tcW w:type="dxa" w:w="6660"/>
            <w:tcMar>
              <w:top w:w="80" w:type="dxa"/>
              <w:start w:w="120" w:type="dxa"/>
              <w:bottom w:w="80" w:type="dxa"/>
              <w:end w:w="120" w:type="dxa"/>
            </w:tcMar>
            <w:vAlign w:val="center"/>
            <w:shd w:fill="F8FAFC"/>
          </w:tcPr>
          <w:p>
            <w:pPr>
              <w:spacing w:after="0" w:line="276" w:lineRule="auto"/>
            </w:pPr>
            <w:r>
              <w:rPr>
                <w:rFonts w:ascii="Calibri" w:hAnsi="Calibri" w:eastAsia="Calibri"/>
                <w:color w:val="17202A"/>
                <w:sz w:val="21"/>
              </w:rPr>
              <w:t>Open an evidence-based hint when guidance is needed.</w:t>
            </w:r>
          </w:p>
        </w:tc>
      </w:tr>
      <w:tr>
        <w:tc>
          <w:tcPr>
            <w:tcW w:type="dxa" w:w="2700"/>
            <w:tcMar>
              <w:top w:w="80" w:type="dxa"/>
              <w:start w:w="120" w:type="dxa"/>
              <w:bottom w:w="80" w:type="dxa"/>
              <w:end w:w="120" w:type="dxa"/>
            </w:tcMar>
            <w:vAlign w:val="center"/>
            <w:shd w:fill="E8EEF5"/>
          </w:tcPr>
          <w:p>
            <w:pPr>
              <w:spacing w:after="0"/>
            </w:pPr>
            <w:r>
              <w:rPr>
                <w:rFonts w:ascii="Calibri" w:hAnsi="Calibri" w:eastAsia="Calibri"/>
                <w:b/>
                <w:color w:val="10263A"/>
                <w:sz w:val="21"/>
              </w:rPr>
              <w:t>Menu</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color w:val="17202A"/>
                <w:sz w:val="21"/>
              </w:rPr>
              <w:t>Time speed, actions, decision gym, food, self-care, music, view, save, and reset.</w:t>
            </w:r>
          </w:p>
        </w:tc>
      </w:tr>
    </w:tbl>
    <w:p>
      <w:pPr>
        <w:spacing w:after="0"/>
      </w:pPr>
    </w:p>
    <w:p>
      <w:pPr>
        <w:pStyle w:val="Heading1"/>
        <w:keepNext/>
      </w:pPr>
      <w:r>
        <w:t>Progress and completion</w:t>
      </w:r>
    </w:p>
    <w:p>
      <w:pPr>
        <w:spacing w:before="0" w:after="120" w:line="300" w:lineRule="auto"/>
      </w:pPr>
      <w:r>
        <w:rPr>
          <w:rFonts w:ascii="Calibri" w:hAnsi="Calibri" w:eastAsia="Calibri"/>
          <w:color w:val="17202A"/>
          <w:sz w:val="22"/>
        </w:rPr>
        <w:t>Decision Mastery tracks XP, accuracy, completed reflections, and items due for review. Correct choices build a streak; incorrect choices return to the review queue. A mission closes only after the correct response and its reasoning reflection are completed.</w:t>
      </w:r>
    </w:p>
    <w:p>
      <w:pPr>
        <w:spacing w:before="0" w:after="120" w:line="300" w:lineRule="auto"/>
      </w:pPr>
      <w:r>
        <w:rPr>
          <w:rFonts w:ascii="Calibri" w:hAnsi="Calibri" w:eastAsia="Calibri"/>
          <w:color w:val="17202A"/>
          <w:sz w:val="22"/>
        </w:rPr>
        <w:t>A stage trophy requires all stage missions to be controlled and all three checkpoint questions to be answered correctly. The trophy belongs to the stage's current period and revision, so changed data creates a fresh checkpoint.</w:t>
      </w:r>
    </w:p>
    <w:p>
      <w:pPr>
        <w:pStyle w:val="Heading2"/>
        <w:keepNext/>
      </w:pPr>
      <w:r>
        <w:t>Ending conditions</w:t>
      </w:r>
    </w:p>
    <w:p>
      <w:pPr>
        <w:spacing w:before="0" w:after="120" w:line="300" w:lineRule="auto"/>
      </w:pPr>
      <w:r>
        <w:rPr>
          <w:rFonts w:ascii="Calibri" w:hAnsi="Calibri" w:eastAsia="Calibri"/>
          <w:b/>
          <w:color w:val="17202A"/>
          <w:sz w:val="22"/>
        </w:rPr>
        <w:t>Success:</w:t>
      </w:r>
      <w:r>
        <w:rPr>
          <w:rFonts w:ascii="Calibri" w:hAnsi="Calibri" w:eastAsia="Calibri"/>
          <w:color w:val="17202A"/>
          <w:sz w:val="22"/>
        </w:rPr>
        <w:t xml:space="preserve"> every current mission is controlled and every current stage trophy is earned before the management window closes.</w:t>
      </w:r>
    </w:p>
    <w:p>
      <w:pPr>
        <w:spacing w:before="0" w:after="120" w:line="300" w:lineRule="auto"/>
      </w:pPr>
      <w:r>
        <w:rPr>
          <w:rFonts w:ascii="Calibri" w:hAnsi="Calibri" w:eastAsia="Calibri"/>
          <w:b/>
          <w:color w:val="17202A"/>
          <w:sz w:val="22"/>
        </w:rPr>
        <w:t>Incomplete campaign:</w:t>
      </w:r>
      <w:r>
        <w:rPr>
          <w:rFonts w:ascii="Calibri" w:hAnsi="Calibri" w:eastAsia="Calibri"/>
          <w:color w:val="17202A"/>
          <w:sz w:val="22"/>
        </w:rPr>
        <w:t xml:space="preserve"> day 30 closes before all current decisions and checkpoints are controlled. The player can review, reset, and try again.</w:t>
      </w:r>
    </w:p>
    <w:p>
      <w:pPr>
        <w:pStyle w:val="Heading1"/>
        <w:keepNext/>
      </w:pPr>
      <w:r>
        <w:t>Quick start</w:t>
      </w:r>
    </w:p>
    <w:p>
      <w:pPr>
        <w:pStyle w:val="ListNumber2"/>
        <w:spacing w:after="80" w:line="300" w:lineRule="auto"/>
        <w:ind w:left="540" w:hanging="271"/>
      </w:pPr>
      <w:r>
        <w:rPr>
          <w:rFonts w:ascii="Calibri" w:hAnsi="Calibri" w:eastAsia="Calibri"/>
          <w:color w:val="17202A"/>
          <w:sz w:val="22"/>
        </w:rPr>
        <w:t>Enter with 654123 on a keyboard, or Tap-Tap, pause, Tap-Tap-Tap on a touchscreen.</w:t>
      </w:r>
    </w:p>
    <w:p>
      <w:pPr>
        <w:pStyle w:val="ListNumber2"/>
        <w:spacing w:after="80" w:line="300" w:lineRule="auto"/>
        <w:ind w:left="540" w:hanging="271"/>
      </w:pPr>
      <w:r>
        <w:rPr>
          <w:rFonts w:ascii="Calibri" w:hAnsi="Calibri" w:eastAsia="Calibri"/>
          <w:color w:val="17202A"/>
          <w:sz w:val="22"/>
        </w:rPr>
        <w:t>Press GO TO PROJECT and allow Ola to travel to the first required stage.</w:t>
      </w:r>
    </w:p>
    <w:p>
      <w:pPr>
        <w:pStyle w:val="ListNumber2"/>
        <w:spacing w:after="80" w:line="300" w:lineRule="auto"/>
        <w:ind w:left="540" w:hanging="271"/>
      </w:pPr>
      <w:r>
        <w:rPr>
          <w:rFonts w:ascii="Calibri" w:hAnsi="Calibri" w:eastAsia="Calibri"/>
          <w:color w:val="17202A"/>
          <w:sz w:val="22"/>
        </w:rPr>
        <w:t>Read the current evidence before selecting an answer.</w:t>
      </w:r>
    </w:p>
    <w:p>
      <w:pPr>
        <w:pStyle w:val="ListNumber2"/>
        <w:spacing w:after="80" w:line="300" w:lineRule="auto"/>
        <w:ind w:left="540" w:hanging="271"/>
      </w:pPr>
      <w:r>
        <w:rPr>
          <w:rFonts w:ascii="Calibri" w:hAnsi="Calibri" w:eastAsia="Calibri"/>
          <w:color w:val="17202A"/>
          <w:sz w:val="22"/>
        </w:rPr>
        <w:t>Choose confidence honestly, then complete the reasoning reflection.</w:t>
      </w:r>
    </w:p>
    <w:p>
      <w:pPr>
        <w:pStyle w:val="ListNumber2"/>
        <w:spacing w:after="80" w:line="300" w:lineRule="auto"/>
        <w:ind w:left="540" w:hanging="271"/>
      </w:pPr>
      <w:r>
        <w:rPr>
          <w:rFonts w:ascii="Calibri" w:hAnsi="Calibri" w:eastAsia="Calibri"/>
          <w:color w:val="17202A"/>
          <w:sz w:val="22"/>
        </w:rPr>
        <w:t>Finish all missions, pass the stage checkpoint, and collect the trophy.</w:t>
      </w:r>
    </w:p>
    <w:p>
      <w:pPr>
        <w:pStyle w:val="ListNumber2"/>
        <w:spacing w:after="80" w:line="300" w:lineRule="auto"/>
        <w:ind w:left="540" w:hanging="271"/>
      </w:pPr>
      <w:r>
        <w:rPr>
          <w:rFonts w:ascii="Calibri" w:hAnsi="Calibri" w:eastAsia="Calibri"/>
          <w:color w:val="17202A"/>
          <w:sz w:val="22"/>
        </w:rPr>
        <w:t>Watch time and needs; management closes at 21:00.</w:t>
      </w:r>
    </w:p>
    <w:p>
      <w:pPr>
        <w:pStyle w:val="ListNumber2"/>
        <w:spacing w:after="80" w:line="300" w:lineRule="auto"/>
        <w:ind w:left="540" w:hanging="271"/>
      </w:pPr>
      <w:r>
        <w:rPr>
          <w:rFonts w:ascii="Calibri" w:hAnsi="Calibri" w:eastAsia="Calibri"/>
          <w:color w:val="17202A"/>
          <w:sz w:val="22"/>
        </w:rPr>
        <w:t>Repeat until all current stages are controlled.</w:t>
      </w:r>
    </w:p>
    <w:tbl>
      <w:tblPr>
        <w:tblW w:type="dxa" w:w="9360"/>
        <w:jc w:val="left"/>
        <w:tblLayout w:type="fixed"/>
        <w:tblLook w:firstColumn="1" w:firstRow="1" w:lastColumn="0" w:lastRow="0" w:noHBand="0" w:noVBand="1" w:val="04A0"/>
        <w:tblInd w:w="120" w:type="dxa"/>
        <w:tblBorders>
          <w:top w:val="single" w:sz="10" w:color="D9A63A"/>
          <w:left w:val="single" w:sz="10" w:color="D9A63A"/>
          <w:bottom w:val="single" w:sz="10" w:color="D9A63A"/>
          <w:right w:val="single" w:sz="10" w:color="D9A63A"/>
          <w:insideH w:val="single" w:sz="10" w:color="D9A63A"/>
          <w:insideV w:val="single" w:sz="10" w:color="D9A63A"/>
        </w:tblBorders>
      </w:tblPr>
      <w:tblGrid>
        <w:gridCol w:w="9360"/>
      </w:tblGrid>
      <w:tr>
        <w:tc>
          <w:tcPr>
            <w:tcW w:type="dxa" w:w="9360"/>
            <w:tcMar>
              <w:top w:w="80" w:type="dxa"/>
              <w:start w:w="120" w:type="dxa"/>
              <w:bottom w:w="80" w:type="dxa"/>
              <w:end w:w="120" w:type="dxa"/>
            </w:tcMar>
            <w:vAlign w:val="center"/>
            <w:shd w:fill="FFF4D6"/>
          </w:tcPr>
          <w:p>
            <w:pPr>
              <w:spacing w:after="40"/>
            </w:pPr>
            <w:r>
              <w:rPr>
                <w:rFonts w:ascii="Calibri" w:hAnsi="Calibri" w:eastAsia="Calibri"/>
                <w:b/>
                <w:color w:val="10263A"/>
                <w:sz w:val="18"/>
              </w:rPr>
              <w:t>THE INTENDED OUTCOME</w:t>
            </w:r>
          </w:p>
          <w:p>
            <w:pPr>
              <w:spacing w:before="0" w:after="0" w:line="288" w:lineRule="auto"/>
            </w:pPr>
            <w:r>
              <w:rPr>
                <w:rFonts w:ascii="Calibri" w:hAnsi="Calibri" w:eastAsia="Calibri"/>
                <w:b/>
                <w:color w:val="17202A"/>
                <w:sz w:val="22"/>
              </w:rPr>
              <w:t>A player who can carry the same controlled reasoning into a new project, a new reporting period, and a new set of figures.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2606D"/>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C9D3DE"/>
      </w:pBdr>
    </w:pPr>
    <w:r>
      <w:rPr>
        <w:rFonts w:ascii="Calibri" w:hAnsi="Calibri" w:eastAsia="Calibri"/>
        <w:b/>
        <w:color w:val="52606D"/>
        <w:sz w:val="17"/>
      </w:rPr>
      <w:t>OLA: RISE  |  GAME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ind w:left="540" w:hanging="271"/>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OLA: RISE - Game Summary</dc:title>
  <dc:subject>Purpose, gameplay, learning objectives, and controls</dc:subject>
  <dc:creator/>
  <cp:keywords/>
  <dc:description/>
  <cp:lastModifiedBy/>
  <cp:revision>1</cp:revision>
  <dcterms:created xsi:type="dcterms:W3CDTF">2013-12-23T23:15:00Z</dcterms:created>
  <dcterms:modified xsi:type="dcterms:W3CDTF">2013-12-23T23:15:00Z</dcterms:modified>
  <cp:category/>
</cp:coreProperties>
</file>