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 w:line="240" w:lineRule="auto"/>
      </w:pPr>
      <w:r>
        <w:rPr>
          <w:rFonts w:ascii="Calibri" w:hAnsi="Calibri"/>
          <w:b/>
          <w:i w:val="0"/>
          <w:color w:val="0F7C82"/>
          <w:sz w:val="20"/>
        </w:rPr>
        <w:t>MANAGEMENT PRESENTATION</w:t>
      </w:r>
    </w:p>
    <w:p>
      <w:pPr>
        <w:spacing w:before="0" w:after="80" w:line="240" w:lineRule="auto"/>
      </w:pPr>
      <w:r>
        <w:rPr>
          <w:rFonts w:ascii="Calibri" w:hAnsi="Calibri"/>
          <w:b/>
          <w:i w:val="0"/>
          <w:color w:val="0B2545"/>
          <w:sz w:val="54"/>
        </w:rPr>
        <w:t>Board Presentation Guide</w:t>
      </w:r>
    </w:p>
    <w:p>
      <w:pPr>
        <w:spacing w:before="0" w:after="360" w:line="276" w:lineRule="auto"/>
      </w:pPr>
      <w:r>
        <w:rPr>
          <w:rFonts w:ascii="Calibri" w:hAnsi="Calibri"/>
          <w:b w:val="0"/>
          <w:i w:val="0"/>
          <w:color w:val="617083"/>
          <w:sz w:val="26"/>
        </w:rPr>
        <w:t>Plain-English narrative for presenting Project Intelligence Hub to board members, executive management and project directors.</w:t>
      </w:r>
    </w:p>
    <w:p>
      <w:pPr>
        <w:spacing w:before="0" w:after="240" w:line="240" w:lineRule="auto"/>
        <w:pBdr>
          <w:bottom w:val="single" w:sz="16" w:space="6" w:color="0F7C82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83"/>
        <w:gridCol w:w="6883"/>
      </w:tblGrid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Audience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B263B"/>
                <w:sz w:val="19"/>
              </w:rPr>
              <w:t>Board members, executive management and project directors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Recommended duration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B263B"/>
                <w:sz w:val="19"/>
              </w:rPr>
              <w:t>15 to 20 minutes, followed by live project demonstration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Presenter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B263B"/>
                <w:sz w:val="19"/>
              </w:rPr>
              <w:t>Engr. Ahmed Labib | Planning Department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Purpose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B263B"/>
                <w:sz w:val="19"/>
              </w:rPr>
              <w:t>Explain the controls value, evidence source, governance limits and rollout decision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  <w:shd w:fill="E8EEF5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Generated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 w:val="0"/>
                <w:i w:val="0"/>
                <w:color w:val="1B263B"/>
                <w:sz w:val="19"/>
              </w:rPr>
              <w:t>01 August 2026, 05:03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766"/>
      </w:tblGrid>
      <w:tr>
        <w:tc>
          <w:tcPr>
            <w:tcW w:type="dxa" w:w="1376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0F7C82"/>
              <w:left w:val="single" w:sz="4" w:color="0F7C82"/>
              <w:bottom w:val="single" w:sz="4" w:color="0F7C82"/>
              <w:right w:val="single" w:sz="4" w:color="0F7C82"/>
            </w:tcBorders>
            <w:shd w:fill="E7F5F4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Presentation rule: </w:t>
            </w:r>
            <w:r>
              <w:rPr>
                <w:rFonts w:ascii="Calibri" w:hAnsi="Calibri"/>
                <w:b w:val="0"/>
                <w:i w:val="0"/>
                <w:color w:val="1B263B"/>
                <w:sz w:val="20"/>
              </w:rPr>
              <w:t>Speak in simple business language. Show the live system only after explaining that every management number is traceable to the owning project folder and that missing evidence remains visible.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The Management Problem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766"/>
      </w:tblGrid>
      <w:tr>
        <w:tc>
          <w:tcPr>
            <w:tcW w:type="dxa" w:w="1376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0F7C82"/>
              <w:left w:val="single" w:sz="4" w:color="0F7C82"/>
              <w:bottom w:val="single" w:sz="4" w:color="0F7C82"/>
              <w:right w:val="single" w:sz="4" w:color="0F7C82"/>
            </w:tcBorders>
            <w:shd w:fill="E7F5F4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Say this: </w:t>
            </w:r>
            <w:r>
              <w:rPr>
                <w:rFonts w:ascii="Calibri" w:hAnsi="Calibri"/>
                <w:b w:val="0"/>
                <w:i w:val="0"/>
                <w:color w:val="1B263B"/>
                <w:sz w:val="20"/>
              </w:rPr>
              <w:t>Management receives schedules, payment status, claims, letters and risk information in different formats and at different times. This makes it hard to see what decision is needed now.</w:t>
            </w:r>
          </w:p>
        </w:tc>
      </w:tr>
    </w:tbl>
    <w:p>
      <w:pPr>
        <w:spacing w:after="40"/>
      </w:pPr>
    </w:p>
    <w:p>
      <w:pPr>
        <w:pStyle w:val="Heading2"/>
      </w:pPr>
      <w:r>
        <w:t>Show this in the live app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Open the Decision Making Dashboard. Point to the portfolio KPIs and decision brief.</w:t>
      </w:r>
    </w:p>
    <w:p>
      <w:pPr>
        <w:pStyle w:val="Heading2"/>
      </w:pPr>
      <w:r>
        <w:t>Key message for the board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The system does not replace project teams. It gives management one controlled view of information already owned by the projects.</w:t>
      </w:r>
    </w:p>
    <w:p>
      <w:pPr>
        <w:pStyle w:val="Heading2"/>
      </w:pPr>
      <w:r>
        <w:t>Likely board question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How will this improve decision speed?</w:t>
      </w:r>
    </w:p>
    <w:p>
      <w:pPr>
        <w:pStyle w:val="Heading2"/>
      </w:pPr>
      <w:r>
        <w:t>Recommended answer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It replaces manual collection from multiple spreadsheets with a controlled view of decision triggers, evidence gaps and owners.</w:t>
      </w:r>
    </w:p>
    <w:p>
      <w:r>
        <w:br w:type="page"/>
      </w:r>
    </w:p>
    <w:p>
      <w:pPr>
        <w:pStyle w:val="Heading1"/>
      </w:pPr>
      <w:r>
        <w:t>2. What the Hub Does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766"/>
      </w:tblGrid>
      <w:tr>
        <w:tc>
          <w:tcPr>
            <w:tcW w:type="dxa" w:w="1376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0F7C82"/>
              <w:left w:val="single" w:sz="4" w:color="0F7C82"/>
              <w:bottom w:val="single" w:sz="4" w:color="0F7C82"/>
              <w:right w:val="single" w:sz="4" w:color="0F7C82"/>
            </w:tcBorders>
            <w:shd w:fill="E7F5F4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Say this: </w:t>
            </w:r>
            <w:r>
              <w:rPr>
                <w:rFonts w:ascii="Calibri" w:hAnsi="Calibri"/>
                <w:b w:val="0"/>
                <w:i w:val="0"/>
                <w:color w:val="1B263B"/>
                <w:sz w:val="20"/>
              </w:rPr>
              <w:t>Project Intelligence Hub collects project-control information into one system. It shows the portfolio view first, then lets management enter a selected project workspace without opening a different product.</w:t>
            </w:r>
          </w:p>
        </w:tc>
      </w:tr>
    </w:tbl>
    <w:p>
      <w:pPr>
        <w:spacing w:after="40"/>
      </w:pPr>
    </w:p>
    <w:p>
      <w:pPr>
        <w:pStyle w:val="Heading2"/>
      </w:pPr>
      <w:r>
        <w:t>Show this in the live app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Use the selector to move between Decision Making Dashboard and one project.</w:t>
      </w:r>
    </w:p>
    <w:p>
      <w:pPr>
        <w:pStyle w:val="Heading2"/>
      </w:pPr>
      <w:r>
        <w:t>Key message for the board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The portfolio view is clearly portfolio-level. A selected project view uses only that project's evidence.</w:t>
      </w:r>
    </w:p>
    <w:p>
      <w:pPr>
        <w:pStyle w:val="Heading2"/>
      </w:pPr>
      <w:r>
        <w:t>Likely board question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Is this a replacement for our existing systems?</w:t>
      </w:r>
    </w:p>
    <w:p>
      <w:pPr>
        <w:pStyle w:val="Heading2"/>
      </w:pPr>
      <w:r>
        <w:t>Recommended answer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No. It is a management intelligence layer over project controls, contracts, letters and schedules. It keeps source files in their controlled folders.</w:t>
      </w:r>
    </w:p>
    <w:p>
      <w:r>
        <w:br w:type="page"/>
      </w:r>
    </w:p>
    <w:p>
      <w:pPr>
        <w:pStyle w:val="Heading1"/>
      </w:pPr>
      <w:r>
        <w:t>3. Data Is Kept Separate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766"/>
      </w:tblGrid>
      <w:tr>
        <w:tc>
          <w:tcPr>
            <w:tcW w:type="dxa" w:w="1376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0F7C82"/>
              <w:left w:val="single" w:sz="4" w:color="0F7C82"/>
              <w:bottom w:val="single" w:sz="4" w:color="0F7C82"/>
              <w:right w:val="single" w:sz="4" w:color="0F7C82"/>
            </w:tcBorders>
            <w:shd w:fill="E7F5F4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Say this: </w:t>
            </w:r>
            <w:r>
              <w:rPr>
                <w:rFonts w:ascii="Calibri" w:hAnsi="Calibri"/>
                <w:b w:val="0"/>
                <w:i w:val="0"/>
                <w:color w:val="1B263B"/>
                <w:sz w:val="20"/>
              </w:rPr>
              <w:t>Each project has its own folder, identity and project_id. This prevents one project's contract, delay, letter or report from appearing in another project.</w:t>
            </w:r>
          </w:p>
        </w:tc>
      </w:tr>
    </w:tbl>
    <w:p>
      <w:pPr>
        <w:spacing w:after="40"/>
      </w:pPr>
    </w:p>
    <w:p>
      <w:pPr>
        <w:pStyle w:val="Heading2"/>
      </w:pPr>
      <w:r>
        <w:t>Show this in the live app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Show the project folder standard or the active-project badge.</w:t>
      </w:r>
    </w:p>
    <w:p>
      <w:pPr>
        <w:pStyle w:val="Heading2"/>
      </w:pPr>
      <w:r>
        <w:t>Key message for the board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When data is missing, the system shows a setup or data-quality message. It does not borrow information from another project.</w:t>
      </w:r>
    </w:p>
    <w:p>
      <w:pPr>
        <w:pStyle w:val="Heading2"/>
      </w:pPr>
      <w:r>
        <w:t>Likely board question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How do we prevent project data mixing?</w:t>
      </w:r>
    </w:p>
    <w:p>
      <w:pPr>
        <w:pStyle w:val="Heading2"/>
      </w:pPr>
      <w:r>
        <w:t>Recommended answer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project_id, manifest-based discovery and project_context bind every loader, output, report and AI context to one project. Automated tests check this.</w:t>
      </w:r>
    </w:p>
    <w:p>
      <w:r>
        <w:br w:type="page"/>
      </w:r>
    </w:p>
    <w:p>
      <w:pPr>
        <w:pStyle w:val="Heading1"/>
      </w:pPr>
      <w:r>
        <w:t>4. Decision Making Dashboard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766"/>
      </w:tblGrid>
      <w:tr>
        <w:tc>
          <w:tcPr>
            <w:tcW w:type="dxa" w:w="1376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0F7C82"/>
              <w:left w:val="single" w:sz="4" w:color="0F7C82"/>
              <w:bottom w:val="single" w:sz="4" w:color="0F7C82"/>
              <w:right w:val="single" w:sz="4" w:color="0F7C82"/>
            </w:tcBorders>
            <w:shd w:fill="E7F5F4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Say this: </w:t>
            </w:r>
            <w:r>
              <w:rPr>
                <w:rFonts w:ascii="Calibri" w:hAnsi="Calibri"/>
                <w:b w:val="0"/>
                <w:i w:val="0"/>
                <w:color w:val="1B263B"/>
                <w:sz w:val="20"/>
              </w:rPr>
              <w:t>The dashboard brings together contract value, paid value, progress, delay, risk, claims exposure, SPI, CPI and data confidence. It also highlights the decisions that need an owner.</w:t>
            </w:r>
          </w:p>
        </w:tc>
      </w:tr>
    </w:tbl>
    <w:p>
      <w:pPr>
        <w:spacing w:after="40"/>
      </w:pPr>
    </w:p>
    <w:p>
      <w:pPr>
        <w:pStyle w:val="Heading2"/>
      </w:pPr>
      <w:r>
        <w:t>Show this in the live app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Show portfolio KPI cards, early warnings, sector analysis and management decision brief.</w:t>
      </w:r>
    </w:p>
    <w:p>
      <w:pPr>
        <w:pStyle w:val="Heading2"/>
      </w:pPr>
      <w:r>
        <w:t>Key message for the board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The cards are not manual numbers. They are calculated from the active project records and refresh after the source files are updated.</w:t>
      </w:r>
    </w:p>
    <w:p>
      <w:pPr>
        <w:pStyle w:val="Heading2"/>
      </w:pPr>
      <w:r>
        <w:t>Likely board question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Can we trust the KPI values?</w:t>
      </w:r>
    </w:p>
    <w:p>
      <w:pPr>
        <w:pStyle w:val="Heading2"/>
      </w:pPr>
      <w:r>
        <w:t>Recommended answer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Values are source-backed and show data confidence. Invalid or missing values are shown as N/A or warnings, not silently corrected.</w:t>
      </w:r>
    </w:p>
    <w:p>
      <w:r>
        <w:br w:type="page"/>
      </w:r>
    </w:p>
    <w:p>
      <w:pPr>
        <w:pStyle w:val="Heading1"/>
      </w:pPr>
      <w:r>
        <w:t>5. Project Controls in One Place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766"/>
      </w:tblGrid>
      <w:tr>
        <w:tc>
          <w:tcPr>
            <w:tcW w:type="dxa" w:w="1376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0F7C82"/>
              <w:left w:val="single" w:sz="4" w:color="0F7C82"/>
              <w:bottom w:val="single" w:sz="4" w:color="0F7C82"/>
              <w:right w:val="single" w:sz="4" w:color="0F7C82"/>
            </w:tcBorders>
            <w:shd w:fill="E7F5F4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Say this: </w:t>
            </w:r>
            <w:r>
              <w:rPr>
                <w:rFonts w:ascii="Calibri" w:hAnsi="Calibri"/>
                <w:b w:val="0"/>
                <w:i w:val="0"/>
                <w:color w:val="1B263B"/>
                <w:sz w:val="20"/>
              </w:rPr>
              <w:t>For a selected project, the workspace covers overview, WBS, activities, milestones, S-curve, EVM, contracts, letters, risks, Delay TIA, claims, technical advice, conference review and Output Studio.</w:t>
            </w:r>
          </w:p>
        </w:tc>
      </w:tr>
    </w:tbl>
    <w:p>
      <w:pPr>
        <w:spacing w:after="40"/>
      </w:pPr>
    </w:p>
    <w:p>
      <w:pPr>
        <w:pStyle w:val="Heading2"/>
      </w:pPr>
      <w:r>
        <w:t>Show this in the live app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Open two or three representative tabs only. Keep one active panel visible at a time.</w:t>
      </w:r>
    </w:p>
    <w:p>
      <w:pPr>
        <w:pStyle w:val="Heading2"/>
      </w:pPr>
      <w:r>
        <w:t>Key message for the board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Each tab is designed to answer a management question: where are we, what is at risk, what is the evidence, and what should happen next?</w:t>
      </w:r>
    </w:p>
    <w:p>
      <w:pPr>
        <w:pStyle w:val="Heading2"/>
      </w:pPr>
      <w:r>
        <w:t>Likely board question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What information is still missing?</w:t>
      </w:r>
    </w:p>
    <w:p>
      <w:pPr>
        <w:pStyle w:val="Heading2"/>
      </w:pPr>
      <w:r>
        <w:t>Recommended answer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The app identifies exactly which source file or evidence is missing, so the project team can close the correct gap.</w:t>
      </w:r>
    </w:p>
    <w:p>
      <w:r>
        <w:br w:type="page"/>
      </w:r>
    </w:p>
    <w:p>
      <w:pPr>
        <w:pStyle w:val="Heading1"/>
      </w:pPr>
      <w:r>
        <w:t>6. Delay Analysis and Time Impact Analysis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766"/>
      </w:tblGrid>
      <w:tr>
        <w:tc>
          <w:tcPr>
            <w:tcW w:type="dxa" w:w="1376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0F7C82"/>
              <w:left w:val="single" w:sz="4" w:color="0F7C82"/>
              <w:bottom w:val="single" w:sz="4" w:color="0F7C82"/>
              <w:right w:val="single" w:sz="4" w:color="0F7C82"/>
            </w:tcBorders>
            <w:shd w:fill="E7F5F4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Say this: </w:t>
            </w:r>
            <w:r>
              <w:rPr>
                <w:rFonts w:ascii="Calibri" w:hAnsi="Calibri"/>
                <w:b w:val="0"/>
                <w:i w:val="0"/>
                <w:color w:val="1B263B"/>
                <w:sz w:val="20"/>
              </w:rPr>
              <w:t>The Delay TIA module organizes P6 data, relationships, supply events, IFC issues, RFIs, payments, mitigation and concurrency. It distinguishes an observed delay from a proven entitlement.</w:t>
            </w:r>
          </w:p>
        </w:tc>
      </w:tr>
    </w:tbl>
    <w:p>
      <w:pPr>
        <w:spacing w:after="40"/>
      </w:pPr>
    </w:p>
    <w:p>
      <w:pPr>
        <w:pStyle w:val="Heading2"/>
      </w:pPr>
      <w:r>
        <w:t>Show this in the live app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Show Tables &amp; Conclusion, then the relationship logic / fragnet evidence.</w:t>
      </w:r>
    </w:p>
    <w:p>
      <w:pPr>
        <w:pStyle w:val="Heading2"/>
      </w:pPr>
      <w:r>
        <w:t>Key message for the board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The system never promises EOT automatically. Non-recalculated results are marked indicative until Primavera P6 verification.</w:t>
      </w:r>
    </w:p>
    <w:p>
      <w:pPr>
        <w:pStyle w:val="Heading2"/>
      </w:pPr>
      <w:r>
        <w:t>Likely board question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Does it calculate final EOT entitlement?</w:t>
      </w:r>
    </w:p>
    <w:p>
      <w:pPr>
        <w:pStyle w:val="Heading2"/>
      </w:pPr>
      <w:r>
        <w:t>Recommended answer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No. It prepares evidence, fragnet and concurrency analysis. Final EOT needs a verified Primavera P6 recalculation and contractual determination.</w:t>
      </w:r>
    </w:p>
    <w:p>
      <w:r>
        <w:br w:type="page"/>
      </w:r>
    </w:p>
    <w:p>
      <w:pPr>
        <w:pStyle w:val="Heading1"/>
      </w:pPr>
      <w:r>
        <w:t>7. Contracts, Claims and Letters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766"/>
      </w:tblGrid>
      <w:tr>
        <w:tc>
          <w:tcPr>
            <w:tcW w:type="dxa" w:w="1376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0F7C82"/>
              <w:left w:val="single" w:sz="4" w:color="0F7C82"/>
              <w:bottom w:val="single" w:sz="4" w:color="0F7C82"/>
              <w:right w:val="single" w:sz="4" w:color="0F7C82"/>
            </w:tcBorders>
            <w:shd w:fill="E7F5F4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Say this: </w:t>
            </w:r>
            <w:r>
              <w:rPr>
                <w:rFonts w:ascii="Calibri" w:hAnsi="Calibri"/>
                <w:b w:val="0"/>
                <w:i w:val="0"/>
                <w:color w:val="1B263B"/>
                <w:sz w:val="20"/>
              </w:rPr>
              <w:t>The Hub joins contract clauses, evidence folders and correspondence. It helps the team see notice risk, missing evidence, linked letters and a defendable claim position.</w:t>
            </w:r>
          </w:p>
        </w:tc>
      </w:tr>
    </w:tbl>
    <w:p>
      <w:pPr>
        <w:spacing w:after="40"/>
      </w:pPr>
    </w:p>
    <w:p>
      <w:pPr>
        <w:pStyle w:val="Heading2"/>
      </w:pPr>
      <w:r>
        <w:t>Show this in the live app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Show Letters Intelligence issue threads and Contract &amp; Claims evidence mapping.</w:t>
      </w:r>
    </w:p>
    <w:p>
      <w:pPr>
        <w:pStyle w:val="Heading2"/>
      </w:pPr>
      <w:r>
        <w:t>Key message for the board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A claim is stronger when its event, clause, notice, evidence and schedule impact are connected. The system exposes gaps rather than hiding them.</w:t>
      </w:r>
    </w:p>
    <w:p>
      <w:pPr>
        <w:pStyle w:val="Heading2"/>
      </w:pPr>
      <w:r>
        <w:t>Likely board question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Can the system help us defend a claim?</w:t>
      </w:r>
    </w:p>
    <w:p>
      <w:pPr>
        <w:pStyle w:val="Heading2"/>
      </w:pPr>
      <w:r>
        <w:t>Recommended answer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It improves traceability and readiness by mapping events to clauses, letters, evidence and schedule impact. Legal/contractual approval still belongs to the responsible team.</w:t>
      </w:r>
    </w:p>
    <w:p>
      <w:r>
        <w:br w:type="page"/>
      </w:r>
    </w:p>
    <w:p>
      <w:pPr>
        <w:pStyle w:val="Heading1"/>
      </w:pPr>
      <w:r>
        <w:t>8. AI as a Controlled Advisor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766"/>
      </w:tblGrid>
      <w:tr>
        <w:tc>
          <w:tcPr>
            <w:tcW w:type="dxa" w:w="1376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0F7C82"/>
              <w:left w:val="single" w:sz="4" w:color="0F7C82"/>
              <w:bottom w:val="single" w:sz="4" w:color="0F7C82"/>
              <w:right w:val="single" w:sz="4" w:color="0F7C82"/>
            </w:tcBorders>
            <w:shd w:fill="E7F5F4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Say this: </w:t>
            </w:r>
            <w:r>
              <w:rPr>
                <w:rFonts w:ascii="Calibri" w:hAnsi="Calibri"/>
                <w:b w:val="0"/>
                <w:i w:val="0"/>
                <w:color w:val="1B263B"/>
                <w:sz w:val="20"/>
              </w:rPr>
              <w:t>AI can explain available project data, technical knowledge and evidence gaps. It is not allowed to invent cost, delay, dates, clauses or project facts.</w:t>
            </w:r>
          </w:p>
        </w:tc>
      </w:tr>
    </w:tbl>
    <w:p>
      <w:pPr>
        <w:spacing w:after="40"/>
      </w:pPr>
    </w:p>
    <w:p>
      <w:pPr>
        <w:pStyle w:val="Heading2"/>
      </w:pPr>
      <w:r>
        <w:t>Show this in the live app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Open the AI panel or Technical Advisor. Ask an example question.</w:t>
      </w:r>
    </w:p>
    <w:p>
      <w:pPr>
        <w:pStyle w:val="Heading2"/>
      </w:pPr>
      <w:r>
        <w:t>Key message for the board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AI answers separate confirmed project evidence, inference, missing evidence and general guidance. The selected-project AI context cannot use another project's data.</w:t>
      </w:r>
    </w:p>
    <w:p>
      <w:pPr>
        <w:pStyle w:val="Heading2"/>
      </w:pPr>
      <w:r>
        <w:t>Likely board question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Can AI make a wrong statement?</w:t>
      </w:r>
    </w:p>
    <w:p>
      <w:pPr>
        <w:pStyle w:val="Heading2"/>
      </w:pPr>
      <w:r>
        <w:t>Recommended answer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The AI is constrained to current app data and the shared knowledge bank. It must identify missing evidence and cannot present assumptions as confirmed project facts.</w:t>
      </w:r>
    </w:p>
    <w:p>
      <w:r>
        <w:br w:type="page"/>
      </w:r>
    </w:p>
    <w:p>
      <w:pPr>
        <w:pStyle w:val="Heading1"/>
      </w:pPr>
      <w:r>
        <w:t>9. Reports and Outputs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766"/>
      </w:tblGrid>
      <w:tr>
        <w:tc>
          <w:tcPr>
            <w:tcW w:type="dxa" w:w="1376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0F7C82"/>
              <w:left w:val="single" w:sz="4" w:color="0F7C82"/>
              <w:bottom w:val="single" w:sz="4" w:color="0F7C82"/>
              <w:right w:val="single" w:sz="4" w:color="0F7C82"/>
            </w:tcBorders>
            <w:shd w:fill="E7F5F4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Say this: </w:t>
            </w:r>
            <w:r>
              <w:rPr>
                <w:rFonts w:ascii="Calibri" w:hAnsi="Calibri"/>
                <w:b w:val="0"/>
                <w:i w:val="0"/>
                <w:color w:val="1B263B"/>
                <w:sz w:val="20"/>
              </w:rPr>
              <w:t>Output Studio prepares a consistent executive, master, elite chart and linked dashboard package. The same selected-project metric payload supports HTML, PDF and PowerPoint files.</w:t>
            </w:r>
          </w:p>
        </w:tc>
      </w:tr>
    </w:tbl>
    <w:p>
      <w:pPr>
        <w:spacing w:after="40"/>
      </w:pPr>
    </w:p>
    <w:p>
      <w:pPr>
        <w:pStyle w:val="Heading2"/>
      </w:pPr>
      <w:r>
        <w:t>Show this in the live app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Show a report manifest or a direct download link.</w:t>
      </w:r>
    </w:p>
    <w:p>
      <w:pPr>
        <w:pStyle w:val="Heading2"/>
      </w:pPr>
      <w:r>
        <w:t>Key message for the board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Direct download links are used alongside JavaScript support so reports work on desktop, Android and iOS.</w:t>
      </w:r>
    </w:p>
    <w:p>
      <w:pPr>
        <w:pStyle w:val="Heading2"/>
      </w:pPr>
      <w:r>
        <w:t>Likely board question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Can reports be shared without desktop software?</w:t>
      </w:r>
    </w:p>
    <w:p>
      <w:pPr>
        <w:pStyle w:val="Heading2"/>
      </w:pPr>
      <w:r>
        <w:t>Recommended answer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Yes. The generated HTML, PDF and PowerPoint files have direct project-scoped download links designed for desktop and mobile browsers.</w:t>
      </w:r>
    </w:p>
    <w:p>
      <w:r>
        <w:br w:type="page"/>
      </w:r>
    </w:p>
    <w:p>
      <w:pPr>
        <w:pStyle w:val="Heading1"/>
      </w:pPr>
      <w:r>
        <w:t>10. Data Trust and Governance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766"/>
      </w:tblGrid>
      <w:tr>
        <w:tc>
          <w:tcPr>
            <w:tcW w:type="dxa" w:w="1376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0F7C82"/>
              <w:left w:val="single" w:sz="4" w:color="0F7C82"/>
              <w:bottom w:val="single" w:sz="4" w:color="0F7C82"/>
              <w:right w:val="single" w:sz="4" w:color="0F7C82"/>
            </w:tcBorders>
            <w:shd w:fill="E7F5F4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Say this: </w:t>
            </w:r>
            <w:r>
              <w:rPr>
                <w:rFonts w:ascii="Calibri" w:hAnsi="Calibri"/>
                <w:b w:val="0"/>
                <w:i w:val="0"/>
                <w:color w:val="1B263B"/>
                <w:sz w:val="20"/>
              </w:rPr>
              <w:t>A data guardrail layer checks suspicious values, missing fields and incomplete evidence. It produces warnings for management and can block publishing if governance chooses that policy later.</w:t>
            </w:r>
          </w:p>
        </w:tc>
      </w:tr>
    </w:tbl>
    <w:p>
      <w:pPr>
        <w:spacing w:after="40"/>
      </w:pPr>
    </w:p>
    <w:p>
      <w:pPr>
        <w:pStyle w:val="Heading2"/>
      </w:pPr>
      <w:r>
        <w:t>Show this in the live app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Show data confidence or guardrail status.</w:t>
      </w:r>
    </w:p>
    <w:p>
      <w:pPr>
        <w:pStyle w:val="Heading2"/>
      </w:pPr>
      <w:r>
        <w:t>Key message for the board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Good management decisions require visible quality limits. The Hub makes data quality a decision input rather than an afterthought.</w:t>
      </w:r>
    </w:p>
    <w:p>
      <w:pPr>
        <w:pStyle w:val="Heading2"/>
      </w:pPr>
      <w:r>
        <w:t>Likely board question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What happens when data is incomplete?</w:t>
      </w:r>
    </w:p>
    <w:p>
      <w:pPr>
        <w:pStyle w:val="Heading2"/>
      </w:pPr>
      <w:r>
        <w:t>Recommended answer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The guardrail and module empty states expose the issue. Management can decide whether to collect the evidence, accept an assumption or defer a decision.</w:t>
      </w:r>
    </w:p>
    <w:p>
      <w:r>
        <w:br w:type="page"/>
      </w:r>
    </w:p>
    <w:p>
      <w:pPr>
        <w:pStyle w:val="Heading1"/>
      </w:pPr>
      <w:r>
        <w:t>11. Automation and Publishing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766"/>
      </w:tblGrid>
      <w:tr>
        <w:tc>
          <w:tcPr>
            <w:tcW w:type="dxa" w:w="1376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0F7C82"/>
              <w:left w:val="single" w:sz="4" w:color="0F7C82"/>
              <w:bottom w:val="single" w:sz="4" w:color="0F7C82"/>
              <w:right w:val="single" w:sz="4" w:color="0F7C82"/>
            </w:tcBorders>
            <w:shd w:fill="E7F5F4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Say this: </w:t>
            </w:r>
            <w:r>
              <w:rPr>
                <w:rFonts w:ascii="Calibri" w:hAnsi="Calibri"/>
                <w:b w:val="0"/>
                <w:i w:val="0"/>
                <w:color w:val="1B263B"/>
                <w:sz w:val="20"/>
              </w:rPr>
              <w:t>The local project folders remain the controlled source. When source content changes, the watcher generates project payloads, tests the system, publishes to GitHub and deploys Vercel.</w:t>
            </w:r>
          </w:p>
        </w:tc>
      </w:tr>
    </w:tbl>
    <w:p>
      <w:pPr>
        <w:spacing w:after="40"/>
      </w:pPr>
    </w:p>
    <w:p>
      <w:pPr>
        <w:pStyle w:val="Heading2"/>
      </w:pPr>
      <w:r>
        <w:t>Show this in the live app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Show the pipeline diagram or log summary.</w:t>
      </w:r>
    </w:p>
    <w:p>
      <w:pPr>
        <w:pStyle w:val="Heading2"/>
      </w:pPr>
      <w:r>
        <w:t>Key message for the board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This keeps the public management view aligned with local control data while avoiding uncontrolled browser uploads into project evidence folders.</w:t>
      </w:r>
    </w:p>
    <w:p>
      <w:pPr>
        <w:pStyle w:val="Heading2"/>
      </w:pPr>
      <w:r>
        <w:t>Likely board question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Who controls publishing and deployment?</w:t>
      </w:r>
    </w:p>
    <w:p>
      <w:pPr>
        <w:pStyle w:val="Heading2"/>
      </w:pPr>
      <w:r>
        <w:t>Recommended answer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The controlled local machine owns source ingestion and the watcher. The validated pipeline records its state and publishes only after build and validation checks pass.</w:t>
      </w:r>
    </w:p>
    <w:p>
      <w:r>
        <w:br w:type="page"/>
      </w:r>
    </w:p>
    <w:p>
      <w:pPr>
        <w:pStyle w:val="Heading1"/>
      </w:pPr>
      <w:r>
        <w:t>12. Board Decision Requested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766"/>
      </w:tblGrid>
      <w:tr>
        <w:tc>
          <w:tcPr>
            <w:tcW w:type="dxa" w:w="1376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single" w:sz="4" w:color="0F7C82"/>
              <w:left w:val="single" w:sz="4" w:color="0F7C82"/>
              <w:bottom w:val="single" w:sz="4" w:color="0F7C82"/>
              <w:right w:val="single" w:sz="4" w:color="0F7C82"/>
            </w:tcBorders>
            <w:shd w:fill="E7F5F4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 xml:space="preserve">Say this: </w:t>
            </w:r>
            <w:r>
              <w:rPr>
                <w:rFonts w:ascii="Calibri" w:hAnsi="Calibri"/>
                <w:b w:val="0"/>
                <w:i w:val="0"/>
                <w:color w:val="1B263B"/>
                <w:sz w:val="20"/>
              </w:rPr>
              <w:t>Approve a phased operating model: standardize the project folders, appoint data owners, run a weekly controls review, and use the Hub as the common management evidence view.</w:t>
            </w:r>
          </w:p>
        </w:tc>
      </w:tr>
    </w:tbl>
    <w:p>
      <w:pPr>
        <w:spacing w:after="40"/>
      </w:pPr>
    </w:p>
    <w:p>
      <w:pPr>
        <w:pStyle w:val="Heading2"/>
      </w:pPr>
      <w:r>
        <w:t>Show this in the live app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Return to the management decision brief.</w:t>
      </w:r>
    </w:p>
    <w:p>
      <w:pPr>
        <w:pStyle w:val="Heading2"/>
      </w:pPr>
      <w:r>
        <w:t>Key message for the board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The immediate value is faster, evidence-based action. The longer-term value is a reusable control system for every future SAMCO project.</w:t>
      </w:r>
    </w:p>
    <w:p>
      <w:pPr>
        <w:pStyle w:val="Heading2"/>
      </w:pPr>
      <w:r>
        <w:t>Likely board question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What do you need from the board?</w:t>
      </w:r>
    </w:p>
    <w:p>
      <w:pPr>
        <w:pStyle w:val="Heading2"/>
      </w:pPr>
      <w:r>
        <w:t>Recommended answer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B263B"/>
          <w:sz w:val="22"/>
        </w:rPr>
        <w:t>Approve the folder standard, nominate project data owners, and require weekly evidence and KPI validation before executive review.</w:t>
      </w:r>
    </w:p>
    <w:p>
      <w:r>
        <w:br w:type="page"/>
      </w:r>
    </w:p>
    <w:p>
      <w:pPr>
        <w:pStyle w:val="Heading1"/>
      </w:pPr>
      <w:r>
        <w:t>Presenter Preparation Checklist</w:t>
      </w:r>
    </w:p>
    <w:p>
      <w:pPr>
        <w:pStyle w:val="ListNumber"/>
        <w:spacing w:before="0" w:after="80" w:line="269" w:lineRule="auto"/>
      </w:pPr>
      <w:r>
        <w:rPr>
          <w:rFonts w:ascii="Calibri" w:hAnsi="Calibri"/>
          <w:b w:val="0"/>
          <w:i w:val="0"/>
          <w:color w:val="1B263B"/>
          <w:sz w:val="20"/>
        </w:rPr>
        <w:t>Open the Decision Making Dashboard and select a project with complete representative data.</w:t>
      </w:r>
    </w:p>
    <w:p>
      <w:pPr>
        <w:pStyle w:val="ListNumber"/>
        <w:spacing w:before="0" w:after="80" w:line="269" w:lineRule="auto"/>
      </w:pPr>
      <w:r>
        <w:rPr>
          <w:rFonts w:ascii="Calibri" w:hAnsi="Calibri"/>
          <w:b w:val="0"/>
          <w:i w:val="0"/>
          <w:color w:val="1B263B"/>
          <w:sz w:val="20"/>
        </w:rPr>
        <w:t>Confirm the current public URL and one HTML/PDF/PowerPoint download before the meeting.</w:t>
      </w:r>
    </w:p>
    <w:p>
      <w:pPr>
        <w:pStyle w:val="ListNumber"/>
        <w:spacing w:before="0" w:after="80" w:line="269" w:lineRule="auto"/>
      </w:pPr>
      <w:r>
        <w:rPr>
          <w:rFonts w:ascii="Calibri" w:hAnsi="Calibri"/>
          <w:b w:val="0"/>
          <w:i w:val="0"/>
          <w:color w:val="1B263B"/>
          <w:sz w:val="20"/>
        </w:rPr>
        <w:t>Prepare one risk, one letter thread, one contract clause/evidence example and one TIA evidence example.</w:t>
      </w:r>
    </w:p>
    <w:p>
      <w:pPr>
        <w:pStyle w:val="ListNumber"/>
        <w:spacing w:before="0" w:after="80" w:line="269" w:lineRule="auto"/>
      </w:pPr>
      <w:r>
        <w:rPr>
          <w:rFonts w:ascii="Calibri" w:hAnsi="Calibri"/>
          <w:b w:val="0"/>
          <w:i w:val="0"/>
          <w:color w:val="1B263B"/>
          <w:sz w:val="20"/>
        </w:rPr>
        <w:t>Do not present an indicative TIA value as final EOT. Say what P6/evidence step is still required.</w:t>
      </w:r>
    </w:p>
    <w:p>
      <w:pPr>
        <w:pStyle w:val="ListNumber"/>
        <w:spacing w:before="0" w:after="80" w:line="269" w:lineRule="auto"/>
      </w:pPr>
      <w:r>
        <w:rPr>
          <w:rFonts w:ascii="Calibri" w:hAnsi="Calibri"/>
          <w:b w:val="0"/>
          <w:i w:val="0"/>
          <w:color w:val="1B263B"/>
          <w:sz w:val="20"/>
        </w:rPr>
        <w:t>Use data confidence openly. A visible evidence gap is a management control benefit, not a presentation failure.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37" w:right="1037" w:bottom="979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617083"/>
        <w:sz w:val="17"/>
      </w:rPr>
      <w:t xml:space="preserve">Designed &amp; Created | </w:t>
    </w:r>
    <w:r>
      <w:rPr>
        <w:rFonts w:ascii="Calibri" w:hAnsi="Calibri"/>
        <w:b/>
        <w:i w:val="0"/>
        <w:color w:val="0F7C82"/>
        <w:sz w:val="17"/>
      </w:rPr>
      <w:t>Engr. Ahmed Labib</w:t>
    </w:r>
    <w:r>
      <w:rPr>
        <w:rFonts w:ascii="Calibri" w:hAnsi="Calibri"/>
        <w:b w:val="0"/>
        <w:i w:val="0"/>
        <w:color w:val="617083"/>
        <w:sz w:val="17"/>
      </w:rPr>
      <w:t xml:space="preserve"> | Internal Handover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/>
        <w:b/>
        <w:i w:val="0"/>
        <w:color w:val="617083"/>
        <w:sz w:val="16"/>
      </w:rPr>
      <w:t>SAMCO EGYPT | PROJECT INTELLIGENCE HUB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B26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</w:pPr>
    <w:rPr>
      <w:rFonts w:ascii="Consolas" w:hAnsi="Consolas"/>
      <w:color w:val="FFFFF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