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00"/>
        <w:jc w:val="center"/>
      </w:pPr>
      <w:r>
        <w:rPr>
          <w:rFonts w:ascii="Aptos Display" w:hAnsi="Aptos Display"/>
          <w:b/>
          <w:color w:val="0B1F36"/>
          <w:sz w:val="58"/>
        </w:rPr>
        <w:t>CHART CLONE RELEASE</w:t>
      </w:r>
    </w:p>
    <w:p>
      <w:pPr>
        <w:spacing w:after="800"/>
        <w:jc w:val="center"/>
      </w:pPr>
      <w:r>
        <w:rPr>
          <w:rFonts w:ascii="Aptos" w:hAnsi="Aptos"/>
          <w:color w:val="0EA5C6"/>
          <w:sz w:val="28"/>
        </w:rPr>
        <w:t>Board Report: Project-Local Vercel Data, Intelligence, and Control</w:t>
      </w:r>
    </w:p>
    <w:tbl>
      <w:tblPr>
        <w:tblW w:type="auto" w:w="0"/>
        <w:tblLook w:firstColumn="1" w:firstRow="1" w:lastColumn="0" w:lastRow="0" w:noHBand="0" w:noVBand="1" w:val="04A0"/>
      </w:tblPr>
      <w:tblGrid>
        <w:gridCol w:w="3427"/>
        <w:gridCol w:w="3427"/>
        <w:gridCol w:w="3427"/>
      </w:tblGrid>
      <w:tr>
        <w:tc>
          <w:tcPr>
            <w:tcW w:type="dxa" w:w="3427"/>
            <w:shd w:fill="0B1F36"/>
          </w:tcPr>
          <w:p>
            <w:pPr>
              <w:spacing w:after="0"/>
            </w:pPr>
            <w:r/>
            <w:r>
              <w:rPr>
                <w:rFonts w:ascii="Aptos" w:hAnsi="Aptos"/>
                <w:b/>
                <w:color w:val="0EA5C6"/>
                <w:sz w:val="18"/>
              </w:rPr>
              <w:t>Calculation source</w:t>
              <w:br/>
              <w:t>Canonical project engines</w:t>
            </w:r>
          </w:p>
        </w:tc>
        <w:tc>
          <w:tcPr>
            <w:tcW w:type="dxa" w:w="3427"/>
            <w:shd w:fill="0B1F36"/>
          </w:tcPr>
          <w:p>
            <w:pPr>
              <w:spacing w:after="0"/>
            </w:pPr>
            <w:r/>
            <w:r>
              <w:rPr>
                <w:rFonts w:ascii="Aptos" w:hAnsi="Aptos"/>
                <w:b/>
                <w:color w:val="10B981"/>
                <w:sz w:val="18"/>
              </w:rPr>
              <w:t>Data boundary</w:t>
              <w:br/>
              <w:t>project_id + project_key</w:t>
            </w:r>
          </w:p>
        </w:tc>
        <w:tc>
          <w:tcPr>
            <w:tcW w:type="dxa" w:w="3427"/>
            <w:shd w:fill="0B1F36"/>
          </w:tcPr>
          <w:p>
            <w:pPr>
              <w:spacing w:after="0"/>
            </w:pPr>
            <w:r/>
            <w:r>
              <w:rPr>
                <w:rFonts w:ascii="Aptos" w:hAnsi="Aptos"/>
                <w:b/>
                <w:color w:val="D99414"/>
                <w:sz w:val="18"/>
              </w:rPr>
              <w:t>Publication standard</w:t>
              <w:br/>
              <w:t>Evidence first</w:t>
            </w:r>
          </w:p>
        </w:tc>
      </w:tr>
    </w:tbl>
    <w:p>
      <w:r>
        <w:br w:type="page"/>
      </w:r>
    </w:p>
    <w:p>
      <w:pPr>
        <w:spacing w:before="300" w:after="100"/>
      </w:pPr>
      <w:r>
        <w:rPr>
          <w:rFonts w:ascii="Aptos Display" w:hAnsi="Aptos Display"/>
          <w:b/>
          <w:color w:val="0EA5C6"/>
          <w:sz w:val="34"/>
        </w:rPr>
        <w:t>1. Executive Position</w:t>
      </w:r>
    </w:p>
    <w:p>
      <w:pPr>
        <w:spacing w:after="100" w:line="269" w:lineRule="auto"/>
      </w:pPr>
      <w:r>
        <w:rPr>
          <w:rFonts w:ascii="Aptos" w:hAnsi="Aptos"/>
          <w:color w:val="263548"/>
          <w:sz w:val="19"/>
        </w:rPr>
        <w:t>The project workspace now publishes a complete 36-slot chart contract for every selected project. The dark digital visual language, chart card composition, accent system, labels, legends, and tab ownership follow the approved chart reference. Values are never copied from the reference; they are calculated only from the selected project payload.</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shd w:fill="0B1F36"/>
          </w:tcPr>
          <w:p>
            <w:pPr>
              <w:spacing w:after="0"/>
            </w:pPr>
            <w:r/>
            <w:r>
              <w:rPr>
                <w:rFonts w:ascii="Aptos" w:hAnsi="Aptos"/>
                <w:b/>
                <w:color w:val="FFFFFF"/>
                <w:sz w:val="17"/>
              </w:rPr>
              <w:t>Board outcome</w:t>
            </w:r>
          </w:p>
        </w:tc>
        <w:tc>
          <w:tcPr>
            <w:tcW w:type="dxa" w:w="4464"/>
            <w:shd w:fill="0B1F36"/>
          </w:tcPr>
          <w:p>
            <w:pPr>
              <w:spacing w:after="0"/>
            </w:pPr>
            <w:r/>
            <w:r>
              <w:rPr>
                <w:rFonts w:ascii="Aptos" w:hAnsi="Aptos"/>
                <w:b/>
                <w:color w:val="FFFFFF"/>
                <w:sz w:val="17"/>
              </w:rPr>
              <w:t>How the release controls it</w:t>
            </w:r>
          </w:p>
        </w:tc>
        <w:tc>
          <w:tcPr>
            <w:tcW w:type="dxa" w:w="3528"/>
            <w:shd w:fill="0B1F36"/>
          </w:tcPr>
          <w:p>
            <w:pPr>
              <w:spacing w:after="0"/>
            </w:pPr>
            <w:r/>
            <w:r>
              <w:rPr>
                <w:rFonts w:ascii="Aptos" w:hAnsi="Aptos"/>
                <w:b/>
                <w:color w:val="FFFFFF"/>
                <w:sz w:val="17"/>
              </w:rPr>
              <w:t>Management benefit</w:t>
            </w:r>
          </w:p>
        </w:tc>
      </w:tr>
      <w:tr>
        <w:tc>
          <w:tcPr>
            <w:tcW w:type="dxa" w:w="2088"/>
            <w:shd w:fill="E8F4F7"/>
          </w:tcPr>
          <w:p>
            <w:pPr>
              <w:spacing w:after="0"/>
            </w:pPr>
            <w:r/>
            <w:r>
              <w:rPr>
                <w:rFonts w:ascii="Aptos" w:hAnsi="Aptos"/>
                <w:b/>
                <w:color w:val="0B1F36"/>
                <w:sz w:val="17"/>
              </w:rPr>
              <w:t>No sample chart values</w:t>
            </w:r>
          </w:p>
        </w:tc>
        <w:tc>
          <w:tcPr>
            <w:tcW w:type="dxa" w:w="4464"/>
            <w:shd w:fill="E8F4F7"/>
          </w:tcPr>
          <w:p>
            <w:pPr>
              <w:spacing w:after="0"/>
            </w:pPr>
            <w:r/>
            <w:r>
              <w:rPr>
                <w:rFonts w:ascii="Aptos" w:hAnsi="Aptos"/>
                <w:b w:val="0"/>
                <w:color w:val="0B1F36"/>
                <w:sz w:val="17"/>
              </w:rPr>
              <w:t>Every chart slot has project source lineage and an awaiting-data state.</w:t>
            </w:r>
          </w:p>
        </w:tc>
        <w:tc>
          <w:tcPr>
            <w:tcW w:type="dxa" w:w="3528"/>
            <w:shd w:fill="E8F4F7"/>
          </w:tcPr>
          <w:p>
            <w:pPr>
              <w:spacing w:after="0"/>
            </w:pPr>
            <w:r/>
            <w:r>
              <w:rPr>
                <w:rFonts w:ascii="Aptos" w:hAnsi="Aptos"/>
                <w:b w:val="0"/>
                <w:color w:val="0B1F36"/>
                <w:sz w:val="17"/>
              </w:rPr>
              <w:t>Avoids decisions based on demonstration curves or false zero values.</w:t>
            </w:r>
          </w:p>
        </w:tc>
      </w:tr>
      <w:tr>
        <w:tc>
          <w:tcPr>
            <w:tcW w:type="dxa" w:w="2088"/>
          </w:tcPr>
          <w:p>
            <w:pPr>
              <w:spacing w:after="0"/>
            </w:pPr>
            <w:r/>
            <w:r>
              <w:rPr>
                <w:rFonts w:ascii="Aptos" w:hAnsi="Aptos"/>
                <w:b/>
                <w:color w:val="0B1F36"/>
                <w:sz w:val="17"/>
              </w:rPr>
              <w:t>Project isolation</w:t>
            </w:r>
          </w:p>
        </w:tc>
        <w:tc>
          <w:tcPr>
            <w:tcW w:type="dxa" w:w="4464"/>
          </w:tcPr>
          <w:p>
            <w:pPr>
              <w:spacing w:after="0"/>
            </w:pPr>
            <w:r/>
            <w:r>
              <w:rPr>
                <w:rFonts w:ascii="Aptos" w:hAnsi="Aptos"/>
                <w:b w:val="0"/>
                <w:color w:val="0B1F36"/>
                <w:sz w:val="17"/>
              </w:rPr>
              <w:t>Rows are filtered by project_id and every payload carries project_key.</w:t>
            </w:r>
          </w:p>
        </w:tc>
        <w:tc>
          <w:tcPr>
            <w:tcW w:type="dxa" w:w="3528"/>
          </w:tcPr>
          <w:p>
            <w:pPr>
              <w:spacing w:after="0"/>
            </w:pPr>
            <w:r/>
            <w:r>
              <w:rPr>
                <w:rFonts w:ascii="Aptos" w:hAnsi="Aptos"/>
                <w:b w:val="0"/>
                <w:color w:val="0B1F36"/>
                <w:sz w:val="17"/>
              </w:rPr>
              <w:t>Portfolio roll-up can be used without mixing project evidence.</w:t>
            </w:r>
          </w:p>
        </w:tc>
      </w:tr>
      <w:tr>
        <w:tc>
          <w:tcPr>
            <w:tcW w:type="dxa" w:w="2088"/>
            <w:shd w:fill="E8F4F7"/>
          </w:tcPr>
          <w:p>
            <w:pPr>
              <w:spacing w:after="0"/>
            </w:pPr>
            <w:r/>
            <w:r>
              <w:rPr>
                <w:rFonts w:ascii="Aptos" w:hAnsi="Aptos"/>
                <w:b/>
                <w:color w:val="0B1F36"/>
                <w:sz w:val="17"/>
              </w:rPr>
              <w:t>Transparent readiness</w:t>
            </w:r>
          </w:p>
        </w:tc>
        <w:tc>
          <w:tcPr>
            <w:tcW w:type="dxa" w:w="4464"/>
            <w:shd w:fill="E8F4F7"/>
          </w:tcPr>
          <w:p>
            <w:pPr>
              <w:spacing w:after="0"/>
            </w:pPr>
            <w:r/>
            <w:r>
              <w:rPr>
                <w:rFonts w:ascii="Aptos" w:hAnsi="Aptos"/>
                <w:b w:val="0"/>
                <w:color w:val="0B1F36"/>
                <w:sz w:val="17"/>
              </w:rPr>
              <w:t>Missing inputs render a chart-sized readiness card naming the required project-local file.</w:t>
            </w:r>
          </w:p>
        </w:tc>
        <w:tc>
          <w:tcPr>
            <w:tcW w:type="dxa" w:w="3528"/>
            <w:shd w:fill="E8F4F7"/>
          </w:tcPr>
          <w:p>
            <w:pPr>
              <w:spacing w:after="0"/>
            </w:pPr>
            <w:r/>
            <w:r>
              <w:rPr>
                <w:rFonts w:ascii="Aptos" w:hAnsi="Aptos"/>
                <w:b w:val="0"/>
                <w:color w:val="0B1F36"/>
                <w:sz w:val="17"/>
              </w:rPr>
              <w:t>Data owners know exactly what to complete.</w:t>
            </w:r>
          </w:p>
        </w:tc>
      </w:tr>
      <w:tr>
        <w:tc>
          <w:tcPr>
            <w:tcW w:type="dxa" w:w="2088"/>
          </w:tcPr>
          <w:p>
            <w:pPr>
              <w:spacing w:after="0"/>
            </w:pPr>
            <w:r/>
            <w:r>
              <w:rPr>
                <w:rFonts w:ascii="Aptos" w:hAnsi="Aptos"/>
                <w:b/>
                <w:color w:val="0B1F36"/>
                <w:sz w:val="17"/>
              </w:rPr>
              <w:t>Controlled intelligence</w:t>
            </w:r>
          </w:p>
        </w:tc>
        <w:tc>
          <w:tcPr>
            <w:tcW w:type="dxa" w:w="4464"/>
          </w:tcPr>
          <w:p>
            <w:pPr>
              <w:spacing w:after="0"/>
            </w:pPr>
            <w:r/>
            <w:r>
              <w:rPr>
                <w:rFonts w:ascii="Aptos" w:hAnsi="Aptos"/>
                <w:b w:val="0"/>
                <w:color w:val="0B1F36"/>
                <w:sz w:val="17"/>
              </w:rPr>
              <w:t>AI can explain evidence and gaps but cannot create delay, EOT, or claim conclusions.</w:t>
            </w:r>
          </w:p>
        </w:tc>
        <w:tc>
          <w:tcPr>
            <w:tcW w:type="dxa" w:w="3528"/>
          </w:tcPr>
          <w:p>
            <w:pPr>
              <w:spacing w:after="0"/>
            </w:pPr>
            <w:r/>
            <w:r>
              <w:rPr>
                <w:rFonts w:ascii="Aptos" w:hAnsi="Aptos"/>
                <w:b w:val="0"/>
                <w:color w:val="0B1F36"/>
                <w:sz w:val="17"/>
              </w:rPr>
              <w:t>Keeps management summaries useful without overstating certainty.</w:t>
            </w:r>
          </w:p>
        </w:tc>
      </w:tr>
    </w:tbl>
    <w:p/>
    <w:p>
      <w:pPr>
        <w:spacing w:before="300" w:after="100"/>
      </w:pPr>
      <w:r>
        <w:rPr>
          <w:rFonts w:ascii="Aptos Display" w:hAnsi="Aptos Display"/>
          <w:b/>
          <w:color w:val="0EA5C6"/>
          <w:sz w:val="34"/>
        </w:rPr>
        <w:t>2. 36-Chart Coverage</w:t>
      </w:r>
    </w:p>
    <w:tbl>
      <w:tblPr>
        <w:tblStyle w:val="TableGrid"/>
        <w:tblW w:type="auto" w:w="0"/>
        <w:tblLayout w:type="fixed"/>
        <w:tblLook w:firstColumn="1" w:firstRow="1" w:lastColumn="0" w:lastRow="0" w:noHBand="0" w:noVBand="1" w:val="04A0"/>
      </w:tblPr>
      <w:tblGrid>
        <w:gridCol w:w="3427"/>
        <w:gridCol w:w="3427"/>
        <w:gridCol w:w="3427"/>
      </w:tblGrid>
      <w:tr>
        <w:tc>
          <w:tcPr>
            <w:tcW w:type="dxa" w:w="1872"/>
            <w:shd w:fill="0B1F36"/>
          </w:tcPr>
          <w:p>
            <w:pPr>
              <w:spacing w:after="0"/>
            </w:pPr>
            <w:r/>
            <w:r>
              <w:rPr>
                <w:rFonts w:ascii="Aptos" w:hAnsi="Aptos"/>
                <w:b/>
                <w:color w:val="FFFFFF"/>
                <w:sz w:val="17"/>
              </w:rPr>
              <w:t>Project tab</w:t>
            </w:r>
          </w:p>
        </w:tc>
        <w:tc>
          <w:tcPr>
            <w:tcW w:type="dxa" w:w="5544"/>
            <w:shd w:fill="0B1F36"/>
          </w:tcPr>
          <w:p>
            <w:pPr>
              <w:spacing w:after="0"/>
            </w:pPr>
            <w:r/>
            <w:r>
              <w:rPr>
                <w:rFonts w:ascii="Aptos" w:hAnsi="Aptos"/>
                <w:b/>
                <w:color w:val="FFFFFF"/>
                <w:sz w:val="17"/>
              </w:rPr>
              <w:t>Reference chart slots</w:t>
            </w:r>
          </w:p>
        </w:tc>
        <w:tc>
          <w:tcPr>
            <w:tcW w:type="dxa" w:w="2664"/>
            <w:shd w:fill="0B1F36"/>
          </w:tcPr>
          <w:p>
            <w:pPr>
              <w:spacing w:after="0"/>
            </w:pPr>
            <w:r/>
            <w:r>
              <w:rPr>
                <w:rFonts w:ascii="Aptos" w:hAnsi="Aptos"/>
                <w:b/>
                <w:color w:val="FFFFFF"/>
                <w:sz w:val="17"/>
              </w:rPr>
              <w:t>Data rule</w:t>
            </w:r>
          </w:p>
        </w:tc>
      </w:tr>
      <w:tr>
        <w:tc>
          <w:tcPr>
            <w:tcW w:type="dxa" w:w="1872"/>
            <w:shd w:fill="E8F4F7"/>
          </w:tcPr>
          <w:p>
            <w:pPr>
              <w:spacing w:after="0"/>
            </w:pPr>
            <w:r/>
            <w:r>
              <w:rPr>
                <w:rFonts w:ascii="Aptos" w:hAnsi="Aptos"/>
                <w:b/>
                <w:color w:val="0B1F36"/>
                <w:sz w:val="17"/>
              </w:rPr>
              <w:t>Overview</w:t>
            </w:r>
          </w:p>
        </w:tc>
        <w:tc>
          <w:tcPr>
            <w:tcW w:type="dxa" w:w="5544"/>
            <w:shd w:fill="E8F4F7"/>
          </w:tcPr>
          <w:p>
            <w:pPr>
              <w:spacing w:after="0"/>
            </w:pPr>
            <w:r/>
            <w:r>
              <w:rPr>
                <w:rFonts w:ascii="Aptos" w:hAnsi="Aptos"/>
                <w:b w:val="0"/>
                <w:color w:val="0B1F36"/>
                <w:sz w:val="17"/>
              </w:rPr>
              <w:t>Schedule Performance (S-Curve); Overall Completion; Activity Status; Discipline Health; Earned Value Trend; Performance Indices</w:t>
            </w:r>
          </w:p>
        </w:tc>
        <w:tc>
          <w:tcPr>
            <w:tcW w:type="dxa" w:w="2664"/>
            <w:shd w:fill="E8F4F7"/>
          </w:tcPr>
          <w:p>
            <w:pPr>
              <w:spacing w:after="0"/>
            </w:pPr>
            <w:r/>
            <w:r>
              <w:rPr>
                <w:rFonts w:ascii="Aptos" w:hAnsi="Aptos"/>
                <w:b w:val="0"/>
                <w:color w:val="0B1F36"/>
                <w:sz w:val="17"/>
              </w:rPr>
              <w:t>Rendered from selected project data only; unavailable data remains a controlled readiness card.</w:t>
            </w:r>
          </w:p>
        </w:tc>
      </w:tr>
      <w:tr>
        <w:tc>
          <w:tcPr>
            <w:tcW w:type="dxa" w:w="1872"/>
          </w:tcPr>
          <w:p>
            <w:pPr>
              <w:spacing w:after="0"/>
            </w:pPr>
            <w:r/>
            <w:r>
              <w:rPr>
                <w:rFonts w:ascii="Aptos" w:hAnsi="Aptos"/>
                <w:b/>
                <w:color w:val="0B1F36"/>
                <w:sz w:val="17"/>
              </w:rPr>
              <w:t>WBS</w:t>
            </w:r>
          </w:p>
        </w:tc>
        <w:tc>
          <w:tcPr>
            <w:tcW w:type="dxa" w:w="5544"/>
          </w:tcPr>
          <w:p>
            <w:pPr>
              <w:spacing w:after="0"/>
            </w:pPr>
            <w:r/>
            <w:r>
              <w:rPr>
                <w:rFonts w:ascii="Aptos" w:hAnsi="Aptos"/>
                <w:b w:val="0"/>
                <w:color w:val="0B1F36"/>
                <w:sz w:val="17"/>
              </w:rPr>
              <w:t>WBS Progress Distribution; WBS Duration Breakdown</w:t>
            </w:r>
          </w:p>
        </w:tc>
        <w:tc>
          <w:tcPr>
            <w:tcW w:type="dxa" w:w="2664"/>
          </w:tcPr>
          <w:p>
            <w:pPr>
              <w:spacing w:after="0"/>
            </w:pPr>
            <w:r/>
            <w:r>
              <w:rPr>
                <w:rFonts w:ascii="Aptos" w:hAnsi="Aptos"/>
                <w:b w:val="0"/>
                <w:color w:val="0B1F36"/>
                <w:sz w:val="17"/>
              </w:rPr>
              <w:t>Rendered from selected project data only; unavailable data remains a controlled readiness card.</w:t>
            </w:r>
          </w:p>
        </w:tc>
      </w:tr>
      <w:tr>
        <w:tc>
          <w:tcPr>
            <w:tcW w:type="dxa" w:w="1872"/>
            <w:shd w:fill="E8F4F7"/>
          </w:tcPr>
          <w:p>
            <w:pPr>
              <w:spacing w:after="0"/>
            </w:pPr>
            <w:r/>
            <w:r>
              <w:rPr>
                <w:rFonts w:ascii="Aptos" w:hAnsi="Aptos"/>
                <w:b/>
                <w:color w:val="0B1F36"/>
                <w:sz w:val="17"/>
              </w:rPr>
              <w:t>Activities</w:t>
            </w:r>
          </w:p>
        </w:tc>
        <w:tc>
          <w:tcPr>
            <w:tcW w:type="dxa" w:w="5544"/>
            <w:shd w:fill="E8F4F7"/>
          </w:tcPr>
          <w:p>
            <w:pPr>
              <w:spacing w:after="0"/>
            </w:pPr>
            <w:r/>
            <w:r>
              <w:rPr>
                <w:rFonts w:ascii="Aptos" w:hAnsi="Aptos"/>
                <w:b w:val="0"/>
                <w:color w:val="0B1F36"/>
                <w:sz w:val="17"/>
              </w:rPr>
              <w:t>Status Distribution; Critical Path Activities; Float Distribution; Monthly Activity Completion; Responsible Party Workload</w:t>
            </w:r>
          </w:p>
        </w:tc>
        <w:tc>
          <w:tcPr>
            <w:tcW w:type="dxa" w:w="2664"/>
            <w:shd w:fill="E8F4F7"/>
          </w:tcPr>
          <w:p>
            <w:pPr>
              <w:spacing w:after="0"/>
            </w:pPr>
            <w:r/>
            <w:r>
              <w:rPr>
                <w:rFonts w:ascii="Aptos" w:hAnsi="Aptos"/>
                <w:b w:val="0"/>
                <w:color w:val="0B1F36"/>
                <w:sz w:val="17"/>
              </w:rPr>
              <w:t>Rendered from selected project data only; unavailable data remains a controlled readiness card.</w:t>
            </w:r>
          </w:p>
        </w:tc>
      </w:tr>
      <w:tr>
        <w:tc>
          <w:tcPr>
            <w:tcW w:type="dxa" w:w="1872"/>
          </w:tcPr>
          <w:p>
            <w:pPr>
              <w:spacing w:after="0"/>
            </w:pPr>
            <w:r/>
            <w:r>
              <w:rPr>
                <w:rFonts w:ascii="Aptos" w:hAnsi="Aptos"/>
                <w:b/>
                <w:color w:val="0B1F36"/>
                <w:sz w:val="17"/>
              </w:rPr>
              <w:t>Milestones</w:t>
            </w:r>
          </w:p>
        </w:tc>
        <w:tc>
          <w:tcPr>
            <w:tcW w:type="dxa" w:w="5544"/>
          </w:tcPr>
          <w:p>
            <w:pPr>
              <w:spacing w:after="0"/>
            </w:pPr>
            <w:r/>
            <w:r>
              <w:rPr>
                <w:rFonts w:ascii="Aptos" w:hAnsi="Aptos"/>
                <w:b w:val="0"/>
                <w:color w:val="0B1F36"/>
                <w:sz w:val="17"/>
              </w:rPr>
              <w:t>Schedule Health; Milestone Variance Trend; Milestone Type Breakdown</w:t>
            </w:r>
          </w:p>
        </w:tc>
        <w:tc>
          <w:tcPr>
            <w:tcW w:type="dxa" w:w="2664"/>
          </w:tcPr>
          <w:p>
            <w:pPr>
              <w:spacing w:after="0"/>
            </w:pPr>
            <w:r/>
            <w:r>
              <w:rPr>
                <w:rFonts w:ascii="Aptos" w:hAnsi="Aptos"/>
                <w:b w:val="0"/>
                <w:color w:val="0B1F36"/>
                <w:sz w:val="17"/>
              </w:rPr>
              <w:t>Rendered from selected project data only; unavailable data remains a controlled readiness card.</w:t>
            </w:r>
          </w:p>
        </w:tc>
      </w:tr>
      <w:tr>
        <w:tc>
          <w:tcPr>
            <w:tcW w:type="dxa" w:w="1872"/>
            <w:shd w:fill="E8F4F7"/>
          </w:tcPr>
          <w:p>
            <w:pPr>
              <w:spacing w:after="0"/>
            </w:pPr>
            <w:r/>
            <w:r>
              <w:rPr>
                <w:rFonts w:ascii="Aptos" w:hAnsi="Aptos"/>
                <w:b/>
                <w:color w:val="0B1F36"/>
                <w:sz w:val="17"/>
              </w:rPr>
              <w:t>S-Curve</w:t>
            </w:r>
          </w:p>
        </w:tc>
        <w:tc>
          <w:tcPr>
            <w:tcW w:type="dxa" w:w="5544"/>
            <w:shd w:fill="E8F4F7"/>
          </w:tcPr>
          <w:p>
            <w:pPr>
              <w:spacing w:after="0"/>
            </w:pPr>
            <w:r/>
            <w:r>
              <w:rPr>
                <w:rFonts w:ascii="Aptos" w:hAnsi="Aptos"/>
                <w:b w:val="0"/>
                <w:color w:val="0B1F36"/>
                <w:sz w:val="17"/>
              </w:rPr>
              <w:t>Master S-Curve - Cumulative Progress; S-Curve by Discipline; Progress Variance Over Time</w:t>
            </w:r>
          </w:p>
        </w:tc>
        <w:tc>
          <w:tcPr>
            <w:tcW w:type="dxa" w:w="2664"/>
            <w:shd w:fill="E8F4F7"/>
          </w:tcPr>
          <w:p>
            <w:pPr>
              <w:spacing w:after="0"/>
            </w:pPr>
            <w:r/>
            <w:r>
              <w:rPr>
                <w:rFonts w:ascii="Aptos" w:hAnsi="Aptos"/>
                <w:b w:val="0"/>
                <w:color w:val="0B1F36"/>
                <w:sz w:val="17"/>
              </w:rPr>
              <w:t>Rendered from selected project data only; unavailable data remains a controlled readiness card.</w:t>
            </w:r>
          </w:p>
        </w:tc>
      </w:tr>
      <w:tr>
        <w:tc>
          <w:tcPr>
            <w:tcW w:type="dxa" w:w="1872"/>
          </w:tcPr>
          <w:p>
            <w:pPr>
              <w:spacing w:after="0"/>
            </w:pPr>
            <w:r/>
            <w:r>
              <w:rPr>
                <w:rFonts w:ascii="Aptos" w:hAnsi="Aptos"/>
                <w:b/>
                <w:color w:val="0B1F36"/>
                <w:sz w:val="17"/>
              </w:rPr>
              <w:t>EVM Analysis</w:t>
            </w:r>
          </w:p>
        </w:tc>
        <w:tc>
          <w:tcPr>
            <w:tcW w:type="dxa" w:w="5544"/>
          </w:tcPr>
          <w:p>
            <w:pPr>
              <w:spacing w:after="0"/>
            </w:pPr>
            <w:r/>
            <w:r>
              <w:rPr>
                <w:rFonts w:ascii="Aptos" w:hAnsi="Aptos"/>
                <w:b w:val="0"/>
                <w:color w:val="0B1F36"/>
                <w:sz w:val="17"/>
              </w:rPr>
              <w:t>EVM Burn-Up Chart; EVM Variance Waterfall; SPI Trend; CPI Trend</w:t>
            </w:r>
          </w:p>
        </w:tc>
        <w:tc>
          <w:tcPr>
            <w:tcW w:type="dxa" w:w="2664"/>
          </w:tcPr>
          <w:p>
            <w:pPr>
              <w:spacing w:after="0"/>
            </w:pPr>
            <w:r/>
            <w:r>
              <w:rPr>
                <w:rFonts w:ascii="Aptos" w:hAnsi="Aptos"/>
                <w:b w:val="0"/>
                <w:color w:val="0B1F36"/>
                <w:sz w:val="17"/>
              </w:rPr>
              <w:t>Rendered from selected project data only; unavailable data remains a controlled readiness card.</w:t>
            </w:r>
          </w:p>
        </w:tc>
      </w:tr>
      <w:tr>
        <w:tc>
          <w:tcPr>
            <w:tcW w:type="dxa" w:w="1872"/>
            <w:shd w:fill="E8F4F7"/>
          </w:tcPr>
          <w:p>
            <w:pPr>
              <w:spacing w:after="0"/>
            </w:pPr>
            <w:r/>
            <w:r>
              <w:rPr>
                <w:rFonts w:ascii="Aptos" w:hAnsi="Aptos"/>
                <w:b/>
                <w:color w:val="0B1F36"/>
                <w:sz w:val="17"/>
              </w:rPr>
              <w:t>Contracts</w:t>
            </w:r>
          </w:p>
        </w:tc>
        <w:tc>
          <w:tcPr>
            <w:tcW w:type="dxa" w:w="5544"/>
            <w:shd w:fill="E8F4F7"/>
          </w:tcPr>
          <w:p>
            <w:pPr>
              <w:spacing w:after="0"/>
            </w:pPr>
            <w:r/>
            <w:r>
              <w:rPr>
                <w:rFonts w:ascii="Aptos" w:hAnsi="Aptos"/>
                <w:b w:val="0"/>
                <w:color w:val="0B1F36"/>
                <w:sz w:val="17"/>
              </w:rPr>
              <w:t>Payment History; Contract Cash Flow; Payment Status Breakdown; Contract vs Variations</w:t>
            </w:r>
          </w:p>
        </w:tc>
        <w:tc>
          <w:tcPr>
            <w:tcW w:type="dxa" w:w="2664"/>
            <w:shd w:fill="E8F4F7"/>
          </w:tcPr>
          <w:p>
            <w:pPr>
              <w:spacing w:after="0"/>
            </w:pPr>
            <w:r/>
            <w:r>
              <w:rPr>
                <w:rFonts w:ascii="Aptos" w:hAnsi="Aptos"/>
                <w:b w:val="0"/>
                <w:color w:val="0B1F36"/>
                <w:sz w:val="17"/>
              </w:rPr>
              <w:t>Rendered from selected project data only; unavailable data remains a controlled readiness card.</w:t>
            </w:r>
          </w:p>
        </w:tc>
      </w:tr>
      <w:tr>
        <w:tc>
          <w:tcPr>
            <w:tcW w:type="dxa" w:w="1872"/>
          </w:tcPr>
          <w:p>
            <w:pPr>
              <w:spacing w:after="0"/>
            </w:pPr>
            <w:r/>
            <w:r>
              <w:rPr>
                <w:rFonts w:ascii="Aptos" w:hAnsi="Aptos"/>
                <w:b/>
                <w:color w:val="0B1F36"/>
                <w:sz w:val="17"/>
              </w:rPr>
              <w:t>Risks</w:t>
            </w:r>
          </w:p>
        </w:tc>
        <w:tc>
          <w:tcPr>
            <w:tcW w:type="dxa" w:w="5544"/>
          </w:tcPr>
          <w:p>
            <w:pPr>
              <w:spacing w:after="0"/>
            </w:pPr>
            <w:r/>
            <w:r>
              <w:rPr>
                <w:rFonts w:ascii="Aptos" w:hAnsi="Aptos"/>
                <w:b w:val="0"/>
                <w:color w:val="0B1F36"/>
                <w:sz w:val="17"/>
              </w:rPr>
              <w:t>Risk Category Breakdown; Risk Status; Risk Trend Over Time; Mitigation Effectiveness</w:t>
            </w:r>
          </w:p>
        </w:tc>
        <w:tc>
          <w:tcPr>
            <w:tcW w:type="dxa" w:w="2664"/>
          </w:tcPr>
          <w:p>
            <w:pPr>
              <w:spacing w:after="0"/>
            </w:pPr>
            <w:r/>
            <w:r>
              <w:rPr>
                <w:rFonts w:ascii="Aptos" w:hAnsi="Aptos"/>
                <w:b w:val="0"/>
                <w:color w:val="0B1F36"/>
                <w:sz w:val="17"/>
              </w:rPr>
              <w:t>Rendered from selected project data only; unavailable data remains a controlled readiness card.</w:t>
            </w:r>
          </w:p>
        </w:tc>
      </w:tr>
      <w:tr>
        <w:tc>
          <w:tcPr>
            <w:tcW w:type="dxa" w:w="1872"/>
            <w:shd w:fill="E8F4F7"/>
          </w:tcPr>
          <w:p>
            <w:pPr>
              <w:spacing w:after="0"/>
            </w:pPr>
            <w:r/>
            <w:r>
              <w:rPr>
                <w:rFonts w:ascii="Aptos" w:hAnsi="Aptos"/>
                <w:b/>
                <w:color w:val="0B1F36"/>
                <w:sz w:val="17"/>
              </w:rPr>
              <w:t>Delay Analysis - Time Impact Analysis</w:t>
            </w:r>
          </w:p>
        </w:tc>
        <w:tc>
          <w:tcPr>
            <w:tcW w:type="dxa" w:w="5544"/>
            <w:shd w:fill="E8F4F7"/>
          </w:tcPr>
          <w:p>
            <w:pPr>
              <w:spacing w:after="0"/>
            </w:pPr>
            <w:r/>
            <w:r>
              <w:rPr>
                <w:rFonts w:ascii="Aptos" w:hAnsi="Aptos"/>
                <w:b w:val="0"/>
                <w:color w:val="0B1F36"/>
                <w:sz w:val="17"/>
              </w:rPr>
              <w:t>Delay Events Timeline; Delay by Root Cause; Delay Type Distribution; Monthly Delay Accumulation; Time Impact Analysis - Before vs After</w:t>
            </w:r>
          </w:p>
        </w:tc>
        <w:tc>
          <w:tcPr>
            <w:tcW w:type="dxa" w:w="2664"/>
            <w:shd w:fill="E8F4F7"/>
          </w:tcPr>
          <w:p>
            <w:pPr>
              <w:spacing w:after="0"/>
            </w:pPr>
            <w:r/>
            <w:r>
              <w:rPr>
                <w:rFonts w:ascii="Aptos" w:hAnsi="Aptos"/>
                <w:b w:val="0"/>
                <w:color w:val="0B1F36"/>
                <w:sz w:val="17"/>
              </w:rPr>
              <w:t>Rendered from selected project data only; unavailable data remains a controlled readiness card.</w:t>
            </w:r>
          </w:p>
        </w:tc>
      </w:tr>
    </w:tbl>
    <w:p/>
    <w:p>
      <w:pPr>
        <w:spacing w:before="300" w:after="100"/>
      </w:pPr>
      <w:r>
        <w:rPr>
          <w:rFonts w:ascii="Aptos Display" w:hAnsi="Aptos Display"/>
          <w:b/>
          <w:color w:val="0EA5C6"/>
          <w:sz w:val="34"/>
        </w:rPr>
        <w:t>3. TIA Governance</w:t>
      </w:r>
    </w:p>
    <w:p>
      <w:pPr>
        <w:spacing w:after="100" w:line="269" w:lineRule="auto"/>
      </w:pPr>
      <w:r>
        <w:rPr>
          <w:rFonts w:ascii="Aptos" w:hAnsi="Aptos"/>
          <w:color w:val="263548"/>
          <w:sz w:val="19"/>
        </w:rPr>
        <w:t>Delay Analysis - Time Impact Analysis is retained as internal project evidence and is not published in the public workspace until explicitly recalled. Its project payload remains governed by native schedule sources, relationship logic, float/critical-path evidence, verified event classification, and P6/evidence gates.</w:t>
      </w:r>
    </w:p>
    <w:tbl>
      <w:tblPr>
        <w:tblStyle w:val="TableGrid"/>
        <w:tblW w:type="auto" w:w="0"/>
        <w:tblLayout w:type="fixed"/>
        <w:tblLook w:firstColumn="1" w:firstRow="1" w:lastColumn="0" w:lastRow="0" w:noHBand="0" w:noVBand="1" w:val="04A0"/>
      </w:tblPr>
      <w:tblGrid>
        <w:gridCol w:w="5141"/>
        <w:gridCol w:w="5141"/>
      </w:tblGrid>
      <w:tr>
        <w:tc>
          <w:tcPr>
            <w:tcW w:type="dxa" w:w="2376"/>
            <w:shd w:fill="0B1F36"/>
          </w:tcPr>
          <w:p>
            <w:pPr>
              <w:spacing w:after="0"/>
            </w:pPr>
            <w:r/>
            <w:r>
              <w:rPr>
                <w:rFonts w:ascii="Aptos" w:hAnsi="Aptos"/>
                <w:b/>
                <w:color w:val="FFFFFF"/>
                <w:sz w:val="17"/>
              </w:rPr>
              <w:t>Control</w:t>
            </w:r>
          </w:p>
        </w:tc>
        <w:tc>
          <w:tcPr>
            <w:tcW w:type="dxa" w:w="7704"/>
            <w:shd w:fill="0B1F36"/>
          </w:tcPr>
          <w:p>
            <w:pPr>
              <w:spacing w:after="0"/>
            </w:pPr>
            <w:r/>
            <w:r>
              <w:rPr>
                <w:rFonts w:ascii="Aptos" w:hAnsi="Aptos"/>
                <w:b/>
                <w:color w:val="FFFFFF"/>
                <w:sz w:val="17"/>
              </w:rPr>
              <w:t>Rule</w:t>
            </w:r>
          </w:p>
        </w:tc>
      </w:tr>
      <w:tr>
        <w:tc>
          <w:tcPr>
            <w:tcW w:type="dxa" w:w="2376"/>
            <w:shd w:fill="E8F4F7"/>
          </w:tcPr>
          <w:p>
            <w:pPr>
              <w:spacing w:after="0"/>
            </w:pPr>
            <w:r/>
            <w:r>
              <w:rPr>
                <w:rFonts w:ascii="Aptos" w:hAnsi="Aptos"/>
                <w:b/>
                <w:color w:val="0B1F36"/>
                <w:sz w:val="17"/>
              </w:rPr>
              <w:t>Event classification</w:t>
            </w:r>
          </w:p>
        </w:tc>
        <w:tc>
          <w:tcPr>
            <w:tcW w:type="dxa" w:w="7704"/>
            <w:shd w:fill="E8F4F7"/>
          </w:tcPr>
          <w:p>
            <w:pPr>
              <w:spacing w:after="0"/>
            </w:pPr>
            <w:r/>
            <w:r>
              <w:rPr>
                <w:rFonts w:ascii="Aptos" w:hAnsi="Aptos"/>
                <w:b w:val="0"/>
                <w:color w:val="0B1F36"/>
                <w:sz w:val="17"/>
              </w:rPr>
              <w:t>A verified classification must link to an existing project delay event and matching activity where stated.</w:t>
            </w:r>
          </w:p>
        </w:tc>
      </w:tr>
      <w:tr>
        <w:tc>
          <w:tcPr>
            <w:tcW w:type="dxa" w:w="2376"/>
          </w:tcPr>
          <w:p>
            <w:pPr>
              <w:spacing w:after="0"/>
            </w:pPr>
            <w:r/>
            <w:r>
              <w:rPr>
                <w:rFonts w:ascii="Aptos" w:hAnsi="Aptos"/>
                <w:b/>
                <w:color w:val="0B1F36"/>
                <w:sz w:val="17"/>
              </w:rPr>
              <w:t>Recovery comparison</w:t>
            </w:r>
          </w:p>
        </w:tc>
        <w:tc>
          <w:tcPr>
            <w:tcW w:type="dxa" w:w="7704"/>
          </w:tcPr>
          <w:p>
            <w:pPr>
              <w:spacing w:after="0"/>
            </w:pPr>
            <w:r/>
            <w:r>
              <w:rPr>
                <w:rFonts w:ascii="Aptos" w:hAnsi="Aptos"/>
                <w:b w:val="0"/>
                <w:color w:val="0B1F36"/>
                <w:sz w:val="17"/>
              </w:rPr>
              <w:t>Draft scenarios are visible only as draft planning input; contractual use requires verified P6 and evidence references.</w:t>
            </w:r>
          </w:p>
        </w:tc>
      </w:tr>
      <w:tr>
        <w:tc>
          <w:tcPr>
            <w:tcW w:type="dxa" w:w="2376"/>
            <w:shd w:fill="E8F4F7"/>
          </w:tcPr>
          <w:p>
            <w:pPr>
              <w:spacing w:after="0"/>
            </w:pPr>
            <w:r/>
            <w:r>
              <w:rPr>
                <w:rFonts w:ascii="Aptos" w:hAnsi="Aptos"/>
                <w:b/>
                <w:color w:val="0B1F36"/>
                <w:sz w:val="17"/>
              </w:rPr>
              <w:t>Relationship logic</w:t>
            </w:r>
          </w:p>
        </w:tc>
        <w:tc>
          <w:tcPr>
            <w:tcW w:type="dxa" w:w="7704"/>
            <w:shd w:fill="E8F4F7"/>
          </w:tcPr>
          <w:p>
            <w:pPr>
              <w:spacing w:after="0"/>
            </w:pPr>
            <w:r/>
            <w:r>
              <w:rPr>
                <w:rFonts w:ascii="Aptos" w:hAnsi="Aptos"/>
                <w:b w:val="0"/>
                <w:color w:val="0B1F36"/>
                <w:sz w:val="17"/>
              </w:rPr>
              <w:t>Predecessor, successor, relationship type, lag, float, longest path, and fragnet controls use project schedule evidence.</w:t>
            </w:r>
          </w:p>
        </w:tc>
      </w:tr>
      <w:tr>
        <w:tc>
          <w:tcPr>
            <w:tcW w:type="dxa" w:w="2376"/>
          </w:tcPr>
          <w:p>
            <w:pPr>
              <w:spacing w:after="0"/>
            </w:pPr>
            <w:r/>
            <w:r>
              <w:rPr>
                <w:rFonts w:ascii="Aptos" w:hAnsi="Aptos"/>
                <w:b/>
                <w:color w:val="0B1F36"/>
                <w:sz w:val="17"/>
              </w:rPr>
              <w:t>Entitlement</w:t>
            </w:r>
          </w:p>
        </w:tc>
        <w:tc>
          <w:tcPr>
            <w:tcW w:type="dxa" w:w="7704"/>
          </w:tcPr>
          <w:p>
            <w:pPr>
              <w:spacing w:after="0"/>
            </w:pPr>
            <w:r/>
            <w:r>
              <w:rPr>
                <w:rFonts w:ascii="Aptos" w:hAnsi="Aptos"/>
                <w:b w:val="0"/>
                <w:color w:val="0B1F36"/>
                <w:sz w:val="17"/>
              </w:rPr>
              <w:t>No final EOT, compensation, concurrency, or critical delay conclusion without project evidence and required P6 verification.</w:t>
            </w:r>
          </w:p>
        </w:tc>
      </w:tr>
    </w:tbl>
    <w:p/>
    <w:p>
      <w:pPr>
        <w:spacing w:before="300" w:after="100"/>
      </w:pPr>
      <w:r>
        <w:rPr>
          <w:rFonts w:ascii="Aptos Display" w:hAnsi="Aptos Display"/>
          <w:b/>
          <w:color w:val="0EA5C6"/>
          <w:sz w:val="34"/>
        </w:rPr>
        <w:t>4. Immediate Board Actions</w:t>
      </w:r>
    </w:p>
    <w:p>
      <w:pPr>
        <w:pStyle w:val="ListBullet"/>
        <w:spacing w:after="60"/>
      </w:pPr>
      <w:r>
        <w:rPr>
          <w:rFonts w:ascii="Aptos" w:hAnsi="Aptos"/>
          <w:color w:val="263548"/>
          <w:sz w:val="18"/>
        </w:rPr>
        <w:t>Assign each project a data owner for the eight optional Vercel chart templates and the existing project-control registers.</w:t>
      </w:r>
    </w:p>
    <w:p>
      <w:pPr>
        <w:pStyle w:val="ListBullet"/>
        <w:spacing w:after="60"/>
      </w:pPr>
      <w:r>
        <w:rPr>
          <w:rFonts w:ascii="Aptos" w:hAnsi="Aptos"/>
          <w:color w:val="263548"/>
          <w:sz w:val="18"/>
        </w:rPr>
        <w:t>Require a monthly evidence and data-quality review before board information is used for recovery, commercial, or claim decisions.</w:t>
      </w:r>
    </w:p>
    <w:p>
      <w:pPr>
        <w:pStyle w:val="ListBullet"/>
        <w:spacing w:after="60"/>
      </w:pPr>
      <w:r>
        <w:rPr>
          <w:rFonts w:ascii="Aptos" w:hAnsi="Aptos"/>
          <w:color w:val="263548"/>
          <w:sz w:val="18"/>
        </w:rPr>
        <w:t>Approve a P6 verification protocol for any recovered TIA result before it is issued as a contractual conclusion.</w:t>
      </w:r>
    </w:p>
    <w:p>
      <w:pPr>
        <w:pStyle w:val="ListBullet"/>
        <w:spacing w:after="60"/>
      </w:pPr>
      <w:r>
        <w:rPr>
          <w:rFonts w:ascii="Aptos" w:hAnsi="Aptos"/>
          <w:color w:val="263548"/>
          <w:sz w:val="18"/>
        </w:rPr>
        <w:t>Use Output Studio for controlled HTML, PDF, PowerPoint, and supporting downloads; do not treat live workspace chart cards as client reports.</w:t>
      </w:r>
    </w:p>
    <w:sectPr w:rsidR="00FC693F" w:rsidRPr="0006063C" w:rsidSect="00034616">
      <w:headerReference w:type="default" r:id="rId9"/>
      <w:footerReference w:type="default" r:id="rId10"/>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25466"/>
        <w:sz w:val="16"/>
      </w:rPr>
      <w:t>Designed &amp; Created | Engr. Ahmed Labib | Project Intelligence Hub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EA5C6"/>
        <w:sz w:val="16"/>
      </w:rPr>
      <w:t>SAMCO PROJECT INTELLIGENCE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