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00"/>
        <w:jc w:val="center"/>
      </w:pPr>
      <w:r>
        <w:rPr>
          <w:rFonts w:ascii="Aptos Display" w:hAnsi="Aptos Display"/>
          <w:b/>
          <w:color w:val="0B1F36"/>
          <w:sz w:val="58"/>
        </w:rPr>
        <w:t>PLANNER HANDOVER GUIDE</w:t>
      </w:r>
    </w:p>
    <w:p>
      <w:pPr>
        <w:spacing w:after="800"/>
        <w:jc w:val="center"/>
      </w:pPr>
      <w:r>
        <w:rPr>
          <w:rFonts w:ascii="Aptos" w:hAnsi="Aptos"/>
          <w:color w:val="0EA5C6"/>
          <w:sz w:val="28"/>
        </w:rPr>
        <w:t>Maintaining Project Data, Vercel Charts, Validation, and Publishing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EA5C6"/>
                <w:sz w:val="18"/>
              </w:rPr>
              <w:t>Calculation source</w:t>
              <w:br/>
              <w:t>Canonical project engines</w:t>
            </w:r>
          </w:p>
        </w:tc>
        <w:tc>
          <w:tcPr>
            <w:tcW w:type="dxa" w:w="3427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B981"/>
                <w:sz w:val="18"/>
              </w:rPr>
              <w:t>Data boundary</w:t>
              <w:br/>
              <w:t>project_id + project_key</w:t>
            </w:r>
          </w:p>
        </w:tc>
        <w:tc>
          <w:tcPr>
            <w:tcW w:type="dxa" w:w="3427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D99414"/>
                <w:sz w:val="18"/>
              </w:rPr>
              <w:t>Publication standard</w:t>
              <w:br/>
              <w:t>Evidence first</w:t>
            </w:r>
          </w:p>
        </w:tc>
      </w:tr>
    </w:tbl>
    <w:p>
      <w:r>
        <w:br w:type="page"/>
      </w:r>
    </w:p>
    <w:p>
      <w:pPr>
        <w:spacing w:before="300" w:after="100"/>
      </w:pPr>
      <w:r>
        <w:rPr>
          <w:rFonts w:ascii="Aptos Display" w:hAnsi="Aptos Display"/>
          <w:b/>
          <w:color w:val="0EA5C6"/>
          <w:sz w:val="34"/>
        </w:rPr>
        <w:t>1. Project Operating Rule</w:t>
      </w:r>
    </w:p>
    <w:p>
      <w:pPr>
        <w:spacing w:after="100" w:line="269" w:lineRule="auto"/>
      </w:pPr>
      <w:r>
        <w:rPr>
          <w:rFonts w:ascii="Aptos" w:hAnsi="Aptos"/>
          <w:color w:val="263548"/>
          <w:sz w:val="19"/>
        </w:rPr>
        <w:t>A project is identified by its manifest project_id and project_key. The folder may be renamed, but the project_id must remain stable. Never copy rows, reports, letters, contracts, or outputs from one project into another project folder.</w:t>
      </w:r>
    </w:p>
    <w:p>
      <w:pPr>
        <w:spacing w:before="300" w:after="100"/>
      </w:pPr>
      <w:r>
        <w:rPr>
          <w:rFonts w:ascii="Aptos Display" w:hAnsi="Aptos Display"/>
          <w:b/>
          <w:color w:val="0EA5C6"/>
          <w:sz w:val="34"/>
        </w:rPr>
        <w:t>2. Where to Update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Folder</w:t>
            </w:r>
          </w:p>
        </w:tc>
        <w:tc>
          <w:tcPr>
            <w:tcW w:type="dxa" w:w="5400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belongs there</w:t>
            </w:r>
          </w:p>
        </w:tc>
        <w:tc>
          <w:tcPr>
            <w:tcW w:type="dxa" w:w="2592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the app does</w:t>
            </w:r>
          </w:p>
        </w:tc>
      </w:tr>
      <w:tr>
        <w:tc>
          <w:tcPr>
            <w:tcW w:type="dxa" w:w="2088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01-data/import_templates</w:t>
            </w:r>
          </w:p>
        </w:tc>
        <w:tc>
          <w:tcPr>
            <w:tcW w:type="dxa" w:w="54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Project, WBS, activities, milestones, S-curve, EVM, contracts, payments, risks, and claims source tables.</w:t>
            </w:r>
          </w:p>
        </w:tc>
        <w:tc>
          <w:tcPr>
            <w:tcW w:type="dxa" w:w="2592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Provides the primary source pipeline for workspace metrics and charts.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02-delay_analysis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P6/XER, relationships, event register, concurrency, evidence, and canonical TIA inputs.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Builds the governed internal delay-analysis payload for that project only.</w:t>
            </w:r>
          </w:p>
        </w:tc>
      </w:tr>
      <w:tr>
        <w:tc>
          <w:tcPr>
            <w:tcW w:type="dxa" w:w="2088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05-contracts and 06-evidence</w:t>
            </w:r>
          </w:p>
        </w:tc>
        <w:tc>
          <w:tcPr>
            <w:tcW w:type="dxa" w:w="54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Authorized contract text, clauses, notices, evidence, and claim support.</w:t>
            </w:r>
          </w:p>
        </w:tc>
        <w:tc>
          <w:tcPr>
            <w:tcW w:type="dxa" w:w="2592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Feeds the project-local Contract &amp; Claims and AI evidence context.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07-letters_intelligence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Incoming/outgoing letters and correspondence registers.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Feeds the project-local letters detector, thread, and evidence outputs.</w:t>
            </w:r>
          </w:p>
        </w:tc>
      </w:tr>
      <w:tr>
        <w:tc>
          <w:tcPr>
            <w:tcW w:type="dxa" w:w="2088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vercel</w:t>
            </w:r>
          </w:p>
        </w:tc>
        <w:tc>
          <w:tcPr>
            <w:tcW w:type="dxa" w:w="54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Only optional missing-data CSV templates listed below.</w:t>
            </w:r>
          </w:p>
        </w:tc>
        <w:tc>
          <w:tcPr>
            <w:tcW w:type="dxa" w:w="2592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Overrides the matching legacy source only when it has valid selected-project rows.</w:t>
            </w:r>
          </w:p>
        </w:tc>
      </w:tr>
    </w:tbl>
    <w:p/>
    <w:p>
      <w:pPr>
        <w:spacing w:before="300" w:after="100"/>
      </w:pPr>
      <w:r>
        <w:rPr>
          <w:rFonts w:ascii="Aptos Display" w:hAnsi="Aptos Display"/>
          <w:b/>
          <w:color w:val="0EA5C6"/>
          <w:sz w:val="34"/>
        </w:rPr>
        <w:t>3. Vercel Template Rules</w:t>
      </w:r>
    </w:p>
    <w:p>
      <w:pPr>
        <w:spacing w:after="100" w:line="269" w:lineRule="auto"/>
      </w:pPr>
      <w:r>
        <w:rPr>
          <w:rFonts w:ascii="Aptos" w:hAnsi="Aptos"/>
          <w:color w:val="263548"/>
          <w:sz w:val="19"/>
        </w:rPr>
        <w:t>The `vercel` folder is created automatically for every current and future project, including `_PROJECT_TEMPLATE`. Templates are header-only and non-destructive. Do not add sample rows. Every populated row must contain the owning project_id.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376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Template</w:t>
            </w:r>
          </w:p>
        </w:tc>
        <w:tc>
          <w:tcPr>
            <w:tcW w:type="dxa" w:w="4680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  <w:tc>
          <w:tcPr>
            <w:tcW w:type="dxa" w:w="3024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Validation and precedence</w:t>
            </w:r>
          </w:p>
        </w:tc>
      </w:tr>
      <w:tr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phase_progress.csv</w:t>
            </w:r>
          </w:p>
        </w:tc>
        <w:tc>
          <w:tcPr>
            <w:tcW w:type="dxa" w:w="468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Phase-level progress history for executive phase and completion views.</w:t>
            </w:r>
          </w:p>
        </w:tc>
        <w:tc>
          <w:tcPr>
            <w:tcW w:type="dxa" w:w="302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Valid Vercel rows win. A header-only file falls back to the normal project source. If both have rows, the app uses Vercel and reports a duplicate-source warning.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discipline_progress_history.csv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Dated planned, actual, and forecast progress by discipline.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Valid Vercel rows win. A header-only file falls back to the normal project source. If both have rows, the app uses Vercel and reports a duplicate-source warning.</w:t>
            </w:r>
          </w:p>
        </w:tc>
      </w:tr>
      <w:tr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activity_completion_history.csv</w:t>
            </w:r>
          </w:p>
        </w:tc>
        <w:tc>
          <w:tcPr>
            <w:tcW w:type="dxa" w:w="468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Dated started and completed activity counts.</w:t>
            </w:r>
          </w:p>
        </w:tc>
        <w:tc>
          <w:tcPr>
            <w:tcW w:type="dxa" w:w="302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Valid Vercel rows win. A header-only file falls back to the normal project source. If both have rows, the app uses Vercel and reports a duplicate-source warning.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evm_period_history.csv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Dated BAC, PV, EV, AC, SPI, and CPI where the standard EVM register has no period series.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Valid Vercel rows win. A header-only file falls back to the normal project source. If both have rows, the app uses Vercel and reports a duplicate-source warning.</w:t>
            </w:r>
          </w:p>
        </w:tc>
      </w:tr>
      <w:tr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planned_cash_flow.csv</w:t>
            </w:r>
          </w:p>
        </w:tc>
        <w:tc>
          <w:tcPr>
            <w:tcW w:type="dxa" w:w="468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Planned cash out series for the cash-flow comparison; payment/certification remains in the normal payments source.</w:t>
            </w:r>
          </w:p>
        </w:tc>
        <w:tc>
          <w:tcPr>
            <w:tcW w:type="dxa" w:w="302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Valid Vercel rows win. A header-only file falls back to the normal project source. If both have rows, the app uses Vercel and reports a duplicate-source warning.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risk_assessment_history.csv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Dated risk snapshots and before/after mitigation scores.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Valid Vercel rows win. A header-only file falls back to the normal project source. If both have rows, the app uses Vercel and reports a duplicate-source warning.</w:t>
            </w:r>
          </w:p>
        </w:tc>
      </w:tr>
      <w:tr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delay_event_classification.csv</w:t>
            </w:r>
          </w:p>
        </w:tc>
        <w:tc>
          <w:tcPr>
            <w:tcW w:type="dxa" w:w="468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Verified delay-event classification linked to an existing event; it cannot create an event.</w:t>
            </w:r>
          </w:p>
        </w:tc>
        <w:tc>
          <w:tcPr>
            <w:tcW w:type="dxa" w:w="302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Valid Vercel rows win. A header-only file falls back to the normal project source. If both have rows, the app uses Vercel and reports a duplicate-source warning.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tia_recovery_scenario.csv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P6 and evidence-backed baseline, impacted, and recovery comparison scenario.</w:t>
            </w:r>
          </w:p>
        </w:tc>
        <w:tc>
          <w:tcPr>
            <w:tcW w:type="dxa" w:w="302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Valid Vercel rows win. A header-only file falls back to the normal project source. If both have rows, the app uses Vercel and reports a duplicate-source warning.</w:t>
            </w:r>
          </w:p>
        </w:tc>
      </w:tr>
    </w:tbl>
    <w:p/>
    <w:p>
      <w:pPr>
        <w:spacing w:before="300" w:after="100"/>
      </w:pPr>
      <w:r>
        <w:rPr>
          <w:rFonts w:ascii="Aptos Display" w:hAnsi="Aptos Display"/>
          <w:b/>
          <w:color w:val="0EA5C6"/>
          <w:sz w:val="34"/>
        </w:rPr>
        <w:t>4. Update and Publish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720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5616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Planner action</w:t>
            </w:r>
          </w:p>
        </w:tc>
        <w:tc>
          <w:tcPr>
            <w:tcW w:type="dxa" w:w="3744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control</w:t>
            </w:r>
          </w:p>
        </w:tc>
      </w:tr>
      <w:tr>
        <w:tc>
          <w:tcPr>
            <w:tcW w:type="dxa" w:w="72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1</w:t>
            </w:r>
          </w:p>
        </w:tc>
        <w:tc>
          <w:tcPr>
            <w:tcW w:type="dxa" w:w="561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Update only the owning project folder and retain project_id on each imported row.</w:t>
            </w:r>
          </w:p>
        </w:tc>
        <w:tc>
          <w:tcPr>
            <w:tcW w:type="dxa" w:w="374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No data is silently taken from another project.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2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Run the local generator and validation before publishing.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The generator refreshes selected-project JSON and output artifacts; the validator checks isolation and source contracts.</w:t>
            </w:r>
          </w:p>
        </w:tc>
      </w:tr>
      <w:tr>
        <w:tc>
          <w:tcPr>
            <w:tcW w:type="dxa" w:w="72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3</w:t>
            </w:r>
          </w:p>
        </w:tc>
        <w:tc>
          <w:tcPr>
            <w:tcW w:type="dxa" w:w="561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Review chart readiness cards and the data-quality findings for that project.</w:t>
            </w:r>
          </w:p>
        </w:tc>
        <w:tc>
          <w:tcPr>
            <w:tcW w:type="dxa" w:w="374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Missing input is visible as an action, never plotted as zero or substituted.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4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Run the Vercel publisher/watch workflow after validation passes.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The publisher regenerates, builds, synchronizes, deploys, and checks public assets.</w:t>
            </w:r>
          </w:p>
        </w:tc>
      </w:tr>
      <w:tr>
        <w:tc>
          <w:tcPr>
            <w:tcW w:type="dxa" w:w="72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5</w:t>
            </w:r>
          </w:p>
        </w:tc>
        <w:tc>
          <w:tcPr>
            <w:tcW w:type="dxa" w:w="561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Use Output Studio to issue formal outputs.</w:t>
            </w:r>
          </w:p>
        </w:tc>
        <w:tc>
          <w:tcPr>
            <w:tcW w:type="dxa" w:w="374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HTML, PDF, PowerPoint, and supporting files remain project-scoped and traceable.</w:t>
            </w:r>
          </w:p>
        </w:tc>
      </w:tr>
    </w:tbl>
    <w:p/>
    <w:p>
      <w:pPr>
        <w:spacing w:before="300" w:after="100"/>
      </w:pPr>
      <w:r>
        <w:rPr>
          <w:rFonts w:ascii="Aptos Display" w:hAnsi="Aptos Display"/>
          <w:b/>
          <w:color w:val="0EA5C6"/>
          <w:sz w:val="34"/>
        </w:rPr>
        <w:t>5. Chart-to-Source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800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Tab</w:t>
            </w:r>
          </w:p>
        </w:tc>
        <w:tc>
          <w:tcPr>
            <w:tcW w:type="dxa" w:w="5904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Chart source priority</w:t>
            </w:r>
          </w:p>
        </w:tc>
        <w:tc>
          <w:tcPr>
            <w:tcW w:type="dxa" w:w="2376"/>
            <w:shd w:fill="0B1F3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Missing-data message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Overview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s_curve.csv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Overview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projects.csv, progress_updates.csv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Overview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activities.csv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Overview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vercel/discipline_progress_history.csv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Overview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evm.csv, vercel/evm_period_history.csv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Overview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evm.csv, vercel/evm_period_history.csv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WBS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wbs.csv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WBS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wbs.csv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Activities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activities.csv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Activities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activities.csv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Activities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activities.csv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Activities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vercel/activity_completion_history.csv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Activities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activities.csv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Milestones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milestones.csv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Milestones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milestones.csv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Milestones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milestones.csv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S-Curve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s_curve.csv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S-Curve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vercel/discipline_progress_history.csv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S-Curve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s_curve.csv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EVM Analysis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evm.csv, vercel/evm_period_history.csv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EVM Analysis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evm.csv, projects.csv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EVM Analysis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evm.csv, vercel/evm_period_history.csv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EVM Analysis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evm.csv, vercel/evm_period_history.csv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Contracts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payments.csv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Contracts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vercel/planned_cash_flow.csv, planned_cash_flow.csv, payments.csv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Contracts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payments.csv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Contracts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contracts.csv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Risks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risks.csv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Risks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risks.csv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Risks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vercel/risk_assessment_history.csv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Risks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vercel/risk_assessment_history.csv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Delay Analysis - Time Impact Analysis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delay_events.csv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Delay Analysis - Time Impact Analysis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vercel/delay_event_classification.csv, 14-delay_event_classification.csv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Delay Analysis - Time Impact Analysis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vercel/delay_event_classification.csv, 14-delay_event_classification.csv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Delay Analysis - Time Impact Analysis</w:t>
            </w:r>
          </w:p>
        </w:tc>
        <w:tc>
          <w:tcPr>
            <w:tcW w:type="dxa" w:w="5904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vercel/delay_event_classification.csv, delay_events.csv</w:t>
            </w:r>
          </w:p>
        </w:tc>
        <w:tc>
          <w:tcPr>
            <w:tcW w:type="dxa" w:w="2376"/>
            <w:shd w:fill="E8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0B1F36"/>
                <w:sz w:val="17"/>
              </w:rPr>
              <w:t>Delay Analysis - Time Impact Analysis</w:t>
            </w:r>
          </w:p>
        </w:tc>
        <w:tc>
          <w:tcPr>
            <w:tcW w:type="dxa" w:w="5904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vercel/tia_recovery_scenario.csv, 15-tia_recovery_scenario.csv</w:t>
            </w:r>
          </w:p>
        </w:tc>
        <w:tc>
          <w:tcPr>
            <w:tcW w:type="dxa" w:w="237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B1F36"/>
                <w:sz w:val="17"/>
              </w:rPr>
              <w:t>Same-sized readiness card naming the required source.</w:t>
            </w:r>
          </w:p>
        </w:tc>
      </w:tr>
    </w:tbl>
    <w:p/>
    <w:p>
      <w:pPr>
        <w:spacing w:before="300" w:after="100"/>
      </w:pPr>
      <w:r>
        <w:rPr>
          <w:rFonts w:ascii="Aptos Display" w:hAnsi="Aptos Display"/>
          <w:b/>
          <w:color w:val="0EA5C6"/>
          <w:sz w:val="34"/>
        </w:rPr>
        <w:t>6. Troubleshooting</w:t>
      </w:r>
    </w:p>
    <w:p>
      <w:pPr>
        <w:pStyle w:val="ListBullet"/>
        <w:spacing w:after="60"/>
      </w:pPr>
      <w:r>
        <w:rPr>
          <w:rFonts w:ascii="Aptos" w:hAnsi="Aptos"/>
          <w:color w:val="263548"/>
          <w:sz w:val="18"/>
        </w:rPr>
        <w:t>A chart shows awaiting data: complete the named source for the selected project; do not copy a row from another project.</w:t>
      </w:r>
    </w:p>
    <w:p>
      <w:pPr>
        <w:pStyle w:val="ListBullet"/>
        <w:spacing w:after="60"/>
      </w:pPr>
      <w:r>
        <w:rPr>
          <w:rFonts w:ascii="Aptos" w:hAnsi="Aptos"/>
          <w:color w:val="263548"/>
          <w:sz w:val="18"/>
        </w:rPr>
        <w:t>A chart data warning appears: check project_id, date format, duplicate periods, event/activity references, and required verification status.</w:t>
      </w:r>
    </w:p>
    <w:p>
      <w:pPr>
        <w:pStyle w:val="ListBullet"/>
        <w:spacing w:after="60"/>
      </w:pPr>
      <w:r>
        <w:rPr>
          <w:rFonts w:ascii="Aptos" w:hAnsi="Aptos"/>
          <w:color w:val="263548"/>
          <w:sz w:val="18"/>
        </w:rPr>
        <w:t>A Vercel template does not appear: re-run project discovery/generation; it creates missing templates without overwriting user files.</w:t>
      </w:r>
    </w:p>
    <w:p>
      <w:pPr>
        <w:pStyle w:val="ListBullet"/>
        <w:spacing w:after="60"/>
      </w:pPr>
      <w:r>
        <w:rPr>
          <w:rFonts w:ascii="Aptos" w:hAnsi="Aptos"/>
          <w:color w:val="263548"/>
          <w:sz w:val="18"/>
        </w:rPr>
        <w:t>A TIA result is not final: check the P6 reference, relationship evidence, concurrency, authorized contract route, and evidence reference.</w:t>
      </w:r>
    </w:p>
    <w:p>
      <w:pPr>
        <w:pStyle w:val="ListBullet"/>
        <w:spacing w:after="60"/>
      </w:pPr>
      <w:r>
        <w:rPr>
          <w:rFonts w:ascii="Aptos" w:hAnsi="Aptos"/>
          <w:color w:val="263548"/>
          <w:sz w:val="18"/>
        </w:rPr>
        <w:t>A public site value is stale: run the generator, the validation script, and then the Vercel publisher. Confirm the project JSON timestamp before reviewing the website.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25466"/>
        <w:sz w:val="16"/>
      </w:rPr>
      <w:t>Designed &amp; Created | Engr. Ahmed Labib | Project Intelligence Hub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EA5C6"/>
        <w:sz w:val="16"/>
      </w:rPr>
      <w:t>SAMCO PROJECT INTELLIGENCE 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