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Delay Analysis - Time Impact Analysis</w:t>
      </w:r>
    </w:p>
    <w:p>
      <w:r>
        <w:t>LMD Bridge &amp; Road Interchange</w:t>
      </w:r>
    </w:p>
    <w:p>
      <w:r>
        <w:t>Not calculated</w:t>
      </w:r>
    </w:p>
    <w:p>
      <w:pPr>
        <w:pStyle w:val="Heading1"/>
      </w:pPr>
      <w:r>
        <w:t>Source Pair and Event Register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70"/>
        <w:gridCol w:w="3370"/>
        <w:gridCol w:w="3370"/>
        <w:gridCol w:w="3370"/>
        <w:gridCol w:w="3370"/>
        <w:gridCol w:w="3370"/>
      </w:tblGrid>
      <w:tr>
        <w:tc>
          <w:tcPr>
            <w:tcW w:type="dxa" w:w="3370"/>
          </w:tcPr>
          <w:p>
            <w:r>
              <w:t>Event Id</w:t>
            </w:r>
          </w:p>
        </w:tc>
        <w:tc>
          <w:tcPr>
            <w:tcW w:type="dxa" w:w="3370"/>
          </w:tcPr>
          <w:p>
            <w:r>
              <w:t>Analysis Status</w:t>
            </w:r>
          </w:p>
        </w:tc>
        <w:tc>
          <w:tcPr>
            <w:tcW w:type="dxa" w:w="3370"/>
          </w:tcPr>
          <w:p>
            <w:r>
              <w:t>Before Data Date</w:t>
            </w:r>
          </w:p>
        </w:tc>
        <w:tc>
          <w:tcPr>
            <w:tcW w:type="dxa" w:w="3370"/>
          </w:tcPr>
          <w:p>
            <w:r>
              <w:t>After Data Date</w:t>
            </w:r>
          </w:p>
        </w:tc>
        <w:tc>
          <w:tcPr>
            <w:tcW w:type="dxa" w:w="3370"/>
          </w:tcPr>
          <w:p>
            <w:r>
              <w:t>Indicative Finish Movement Days</w:t>
            </w:r>
          </w:p>
        </w:tc>
        <w:tc>
          <w:tcPr>
            <w:tcW w:type="dxa" w:w="3370"/>
          </w:tcPr>
          <w:p>
            <w:r>
              <w:t>Blocking Reason</w:t>
            </w:r>
          </w:p>
        </w:tc>
      </w:tr>
    </w:tbl>
    <w:p>
      <w:pPr>
        <w:pStyle w:val="Heading1"/>
      </w:pPr>
      <w:r>
        <w:t>Evidence Gaps</w:t>
      </w:r>
    </w:p>
    <w:p>
      <w:pPr>
        <w:pStyle w:val="ListBullet"/>
      </w:pPr>
      <w:r>
        <w:t>Add a project-local submitted TIA source manifest before native XER assessment can run.</w:t>
      </w:r>
    </w:p>
    <w:sectPr w:rsidR="00FC693F" w:rsidRPr="0006063C" w:rsidSect="00034616">
      <w:pgSz w:w="23818" w:h="16834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