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Delay Analysis - Time Impact Analysis</w:t>
      </w:r>
    </w:p>
    <w:p>
      <w:r>
        <w:t>Suez Tunnel Civil &amp; MEP Works</w:t>
      </w:r>
    </w:p>
    <w:p>
      <w:r>
        <w:t>Not calculated</w:t>
      </w:r>
    </w:p>
    <w:p>
      <w:pPr>
        <w:pStyle w:val="Heading1"/>
      </w:pPr>
      <w:r>
        <w:t>Source Pair and Event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0"/>
        <w:gridCol w:w="3370"/>
        <w:gridCol w:w="3370"/>
        <w:gridCol w:w="3370"/>
        <w:gridCol w:w="3370"/>
        <w:gridCol w:w="3370"/>
      </w:tblGrid>
      <w:tr>
        <w:tc>
          <w:tcPr>
            <w:tcW w:type="dxa" w:w="3370"/>
          </w:tcPr>
          <w:p>
            <w:r>
              <w:t>Event Id</w:t>
            </w:r>
          </w:p>
        </w:tc>
        <w:tc>
          <w:tcPr>
            <w:tcW w:type="dxa" w:w="3370"/>
          </w:tcPr>
          <w:p>
            <w:r>
              <w:t>Analysis Status</w:t>
            </w:r>
          </w:p>
        </w:tc>
        <w:tc>
          <w:tcPr>
            <w:tcW w:type="dxa" w:w="3370"/>
          </w:tcPr>
          <w:p>
            <w:r>
              <w:t>Before Data Date</w:t>
            </w:r>
          </w:p>
        </w:tc>
        <w:tc>
          <w:tcPr>
            <w:tcW w:type="dxa" w:w="3370"/>
          </w:tcPr>
          <w:p>
            <w:r>
              <w:t>After Data Date</w:t>
            </w:r>
          </w:p>
        </w:tc>
        <w:tc>
          <w:tcPr>
            <w:tcW w:type="dxa" w:w="3370"/>
          </w:tcPr>
          <w:p>
            <w:r>
              <w:t>Indicative Finish Movement Days</w:t>
            </w:r>
          </w:p>
        </w:tc>
        <w:tc>
          <w:tcPr>
            <w:tcW w:type="dxa" w:w="3370"/>
          </w:tcPr>
          <w:p>
            <w:r>
              <w:t>Blocking Reason</w:t>
            </w:r>
          </w:p>
        </w:tc>
      </w:tr>
    </w:tbl>
    <w:p>
      <w:pPr>
        <w:pStyle w:val="Heading1"/>
      </w:pPr>
      <w:r>
        <w:t>Evidence Gaps</w:t>
      </w:r>
    </w:p>
    <w:p>
      <w:pPr>
        <w:pStyle w:val="ListBullet"/>
      </w:pPr>
      <w:r>
        <w:t>Add a project-local submitted TIA source manifest before native XER assessment can run.</w:t>
      </w:r>
    </w:p>
    <w:sectPr w:rsidR="00FC693F" w:rsidRPr="0006063C" w:rsidSect="00034616">
      <w:pgSz w:w="23818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