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Delay Analysis - Time Impact Analysis</w:t>
      </w:r>
    </w:p>
    <w:p>
      <w:r>
        <w:t>ROYA-BIG PROJECT PHASE01 (B1-4)</w:t>
      </w:r>
    </w:p>
    <w:p>
      <w:r>
        <w:t>Not calculated - individual indicative movements must not be summed without validated overlap, concurrency, and entitlement analysis.</w:t>
      </w:r>
    </w:p>
    <w:p>
      <w:pPr>
        <w:pStyle w:val="Heading1"/>
      </w:pPr>
      <w:r>
        <w:t>Source Pair and Event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0"/>
        <w:gridCol w:w="3370"/>
        <w:gridCol w:w="3370"/>
        <w:gridCol w:w="3370"/>
        <w:gridCol w:w="3370"/>
        <w:gridCol w:w="3370"/>
      </w:tblGrid>
      <w:tr>
        <w:tc>
          <w:tcPr>
            <w:tcW w:type="dxa" w:w="3370"/>
          </w:tcPr>
          <w:p>
            <w:r>
              <w:t>Event Id</w:t>
            </w:r>
          </w:p>
        </w:tc>
        <w:tc>
          <w:tcPr>
            <w:tcW w:type="dxa" w:w="3370"/>
          </w:tcPr>
          <w:p>
            <w:r>
              <w:t>Analysis Status</w:t>
            </w:r>
          </w:p>
        </w:tc>
        <w:tc>
          <w:tcPr>
            <w:tcW w:type="dxa" w:w="3370"/>
          </w:tcPr>
          <w:p>
            <w:r>
              <w:t>Before Data Date</w:t>
            </w:r>
          </w:p>
        </w:tc>
        <w:tc>
          <w:tcPr>
            <w:tcW w:type="dxa" w:w="3370"/>
          </w:tcPr>
          <w:p>
            <w:r>
              <w:t>After Data Date</w:t>
            </w:r>
          </w:p>
        </w:tc>
        <w:tc>
          <w:tcPr>
            <w:tcW w:type="dxa" w:w="3370"/>
          </w:tcPr>
          <w:p>
            <w:r>
              <w:t>Indicative Finish Movement Days</w:t>
            </w:r>
          </w:p>
        </w:tc>
        <w:tc>
          <w:tcPr>
            <w:tcW w:type="dxa" w:w="3370"/>
          </w:tcPr>
          <w:p>
            <w:r>
              <w:t>Blocking Reason</w:t>
            </w:r>
          </w:p>
        </w:tc>
      </w:tr>
      <w:tr>
        <w:tc>
          <w:tcPr>
            <w:tcW w:type="dxa" w:w="3370"/>
          </w:tcPr>
          <w:p>
            <w:r>
              <w:t>EV01-B01</w:t>
            </w:r>
          </w:p>
        </w:tc>
        <w:tc>
          <w:tcPr>
            <w:tcW w:type="dxa" w:w="3370"/>
          </w:tcPr>
          <w:p>
            <w:r>
              <w:t>indicative_ready</w:t>
            </w:r>
          </w:p>
        </w:tc>
        <w:tc>
          <w:tcPr>
            <w:tcW w:type="dxa" w:w="3370"/>
          </w:tcPr>
          <w:p>
            <w:r>
              <w:t>2025-10-31</w:t>
            </w:r>
          </w:p>
        </w:tc>
        <w:tc>
          <w:tcPr>
            <w:tcW w:type="dxa" w:w="3370"/>
          </w:tcPr>
          <w:p>
            <w:r>
              <w:t>2025-10-31</w:t>
            </w:r>
          </w:p>
        </w:tc>
        <w:tc>
          <w:tcPr>
            <w:tcW w:type="dxa" w:w="3370"/>
          </w:tcPr>
          <w:p>
            <w:r>
              <w:t>8.0</w:t>
            </w:r>
          </w:p>
        </w:tc>
        <w:tc>
          <w:tcPr>
            <w:tcW w:type="dxa" w:w="3370"/>
          </w:tcPr>
          <w:p>
            <w:r/>
          </w:p>
        </w:tc>
      </w:tr>
      <w:tr>
        <w:tc>
          <w:tcPr>
            <w:tcW w:type="dxa" w:w="3370"/>
          </w:tcPr>
          <w:p>
            <w:r>
              <w:t>EV01-B02</w:t>
            </w:r>
          </w:p>
        </w:tc>
        <w:tc>
          <w:tcPr>
            <w:tcW w:type="dxa" w:w="3370"/>
          </w:tcPr>
          <w:p>
            <w:r>
              <w:t>indicative_ready</w:t>
            </w:r>
          </w:p>
        </w:tc>
        <w:tc>
          <w:tcPr>
            <w:tcW w:type="dxa" w:w="3370"/>
          </w:tcPr>
          <w:p>
            <w:r>
              <w:t>2025-11-26</w:t>
            </w:r>
          </w:p>
        </w:tc>
        <w:tc>
          <w:tcPr>
            <w:tcW w:type="dxa" w:w="3370"/>
          </w:tcPr>
          <w:p>
            <w:r>
              <w:t>2025-11-26</w:t>
            </w:r>
          </w:p>
        </w:tc>
        <w:tc>
          <w:tcPr>
            <w:tcW w:type="dxa" w:w="3370"/>
          </w:tcPr>
          <w:p>
            <w:r>
              <w:t>117.0</w:t>
            </w:r>
          </w:p>
        </w:tc>
        <w:tc>
          <w:tcPr>
            <w:tcW w:type="dxa" w:w="3370"/>
          </w:tcPr>
          <w:p>
            <w:r/>
          </w:p>
        </w:tc>
      </w:tr>
      <w:tr>
        <w:tc>
          <w:tcPr>
            <w:tcW w:type="dxa" w:w="3370"/>
          </w:tcPr>
          <w:p>
            <w:r>
              <w:t>EV02-IFC</w:t>
            </w:r>
          </w:p>
        </w:tc>
        <w:tc>
          <w:tcPr>
            <w:tcW w:type="dxa" w:w="3370"/>
          </w:tcPr>
          <w:p>
            <w:r>
              <w:t>indicative_ready</w:t>
            </w:r>
          </w:p>
        </w:tc>
        <w:tc>
          <w:tcPr>
            <w:tcW w:type="dxa" w:w="3370"/>
          </w:tcPr>
          <w:p>
            <w:r>
              <w:t>2026-03-17</w:t>
            </w:r>
          </w:p>
        </w:tc>
        <w:tc>
          <w:tcPr>
            <w:tcW w:type="dxa" w:w="3370"/>
          </w:tcPr>
          <w:p>
            <w:r>
              <w:t>2026-03-17</w:t>
            </w:r>
          </w:p>
        </w:tc>
        <w:tc>
          <w:tcPr>
            <w:tcW w:type="dxa" w:w="3370"/>
          </w:tcPr>
          <w:p>
            <w:r>
              <w:t>76.0</w:t>
            </w:r>
          </w:p>
        </w:tc>
        <w:tc>
          <w:tcPr>
            <w:tcW w:type="dxa" w:w="3370"/>
          </w:tcPr>
          <w:p>
            <w:r/>
          </w:p>
        </w:tc>
      </w:tr>
      <w:tr>
        <w:tc>
          <w:tcPr>
            <w:tcW w:type="dxa" w:w="3370"/>
          </w:tcPr>
          <w:p>
            <w:r>
              <w:t>EV03-MEP</w:t>
            </w:r>
          </w:p>
        </w:tc>
        <w:tc>
          <w:tcPr>
            <w:tcW w:type="dxa" w:w="3370"/>
          </w:tcPr>
          <w:p>
            <w:r>
              <w:t>blocked</w:t>
            </w:r>
          </w:p>
        </w:tc>
        <w:tc>
          <w:tcPr>
            <w:tcW w:type="dxa" w:w="3370"/>
          </w:tcPr>
          <w:p>
            <w:r>
              <w:t>2025-12-25</w:t>
            </w:r>
          </w:p>
        </w:tc>
        <w:tc>
          <w:tcPr>
            <w:tcW w:type="dxa" w:w="3370"/>
          </w:tcPr>
          <w:p>
            <w:r>
              <w:t>2026-03-17</w:t>
            </w:r>
          </w:p>
        </w:tc>
        <w:tc>
          <w:tcPr>
            <w:tcW w:type="dxa" w:w="3370"/>
          </w:tcPr>
          <w:p>
            <w:r/>
          </w:p>
        </w:tc>
        <w:tc>
          <w:tcPr>
            <w:tcW w:type="dxa" w:w="3370"/>
          </w:tcPr>
          <w:p>
            <w:r>
              <w:t>Before/after XER internal P6 data dates are not a validated same-date comparison.</w:t>
            </w:r>
          </w:p>
        </w:tc>
      </w:tr>
    </w:tbl>
    <w:p>
      <w:pPr>
        <w:pStyle w:val="Heading1"/>
      </w:pPr>
      <w:r>
        <w:t>Evidence Gaps</w:t>
      </w:r>
    </w:p>
    <w:p>
      <w:pPr>
        <w:pStyle w:val="ListBullet"/>
      </w:pPr>
      <w:r>
        <w:t>Resolve blocked XER pairs before using all submitted events in a consolidated EOT position.</w:t>
      </w:r>
    </w:p>
    <w:sectPr w:rsidR="00FC693F" w:rsidRPr="0006063C" w:rsidSect="00034616">
      <w:pgSz w:w="23818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