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40"/>
      </w:pPr>
      <w:r>
        <w:rPr>
          <w:rFonts w:ascii="Calibri" w:hAnsi="Calibri"/>
          <w:b/>
          <w:i w:val="0"/>
          <w:color w:val="2F75B5"/>
          <w:sz w:val="26"/>
        </w:rPr>
        <w:t>SAMCO</w:t>
      </w:r>
    </w:p>
    <w:p>
      <w:pPr>
        <w:spacing w:after="160"/>
      </w:pPr>
      <w:r>
        <w:rPr>
          <w:rFonts w:ascii="Calibri" w:hAnsi="Calibri"/>
          <w:b/>
          <w:i w:val="0"/>
          <w:color w:val="17365D"/>
          <w:sz w:val="58"/>
        </w:rPr>
        <w:t>THE BIG</w:t>
      </w:r>
    </w:p>
    <w:p>
      <w:pPr>
        <w:spacing w:after="100"/>
      </w:pPr>
      <w:r>
        <w:rPr>
          <w:rFonts w:ascii="Calibri" w:hAnsi="Calibri"/>
          <w:b/>
          <w:i w:val="0"/>
          <w:color w:val="2F75B5"/>
          <w:sz w:val="36"/>
        </w:rPr>
        <w:t>Contract, Evidence &amp; Delay Intelligence Platform</w:t>
      </w:r>
    </w:p>
    <w:p>
      <w:pPr>
        <w:spacing w:after="560"/>
      </w:pPr>
      <w:r>
        <w:rPr>
          <w:rFonts w:ascii="Calibri" w:hAnsi="Calibri"/>
          <w:b w:val="0"/>
          <w:i w:val="0"/>
          <w:color w:val="6B7280"/>
          <w:sz w:val="26"/>
        </w:rPr>
        <w:t>Complete Technical and Operating Guide</w:t>
      </w:r>
    </w:p>
    <w:tbl>
      <w:tblPr>
        <w:tblStyle w:val="TableGrid"/>
        <w:tblW w:type="dxa" w:w="9360"/>
        <w:jc w:val="center"/>
        <w:tblLayout w:type="fixed"/>
        <w:tblLook w:firstColumn="1" w:firstRow="1" w:lastColumn="0" w:lastRow="0" w:noHBand="0" w:noVBand="1" w:val="04A0"/>
        <w:tblInd w:w="120" w:type="dxa"/>
      </w:tblPr>
      <w:tblGrid>
        <w:gridCol w:w="1800"/>
        <w:gridCol w:w="7560"/>
      </w:tblGrid>
      <w:tr>
        <w:tc>
          <w:tcPr>
            <w:tcW w:type="dxa" w:w="1800"/>
            <w:shd w:fill="F2F4F7"/>
            <w:tcMar>
              <w:top w:w="90" w:type="dxa"/>
              <w:start w:w="120" w:type="dxa"/>
              <w:bottom w:w="90" w:type="dxa"/>
              <w:end w:w="120" w:type="dxa"/>
            </w:tcMar>
            <w:vAlign w:val="center"/>
          </w:tcPr>
          <w:p>
            <w:pPr>
              <w:keepLines w:val="0"/>
              <w:widowControl/>
              <w:spacing w:before="0" w:after="0" w:line="264" w:lineRule="auto"/>
              <w:jc w:val="left"/>
            </w:pPr>
            <w:r>
              <w:rPr>
                <w:rFonts w:ascii="Calibri" w:hAnsi="Calibri"/>
                <w:b/>
                <w:i w:val="0"/>
                <w:color w:val="17365D"/>
                <w:sz w:val="20"/>
              </w:rPr>
              <w:t>Version</w:t>
            </w:r>
          </w:p>
        </w:tc>
        <w:tc>
          <w:tcPr>
            <w:tcW w:type="dxa" w:w="7560"/>
            <w:shd w:fill="FFFFFF"/>
            <w:tcMar>
              <w:top w:w="90" w:type="dxa"/>
              <w:start w:w="120" w:type="dxa"/>
              <w:bottom w:w="90" w:type="dxa"/>
              <w:end w:w="120" w:type="dxa"/>
            </w:tcMar>
            <w:vAlign w:val="center"/>
          </w:tcPr>
          <w:p>
            <w:pPr>
              <w:keepLines w:val="0"/>
              <w:widowControl/>
              <w:spacing w:before="0" w:after="0" w:line="264" w:lineRule="auto"/>
              <w:jc w:val="left"/>
            </w:pPr>
            <w:r>
              <w:rPr>
                <w:rFonts w:ascii="Calibri" w:hAnsi="Calibri"/>
                <w:b w:val="0"/>
                <w:i w:val="0"/>
                <w:color w:val="243447"/>
                <w:sz w:val="20"/>
              </w:rPr>
              <w:t>1.6.0</w:t>
            </w:r>
          </w:p>
        </w:tc>
      </w:tr>
      <w:tr>
        <w:tc>
          <w:tcPr>
            <w:tcW w:type="dxa" w:w="1800"/>
            <w:shd w:fill="F2F4F7"/>
            <w:tcMar>
              <w:top w:w="90" w:type="dxa"/>
              <w:start w:w="120" w:type="dxa"/>
              <w:bottom w:w="90" w:type="dxa"/>
              <w:end w:w="120" w:type="dxa"/>
            </w:tcMar>
            <w:vAlign w:val="center"/>
          </w:tcPr>
          <w:p>
            <w:pPr>
              <w:keepLines w:val="0"/>
              <w:widowControl/>
              <w:spacing w:before="0" w:after="0" w:line="264" w:lineRule="auto"/>
              <w:jc w:val="left"/>
            </w:pPr>
            <w:r>
              <w:rPr>
                <w:rFonts w:ascii="Calibri" w:hAnsi="Calibri"/>
                <w:b/>
                <w:i w:val="0"/>
                <w:color w:val="17365D"/>
                <w:sz w:val="20"/>
              </w:rPr>
              <w:t>Project</w:t>
            </w:r>
          </w:p>
        </w:tc>
        <w:tc>
          <w:tcPr>
            <w:tcW w:type="dxa" w:w="7560"/>
            <w:shd w:fill="FFFFFF"/>
            <w:tcMar>
              <w:top w:w="90" w:type="dxa"/>
              <w:start w:w="120" w:type="dxa"/>
              <w:bottom w:w="90" w:type="dxa"/>
              <w:end w:w="120" w:type="dxa"/>
            </w:tcMar>
            <w:vAlign w:val="center"/>
          </w:tcPr>
          <w:p>
            <w:pPr>
              <w:keepLines w:val="0"/>
              <w:widowControl/>
              <w:spacing w:before="0" w:after="0" w:line="264" w:lineRule="auto"/>
              <w:jc w:val="left"/>
            </w:pPr>
            <w:r>
              <w:rPr>
                <w:rFonts w:ascii="Calibri" w:hAnsi="Calibri"/>
                <w:b w:val="0"/>
                <w:i w:val="0"/>
                <w:color w:val="243447"/>
                <w:sz w:val="20"/>
              </w:rPr>
              <w:t>THE BIG — Phase 01</w:t>
            </w:r>
          </w:p>
        </w:tc>
      </w:tr>
      <w:tr>
        <w:tc>
          <w:tcPr>
            <w:tcW w:type="dxa" w:w="1800"/>
            <w:shd w:fill="F2F4F7"/>
            <w:tcMar>
              <w:top w:w="90" w:type="dxa"/>
              <w:start w:w="120" w:type="dxa"/>
              <w:bottom w:w="90" w:type="dxa"/>
              <w:end w:w="120" w:type="dxa"/>
            </w:tcMar>
            <w:vAlign w:val="center"/>
          </w:tcPr>
          <w:p>
            <w:pPr>
              <w:keepLines w:val="0"/>
              <w:widowControl/>
              <w:spacing w:before="0" w:after="0" w:line="264" w:lineRule="auto"/>
              <w:jc w:val="left"/>
            </w:pPr>
            <w:r>
              <w:rPr>
                <w:rFonts w:ascii="Calibri" w:hAnsi="Calibri"/>
                <w:b/>
                <w:i w:val="0"/>
                <w:color w:val="17365D"/>
                <w:sz w:val="20"/>
              </w:rPr>
              <w:t>Contractor</w:t>
            </w:r>
          </w:p>
        </w:tc>
        <w:tc>
          <w:tcPr>
            <w:tcW w:type="dxa" w:w="7560"/>
            <w:shd w:fill="FFFFFF"/>
            <w:tcMar>
              <w:top w:w="90" w:type="dxa"/>
              <w:start w:w="120" w:type="dxa"/>
              <w:bottom w:w="90" w:type="dxa"/>
              <w:end w:w="120" w:type="dxa"/>
            </w:tcMar>
            <w:vAlign w:val="center"/>
          </w:tcPr>
          <w:p>
            <w:pPr>
              <w:keepLines w:val="0"/>
              <w:widowControl/>
              <w:spacing w:before="0" w:after="0" w:line="264" w:lineRule="auto"/>
              <w:jc w:val="left"/>
            </w:pPr>
            <w:r>
              <w:rPr>
                <w:rFonts w:ascii="Calibri" w:hAnsi="Calibri"/>
                <w:b w:val="0"/>
                <w:i w:val="0"/>
                <w:color w:val="243447"/>
                <w:sz w:val="20"/>
              </w:rPr>
              <w:t>SAMCO</w:t>
            </w:r>
          </w:p>
        </w:tc>
      </w:tr>
      <w:tr>
        <w:tc>
          <w:tcPr>
            <w:tcW w:type="dxa" w:w="1800"/>
            <w:shd w:fill="F2F4F7"/>
            <w:tcMar>
              <w:top w:w="90" w:type="dxa"/>
              <w:start w:w="120" w:type="dxa"/>
              <w:bottom w:w="90" w:type="dxa"/>
              <w:end w:w="120" w:type="dxa"/>
            </w:tcMar>
            <w:vAlign w:val="center"/>
          </w:tcPr>
          <w:p>
            <w:pPr>
              <w:keepLines w:val="0"/>
              <w:widowControl/>
              <w:spacing w:before="0" w:after="0" w:line="264" w:lineRule="auto"/>
              <w:jc w:val="left"/>
            </w:pPr>
            <w:r>
              <w:rPr>
                <w:rFonts w:ascii="Calibri" w:hAnsi="Calibri"/>
                <w:b/>
                <w:i w:val="0"/>
                <w:color w:val="17365D"/>
                <w:sz w:val="20"/>
              </w:rPr>
              <w:t>Document Date</w:t>
            </w:r>
          </w:p>
        </w:tc>
        <w:tc>
          <w:tcPr>
            <w:tcW w:type="dxa" w:w="7560"/>
            <w:shd w:fill="FFFFFF"/>
            <w:tcMar>
              <w:top w:w="90" w:type="dxa"/>
              <w:start w:w="120" w:type="dxa"/>
              <w:bottom w:w="90" w:type="dxa"/>
              <w:end w:w="120" w:type="dxa"/>
            </w:tcMar>
            <w:vAlign w:val="center"/>
          </w:tcPr>
          <w:p>
            <w:pPr>
              <w:keepLines w:val="0"/>
              <w:widowControl/>
              <w:spacing w:before="0" w:after="0" w:line="264" w:lineRule="auto"/>
              <w:jc w:val="left"/>
            </w:pPr>
            <w:r>
              <w:rPr>
                <w:rFonts w:ascii="Calibri" w:hAnsi="Calibri"/>
                <w:b w:val="0"/>
                <w:i w:val="0"/>
                <w:color w:val="243447"/>
                <w:sz w:val="20"/>
              </w:rPr>
              <w:t>27 July 2026</w:t>
            </w:r>
          </w:p>
        </w:tc>
      </w:tr>
      <w:tr>
        <w:tc>
          <w:tcPr>
            <w:tcW w:type="dxa" w:w="1800"/>
            <w:shd w:fill="F2F4F7"/>
            <w:tcMar>
              <w:top w:w="90" w:type="dxa"/>
              <w:start w:w="120" w:type="dxa"/>
              <w:bottom w:w="90" w:type="dxa"/>
              <w:end w:w="120" w:type="dxa"/>
            </w:tcMar>
            <w:vAlign w:val="center"/>
          </w:tcPr>
          <w:p>
            <w:pPr>
              <w:keepLines w:val="0"/>
              <w:widowControl/>
              <w:spacing w:before="0" w:after="0" w:line="264" w:lineRule="auto"/>
              <w:jc w:val="left"/>
            </w:pPr>
            <w:r>
              <w:rPr>
                <w:rFonts w:ascii="Calibri" w:hAnsi="Calibri"/>
                <w:b/>
                <w:i w:val="0"/>
                <w:color w:val="17365D"/>
                <w:sz w:val="20"/>
              </w:rPr>
              <w:t>Prepared by</w:t>
            </w:r>
          </w:p>
        </w:tc>
        <w:tc>
          <w:tcPr>
            <w:tcW w:type="dxa" w:w="7560"/>
            <w:shd w:fill="FFFFFF"/>
            <w:tcMar>
              <w:top w:w="90" w:type="dxa"/>
              <w:start w:w="120" w:type="dxa"/>
              <w:bottom w:w="90" w:type="dxa"/>
              <w:end w:w="120" w:type="dxa"/>
            </w:tcMar>
            <w:vAlign w:val="center"/>
          </w:tcPr>
          <w:p>
            <w:pPr>
              <w:keepLines w:val="0"/>
              <w:widowControl/>
              <w:spacing w:before="0" w:after="0" w:line="264" w:lineRule="auto"/>
              <w:jc w:val="left"/>
            </w:pPr>
            <w:r>
              <w:rPr>
                <w:rFonts w:ascii="Calibri" w:hAnsi="Calibri"/>
                <w:b w:val="0"/>
                <w:i w:val="0"/>
                <w:color w:val="243447"/>
                <w:sz w:val="20"/>
              </w:rPr>
              <w:t>Eng. Ahmed Labib</w:t>
            </w:r>
          </w:p>
        </w:tc>
      </w:tr>
    </w:tbl>
    <w:p>
      <w:pPr>
        <w:spacing w:before="720" w:after="80"/>
      </w:pPr>
      <w:r>
        <w:rPr>
          <w:rFonts w:ascii="Calibri" w:hAnsi="Calibri"/>
          <w:b/>
          <w:i w:val="0"/>
          <w:color w:val="9C6B00"/>
          <w:sz w:val="18"/>
        </w:rPr>
        <w:t>CONTROLLED PURPOSE</w:t>
      </w:r>
    </w:p>
    <w:p>
      <w:pPr>
        <w:keepLines w:val="0"/>
        <w:widowControl/>
        <w:spacing w:before="0" w:after="0" w:line="276" w:lineRule="auto"/>
      </w:pPr>
      <w:r>
        <w:rPr>
          <w:rFonts w:ascii="Calibri" w:hAnsi="Calibri"/>
          <w:b w:val="0"/>
          <w:i w:val="0"/>
          <w:color w:val="243447"/>
          <w:sz w:val="22"/>
        </w:rPr>
        <w:t>Contract administration, evidence governance, Primavera P6 delay analysis and Engineer-side assessment. Analytical results remain subject to source verification and Engineer determination.</w:t>
      </w:r>
    </w:p>
    <w:p>
      <w:r>
        <w:br w:type="page"/>
      </w:r>
    </w:p>
    <w:p>
      <w:pPr>
        <w:pStyle w:val="Heading1"/>
        <w:spacing w:before="0"/>
      </w:pPr>
      <w:r>
        <w:t>Document Map</w:t>
      </w:r>
    </w:p>
    <w:p>
      <w:pPr>
        <w:spacing w:after="60"/>
        <w:ind w:left="216"/>
      </w:pPr>
      <w:r>
        <w:rPr>
          <w:rFonts w:ascii="Calibri" w:hAnsi="Calibri"/>
          <w:b w:val="0"/>
          <w:i w:val="0"/>
          <w:color w:val="243447"/>
          <w:sz w:val="21"/>
        </w:rPr>
        <w:t>1. Executive Summary</w:t>
      </w:r>
    </w:p>
    <w:p>
      <w:pPr>
        <w:spacing w:after="60"/>
        <w:ind w:left="216"/>
      </w:pPr>
      <w:r>
        <w:rPr>
          <w:rFonts w:ascii="Calibri" w:hAnsi="Calibri"/>
          <w:b w:val="0"/>
          <w:i w:val="0"/>
          <w:color w:val="243447"/>
          <w:sz w:val="21"/>
        </w:rPr>
        <w:t>2. Controlled Architecture</w:t>
      </w:r>
    </w:p>
    <w:p>
      <w:pPr>
        <w:spacing w:after="60"/>
        <w:ind w:left="216"/>
      </w:pPr>
      <w:r>
        <w:rPr>
          <w:rFonts w:ascii="Calibri" w:hAnsi="Calibri"/>
          <w:b w:val="0"/>
          <w:i w:val="0"/>
          <w:color w:val="243447"/>
          <w:sz w:val="21"/>
        </w:rPr>
        <w:t>3. Level 1 — Contract &amp; FIDIC Intelligence</w:t>
      </w:r>
    </w:p>
    <w:p>
      <w:pPr>
        <w:spacing w:after="60"/>
        <w:ind w:left="216"/>
      </w:pPr>
      <w:r>
        <w:rPr>
          <w:rFonts w:ascii="Calibri" w:hAnsi="Calibri"/>
          <w:b w:val="0"/>
          <w:i w:val="0"/>
          <w:color w:val="243447"/>
          <w:sz w:val="21"/>
        </w:rPr>
        <w:t>4. Level 2 — Evidence Reader &amp; Provider</w:t>
      </w:r>
    </w:p>
    <w:p>
      <w:pPr>
        <w:spacing w:after="60"/>
        <w:ind w:left="216"/>
      </w:pPr>
      <w:r>
        <w:rPr>
          <w:rFonts w:ascii="Calibri" w:hAnsi="Calibri"/>
          <w:b w:val="0"/>
          <w:i w:val="0"/>
          <w:color w:val="243447"/>
          <w:sz w:val="21"/>
        </w:rPr>
        <w:t>5. Level 3 — Detailed Delay Analysis</w:t>
      </w:r>
    </w:p>
    <w:p>
      <w:pPr>
        <w:spacing w:after="60"/>
        <w:ind w:left="216"/>
      </w:pPr>
      <w:r>
        <w:rPr>
          <w:rFonts w:ascii="Calibri" w:hAnsi="Calibri"/>
          <w:b w:val="0"/>
          <w:i w:val="0"/>
          <w:color w:val="243447"/>
          <w:sz w:val="21"/>
        </w:rPr>
        <w:t>6. Level 4 — Master Engineer Assessment</w:t>
      </w:r>
    </w:p>
    <w:p>
      <w:pPr>
        <w:spacing w:after="60"/>
        <w:ind w:left="216"/>
      </w:pPr>
      <w:r>
        <w:rPr>
          <w:rFonts w:ascii="Calibri" w:hAnsi="Calibri"/>
          <w:b w:val="0"/>
          <w:i w:val="0"/>
          <w:color w:val="243447"/>
          <w:sz w:val="21"/>
        </w:rPr>
        <w:t>7. Streamlit Operating Model</w:t>
      </w:r>
    </w:p>
    <w:p>
      <w:pPr>
        <w:spacing w:after="60"/>
        <w:ind w:left="216"/>
      </w:pPr>
      <w:r>
        <w:rPr>
          <w:rFonts w:ascii="Calibri" w:hAnsi="Calibri"/>
          <w:b w:val="0"/>
          <w:i w:val="0"/>
          <w:color w:val="243447"/>
          <w:sz w:val="21"/>
        </w:rPr>
        <w:t>8. Package Contents</w:t>
      </w:r>
    </w:p>
    <w:p>
      <w:pPr>
        <w:spacing w:after="60"/>
        <w:ind w:left="216"/>
      </w:pPr>
      <w:r>
        <w:rPr>
          <w:rFonts w:ascii="Calibri" w:hAnsi="Calibri"/>
          <w:b w:val="0"/>
          <w:i w:val="0"/>
          <w:color w:val="243447"/>
          <w:sz w:val="21"/>
        </w:rPr>
        <w:t>9. Validation and Quality Controls</w:t>
      </w:r>
    </w:p>
    <w:p>
      <w:pPr>
        <w:spacing w:after="60"/>
        <w:ind w:left="216"/>
      </w:pPr>
      <w:r>
        <w:rPr>
          <w:rFonts w:ascii="Calibri" w:hAnsi="Calibri"/>
          <w:b w:val="0"/>
          <w:i w:val="0"/>
          <w:color w:val="243447"/>
          <w:sz w:val="21"/>
        </w:rPr>
        <w:t>10. Governance Rules</w:t>
      </w:r>
    </w:p>
    <w:p>
      <w:pPr>
        <w:spacing w:after="60"/>
        <w:ind w:left="216"/>
      </w:pPr>
      <w:r>
        <w:rPr>
          <w:rFonts w:ascii="Calibri" w:hAnsi="Calibri"/>
          <w:b w:val="0"/>
          <w:i w:val="0"/>
          <w:color w:val="243447"/>
          <w:sz w:val="21"/>
        </w:rPr>
        <w:t>11. Acceptance Criteria Before External Submission</w:t>
      </w:r>
    </w:p>
    <w:p>
      <w:pPr>
        <w:spacing w:after="60"/>
        <w:ind w:left="216"/>
      </w:pPr>
      <w:r>
        <w:rPr>
          <w:rFonts w:ascii="Calibri" w:hAnsi="Calibri"/>
          <w:b w:val="0"/>
          <w:i w:val="0"/>
          <w:color w:val="243447"/>
          <w:sz w:val="21"/>
        </w:rPr>
        <w:t>12. Controlled Conclusion</w:t>
      </w:r>
    </w:p>
    <w:p>
      <w:pPr>
        <w:spacing w:before="280" w:after="0"/>
      </w:pPr>
      <w:r>
        <w:rPr>
          <w:rFonts w:ascii="Calibri" w:hAnsi="Calibri"/>
          <w:b/>
          <w:i w:val="0"/>
          <w:color w:val="A61B1B"/>
          <w:sz w:val="21"/>
        </w:rPr>
        <w:t xml:space="preserve">Reading control: </w:t>
      </w:r>
      <w:r>
        <w:rPr>
          <w:rFonts w:ascii="Calibri" w:hAnsi="Calibri"/>
          <w:b w:val="0"/>
          <w:i w:val="0"/>
          <w:color w:val="243447"/>
          <w:sz w:val="21"/>
        </w:rPr>
        <w:t>Use Level 4 only after reviewing the authority, evidence and schedule outputs from Levels 1–3.</w:t>
      </w:r>
    </w:p>
    <w:p>
      <w:r>
        <w:br w:type="page"/>
      </w:r>
    </w:p>
    <w:p>
      <w:pPr>
        <w:pStyle w:val="Heading1"/>
      </w:pPr>
      <w:r>
        <w:t>1. Executive Summary</w:t>
      </w:r>
    </w:p>
    <w:p>
      <w:pPr>
        <w:keepLines w:val="0"/>
        <w:widowControl/>
        <w:spacing w:before="0" w:after="120" w:line="264" w:lineRule="auto"/>
      </w:pPr>
      <w:r>
        <w:rPr>
          <w:rFonts w:ascii="Calibri" w:hAnsi="Calibri"/>
          <w:b w:val="0"/>
          <w:i w:val="0"/>
          <w:color w:val="243447"/>
          <w:sz w:val="21"/>
        </w:rPr>
        <w:t>THE BIG Complete Intelligence Package v1.6.0 is a controlled four-level decision-support platform. It combines contractual interpretation, evidence management, Primavera P6 delay analysis and an integrated Engineer assessment without mixing the authority of the separate disciplines.</w:t>
      </w:r>
    </w:p>
    <w:p>
      <w:pPr>
        <w:keepLines w:val="0"/>
        <w:widowControl/>
        <w:spacing w:before="0" w:after="120" w:line="264" w:lineRule="auto"/>
      </w:pPr>
      <w:r>
        <w:rPr>
          <w:rFonts w:ascii="Calibri" w:hAnsi="Calibri"/>
          <w:b w:val="0"/>
          <w:i w:val="0"/>
          <w:color w:val="243447"/>
          <w:sz w:val="21"/>
        </w:rPr>
        <w:t>The platform is designed around one governance principle:</w:t>
      </w:r>
    </w:p>
    <w:p>
      <w:pPr>
        <w:keepLines w:val="0"/>
        <w:widowControl/>
        <w:spacing w:before="100" w:after="200" w:line="276" w:lineRule="auto"/>
        <w:ind w:left="432" w:right="288"/>
        <w:shd w:fill="D9EAF7"/>
      </w:pPr>
      <w:r>
        <w:rPr>
          <w:rFonts w:ascii="Calibri" w:hAnsi="Calibri"/>
          <w:b w:val="0"/>
          <w:i w:val="0"/>
          <w:color w:val="17365D"/>
          <w:sz w:val="21"/>
        </w:rPr>
        <w:t>A schedule movement is not automatically an entitlement, a document reference is not automatically evidence, and a generic FIDIC provision does not override the signed Contract.</w:t>
      </w:r>
    </w:p>
    <w:p>
      <w:pPr>
        <w:keepLines w:val="0"/>
        <w:widowControl/>
        <w:spacing w:before="0" w:after="120" w:line="264" w:lineRule="auto"/>
      </w:pPr>
      <w:r>
        <w:rPr>
          <w:rFonts w:ascii="Calibri" w:hAnsi="Calibri"/>
          <w:b w:val="0"/>
          <w:i w:val="0"/>
          <w:color w:val="243447"/>
          <w:sz w:val="21"/>
        </w:rPr>
        <w:t>The operating model comprises three independent specialist pipelines and one coordinating decision layer:</w:t>
      </w:r>
    </w:p>
    <w:tbl>
      <w:tblPr>
        <w:tblStyle w:val="TableGrid"/>
        <w:tblW w:type="dxa" w:w="9360"/>
        <w:jc w:val="center"/>
        <w:tblLayout w:type="fixed"/>
        <w:tblLook w:firstColumn="1" w:firstRow="1" w:lastColumn="0" w:lastRow="0" w:noHBand="0" w:noVBand="1" w:val="04A0"/>
        <w:tblInd w:w="120" w:type="dxa"/>
      </w:tblPr>
      <w:tblGrid>
        <w:gridCol w:w="2100"/>
        <w:gridCol w:w="1700"/>
        <w:gridCol w:w="1800"/>
        <w:gridCol w:w="3760"/>
      </w:tblGrid>
      <w:tr>
        <w:trPr>
          <w:tblHeader w:val="true"/>
        </w:trPr>
        <w:tc>
          <w:tcPr>
            <w:tcW w:type="dxa" w:w="2100"/>
            <w:shd w:fill="17365D"/>
            <w:tcMar>
              <w:top w:w="90" w:type="dxa"/>
              <w:start w:w="120" w:type="dxa"/>
              <w:bottom w:w="90" w:type="dxa"/>
              <w:end w:w="120" w:type="dxa"/>
            </w:tcMar>
            <w:vAlign w:val="center"/>
          </w:tcPr>
          <w:p>
            <w:pPr>
              <w:keepLines w:val="0"/>
              <w:widowControl/>
              <w:spacing w:before="0" w:after="0" w:line="240" w:lineRule="auto"/>
              <w:jc w:val="center"/>
            </w:pPr>
            <w:r>
              <w:rPr>
                <w:rFonts w:ascii="Calibri" w:hAnsi="Calibri"/>
                <w:b/>
                <w:i w:val="0"/>
                <w:color w:val="FFFFFF"/>
                <w:sz w:val="17"/>
              </w:rPr>
              <w:t>Level</w:t>
            </w:r>
          </w:p>
        </w:tc>
        <w:tc>
          <w:tcPr>
            <w:tcW w:type="dxa" w:w="1700"/>
            <w:shd w:fill="17365D"/>
            <w:tcMar>
              <w:top w:w="90" w:type="dxa"/>
              <w:start w:w="120" w:type="dxa"/>
              <w:bottom w:w="90" w:type="dxa"/>
              <w:end w:w="120" w:type="dxa"/>
            </w:tcMar>
            <w:vAlign w:val="center"/>
          </w:tcPr>
          <w:p>
            <w:pPr>
              <w:keepLines w:val="0"/>
              <w:widowControl/>
              <w:spacing w:before="0" w:after="0" w:line="240" w:lineRule="auto"/>
              <w:jc w:val="left"/>
            </w:pPr>
            <w:r>
              <w:rPr>
                <w:rFonts w:ascii="Calibri" w:hAnsi="Calibri"/>
                <w:b/>
                <w:i w:val="0"/>
                <w:color w:val="FFFFFF"/>
                <w:sz w:val="17"/>
              </w:rPr>
              <w:t>Pipeline</w:t>
            </w:r>
          </w:p>
        </w:tc>
        <w:tc>
          <w:tcPr>
            <w:tcW w:type="dxa" w:w="1800"/>
            <w:shd w:fill="17365D"/>
            <w:tcMar>
              <w:top w:w="90" w:type="dxa"/>
              <w:start w:w="120" w:type="dxa"/>
              <w:bottom w:w="90" w:type="dxa"/>
              <w:end w:w="120" w:type="dxa"/>
            </w:tcMar>
            <w:vAlign w:val="center"/>
          </w:tcPr>
          <w:p>
            <w:pPr>
              <w:keepLines w:val="0"/>
              <w:widowControl/>
              <w:spacing w:before="0" w:after="0" w:line="240" w:lineRule="auto"/>
              <w:jc w:val="left"/>
            </w:pPr>
            <w:r>
              <w:rPr>
                <w:rFonts w:ascii="Calibri" w:hAnsi="Calibri"/>
                <w:b/>
                <w:i w:val="0"/>
                <w:color w:val="FFFFFF"/>
                <w:sz w:val="17"/>
              </w:rPr>
              <w:t>Primary question</w:t>
            </w:r>
          </w:p>
        </w:tc>
        <w:tc>
          <w:tcPr>
            <w:tcW w:type="dxa" w:w="3760"/>
            <w:shd w:fill="17365D"/>
            <w:tcMar>
              <w:top w:w="90" w:type="dxa"/>
              <w:start w:w="120" w:type="dxa"/>
              <w:bottom w:w="90" w:type="dxa"/>
              <w:end w:w="120" w:type="dxa"/>
            </w:tcMar>
            <w:vAlign w:val="center"/>
          </w:tcPr>
          <w:p>
            <w:pPr>
              <w:keepLines w:val="0"/>
              <w:widowControl/>
              <w:spacing w:before="0" w:after="0" w:line="240" w:lineRule="auto"/>
              <w:jc w:val="left"/>
            </w:pPr>
            <w:r>
              <w:rPr>
                <w:rFonts w:ascii="Calibri" w:hAnsi="Calibri"/>
                <w:b/>
                <w:i w:val="0"/>
                <w:color w:val="FFFFFF"/>
                <w:sz w:val="17"/>
              </w:rPr>
              <w:t>Controlled output</w:t>
            </w:r>
          </w:p>
        </w:tc>
      </w:tr>
      <w:tr>
        <w:tc>
          <w:tcPr>
            <w:tcW w:type="dxa" w:w="2100"/>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7"/>
              </w:rPr>
              <w:t>1</w:t>
            </w:r>
          </w:p>
        </w:tc>
        <w:tc>
          <w:tcPr>
            <w:tcW w:type="dxa" w:w="170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Contract &amp; FIDIC Intelligence</w:t>
            </w:r>
          </w:p>
        </w:tc>
        <w:tc>
          <w:tcPr>
            <w:tcW w:type="dxa" w:w="180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What is the governing contractual position?</w:t>
            </w:r>
          </w:p>
        </w:tc>
        <w:tc>
          <w:tcPr>
            <w:tcW w:type="dxa" w:w="37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Contractual Position Pack</w:t>
            </w:r>
          </w:p>
        </w:tc>
      </w:tr>
      <w:tr>
        <w:tc>
          <w:tcPr>
            <w:tcW w:type="dxa" w:w="2100"/>
            <w:shd w:fill="F2F4F7"/>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7"/>
              </w:rPr>
              <w:t>2</w:t>
            </w:r>
          </w:p>
        </w:tc>
        <w:tc>
          <w:tcPr>
            <w:tcW w:type="dxa" w:w="170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Evidence Reader &amp; Provider</w:t>
            </w:r>
          </w:p>
        </w:tc>
        <w:tc>
          <w:tcPr>
            <w:tcW w:type="dxa" w:w="180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What facts and compliance can be proven?</w:t>
            </w:r>
          </w:p>
        </w:tc>
        <w:tc>
          <w:tcPr>
            <w:tcW w:type="dxa" w:w="37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Evidence Matrix, Chronology and Gap Register</w:t>
            </w:r>
          </w:p>
        </w:tc>
      </w:tr>
      <w:tr>
        <w:tc>
          <w:tcPr>
            <w:tcW w:type="dxa" w:w="2100"/>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7"/>
              </w:rPr>
              <w:t>3</w:t>
            </w:r>
          </w:p>
        </w:tc>
        <w:tc>
          <w:tcPr>
            <w:tcW w:type="dxa" w:w="170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Detailed Delay Analysis</w:t>
            </w:r>
          </w:p>
        </w:tc>
        <w:tc>
          <w:tcPr>
            <w:tcW w:type="dxa" w:w="180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What time effect is demonstrated by the submitted schedules?</w:t>
            </w:r>
          </w:p>
        </w:tc>
        <w:tc>
          <w:tcPr>
            <w:tcW w:type="dxa" w:w="37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Technical Delay Assessment</w:t>
            </w:r>
          </w:p>
        </w:tc>
      </w:tr>
      <w:tr>
        <w:tc>
          <w:tcPr>
            <w:tcW w:type="dxa" w:w="2100"/>
            <w:shd w:fill="F2F4F7"/>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7"/>
              </w:rPr>
              <w:t>4</w:t>
            </w:r>
          </w:p>
        </w:tc>
        <w:tc>
          <w:tcPr>
            <w:tcW w:type="dxa" w:w="170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Master Engineer Assessment</w:t>
            </w:r>
          </w:p>
        </w:tc>
        <w:tc>
          <w:tcPr>
            <w:tcW w:type="dxa" w:w="180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What reasoned position and next action should follow?</w:t>
            </w:r>
          </w:p>
        </w:tc>
        <w:tc>
          <w:tcPr>
            <w:tcW w:type="dxa" w:w="37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Engineer Assessment and Determination Route</w:t>
            </w:r>
          </w:p>
        </w:tc>
      </w:tr>
    </w:tbl>
    <w:p>
      <w:pPr>
        <w:spacing w:after="20"/>
      </w:pPr>
    </w:p>
    <w:p>
      <w:pPr>
        <w:keepLines w:val="0"/>
        <w:widowControl/>
        <w:spacing w:before="0" w:after="120" w:line="264" w:lineRule="auto"/>
      </w:pPr>
      <w:r>
        <w:rPr>
          <w:rFonts w:ascii="Calibri" w:hAnsi="Calibri"/>
          <w:b w:val="0"/>
          <w:i w:val="0"/>
          <w:color w:val="243447"/>
          <w:sz w:val="21"/>
        </w:rPr>
        <w:t>Level 4 is a governance and synthesis layer. It does not create new contractual, factual or schedule evidence.</w:t>
      </w:r>
    </w:p>
    <w:p>
      <w:pPr>
        <w:pStyle w:val="Heading1"/>
      </w:pPr>
      <w:r>
        <w:t>2. Controlled Architecture</w:t>
      </w:r>
    </w:p>
    <w:p>
      <w:pPr>
        <w:pStyle w:val="Heading2"/>
      </w:pPr>
      <w:r>
        <w:t>2.1 Decision flow</w:t>
      </w:r>
    </w:p>
    <w:p>
      <w:pPr>
        <w:jc w:val="center"/>
      </w:pPr>
      <w:r>
        <w:rPr>
          <w:rFonts w:ascii="Calibri" w:hAnsi="Calibri"/>
          <w:b/>
          <w:i w:val="0"/>
          <w:color w:val="17365D"/>
          <w:sz w:val="21"/>
        </w:rPr>
        <w:t>QUESTION / CLAIM / SUBMISSION</w:t>
      </w:r>
    </w:p>
    <w:tbl>
      <w:tblPr>
        <w:tblStyle w:val="TableGrid"/>
        <w:tblW w:type="dxa" w:w="9360"/>
        <w:jc w:val="center"/>
        <w:tblLayout w:type="fixed"/>
        <w:tblLook w:firstColumn="1" w:firstRow="1" w:lastColumn="0" w:lastRow="0" w:noHBand="0" w:noVBand="1" w:val="04A0"/>
        <w:tblInd w:w="120" w:type="dxa"/>
      </w:tblPr>
      <w:tblGrid>
        <w:gridCol w:w="1900"/>
        <w:gridCol w:w="3200"/>
        <w:gridCol w:w="4260"/>
      </w:tblGrid>
      <w:tr>
        <w:trPr>
          <w:tblHeader w:val="true"/>
        </w:trPr>
        <w:tc>
          <w:tcPr>
            <w:tcW w:type="dxa" w:w="1900"/>
            <w:shd w:fill="17365D"/>
            <w:tcMar>
              <w:top w:w="90" w:type="dxa"/>
              <w:start w:w="120" w:type="dxa"/>
              <w:bottom w:w="90" w:type="dxa"/>
              <w:end w:w="120" w:type="dxa"/>
            </w:tcMar>
            <w:vAlign w:val="center"/>
          </w:tcPr>
          <w:p>
            <w:pPr>
              <w:keepLines w:val="0"/>
              <w:widowControl/>
              <w:spacing w:before="0" w:after="0" w:line="240" w:lineRule="auto"/>
              <w:jc w:val="center"/>
            </w:pPr>
            <w:r>
              <w:rPr>
                <w:rFonts w:ascii="Calibri" w:hAnsi="Calibri"/>
                <w:b/>
                <w:i w:val="0"/>
                <w:color w:val="FFFFFF"/>
                <w:sz w:val="18"/>
              </w:rPr>
              <w:t>Level</w:t>
            </w:r>
          </w:p>
        </w:tc>
        <w:tc>
          <w:tcPr>
            <w:tcW w:type="dxa" w:w="3200"/>
            <w:shd w:fill="17365D"/>
            <w:tcMar>
              <w:top w:w="90" w:type="dxa"/>
              <w:start w:w="120" w:type="dxa"/>
              <w:bottom w:w="90" w:type="dxa"/>
              <w:end w:w="120" w:type="dxa"/>
            </w:tcMar>
            <w:vAlign w:val="center"/>
          </w:tcPr>
          <w:p>
            <w:pPr>
              <w:keepLines w:val="0"/>
              <w:widowControl/>
              <w:spacing w:before="0" w:after="0" w:line="240" w:lineRule="auto"/>
              <w:jc w:val="left"/>
            </w:pPr>
            <w:r>
              <w:rPr>
                <w:rFonts w:ascii="Calibri" w:hAnsi="Calibri"/>
                <w:b/>
                <w:i w:val="0"/>
                <w:color w:val="FFFFFF"/>
                <w:sz w:val="18"/>
              </w:rPr>
              <w:t>Specialist pipeline</w:t>
            </w:r>
          </w:p>
        </w:tc>
        <w:tc>
          <w:tcPr>
            <w:tcW w:type="dxa" w:w="4260"/>
            <w:shd w:fill="17365D"/>
            <w:tcMar>
              <w:top w:w="90" w:type="dxa"/>
              <w:start w:w="120" w:type="dxa"/>
              <w:bottom w:w="90" w:type="dxa"/>
              <w:end w:w="120" w:type="dxa"/>
            </w:tcMar>
            <w:vAlign w:val="center"/>
          </w:tcPr>
          <w:p>
            <w:pPr>
              <w:keepLines w:val="0"/>
              <w:widowControl/>
              <w:spacing w:before="0" w:after="0" w:line="240" w:lineRule="auto"/>
              <w:jc w:val="left"/>
            </w:pPr>
            <w:r>
              <w:rPr>
                <w:rFonts w:ascii="Calibri" w:hAnsi="Calibri"/>
                <w:b/>
                <w:i w:val="0"/>
                <w:color w:val="FFFFFF"/>
                <w:sz w:val="18"/>
              </w:rPr>
              <w:t>Output</w:t>
            </w:r>
          </w:p>
        </w:tc>
      </w:tr>
      <w:tr>
        <w:tc>
          <w:tcPr>
            <w:tcW w:type="dxa" w:w="1900"/>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1</w:t>
            </w:r>
          </w:p>
        </w:tc>
        <w:tc>
          <w:tcPr>
            <w:tcW w:type="dxa" w:w="320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Contract &amp; FIDIC</w:t>
            </w:r>
          </w:p>
        </w:tc>
        <w:tc>
          <w:tcPr>
            <w:tcW w:type="dxa" w:w="42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Contractual position</w:t>
            </w:r>
          </w:p>
        </w:tc>
      </w:tr>
      <w:tr>
        <w:tc>
          <w:tcPr>
            <w:tcW w:type="dxa" w:w="1900"/>
            <w:shd w:fill="F2F4F7"/>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2</w:t>
            </w:r>
          </w:p>
        </w:tc>
        <w:tc>
          <w:tcPr>
            <w:tcW w:type="dxa" w:w="320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Evidence</w:t>
            </w:r>
          </w:p>
        </w:tc>
        <w:tc>
          <w:tcPr>
            <w:tcW w:type="dxa" w:w="42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Proof and gaps</w:t>
            </w:r>
          </w:p>
        </w:tc>
      </w:tr>
      <w:tr>
        <w:tc>
          <w:tcPr>
            <w:tcW w:type="dxa" w:w="1900"/>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3</w:t>
            </w:r>
          </w:p>
        </w:tc>
        <w:tc>
          <w:tcPr>
            <w:tcW w:type="dxa" w:w="320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Delay Analysis</w:t>
            </w:r>
          </w:p>
        </w:tc>
        <w:tc>
          <w:tcPr>
            <w:tcW w:type="dxa" w:w="42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Technical time effect</w:t>
            </w:r>
          </w:p>
        </w:tc>
      </w:tr>
      <w:tr>
        <w:tc>
          <w:tcPr>
            <w:tcW w:type="dxa" w:w="1900"/>
            <w:shd w:fill="F2F4F7"/>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4</w:t>
            </w:r>
          </w:p>
        </w:tc>
        <w:tc>
          <w:tcPr>
            <w:tcW w:type="dxa" w:w="320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Master Engineer Assessment</w:t>
            </w:r>
          </w:p>
        </w:tc>
        <w:tc>
          <w:tcPr>
            <w:tcW w:type="dxa" w:w="42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Position and next action</w:t>
            </w:r>
          </w:p>
        </w:tc>
      </w:tr>
    </w:tbl>
    <w:p>
      <w:pPr>
        <w:spacing w:after="20"/>
      </w:pPr>
    </w:p>
    <w:p>
      <w:pPr>
        <w:pStyle w:val="Heading2"/>
      </w:pPr>
      <w:r>
        <w:t>2.2 Mandatory decision gates</w:t>
      </w:r>
    </w:p>
    <w:p>
      <w:pPr>
        <w:keepLines w:val="0"/>
        <w:widowControl/>
        <w:spacing w:before="0" w:after="120" w:line="264" w:lineRule="auto"/>
      </w:pPr>
      <w:r>
        <w:rPr>
          <w:rFonts w:ascii="Calibri" w:hAnsi="Calibri"/>
          <w:b w:val="0"/>
          <w:i w:val="0"/>
          <w:color w:val="243447"/>
          <w:sz w:val="21"/>
        </w:rPr>
        <w:t>The system should not issue an affirmative entitlement conclusion unless all relevant gates are addressed:</w:t>
      </w:r>
    </w:p>
    <w:p>
      <w:pPr>
        <w:spacing w:after="80" w:line="259" w:lineRule="auto"/>
        <w:numPr>
          <w:ilvl w:val="0"/>
          <w:numId w:val="10"/>
        </w:numPr>
      </w:pPr>
      <w:r>
        <w:rPr>
          <w:rFonts w:ascii="Calibri" w:hAnsi="Calibri"/>
          <w:b/>
          <w:i w:val="0"/>
          <w:color w:val="243447"/>
          <w:sz w:val="21"/>
        </w:rPr>
        <w:t>Authority gate:</w:t>
      </w:r>
      <w:r>
        <w:rPr>
          <w:rFonts w:ascii="Calibri" w:hAnsi="Calibri"/>
          <w:b w:val="0"/>
          <w:i w:val="0"/>
          <w:color w:val="243447"/>
          <w:sz w:val="21"/>
        </w:rPr>
        <w:t xml:space="preserve"> identify the governing document and apply the contractual order of precedence.</w:t>
      </w:r>
    </w:p>
    <w:p>
      <w:pPr>
        <w:spacing w:after="80" w:line="259" w:lineRule="auto"/>
        <w:numPr>
          <w:ilvl w:val="0"/>
          <w:numId w:val="10"/>
        </w:numPr>
      </w:pPr>
      <w:r>
        <w:rPr>
          <w:rFonts w:ascii="Calibri" w:hAnsi="Calibri"/>
          <w:b/>
          <w:i w:val="0"/>
          <w:color w:val="243447"/>
          <w:sz w:val="21"/>
        </w:rPr>
        <w:t>Clause gate:</w:t>
      </w:r>
      <w:r>
        <w:rPr>
          <w:rFonts w:ascii="Calibri" w:hAnsi="Calibri"/>
          <w:b w:val="0"/>
          <w:i w:val="0"/>
          <w:color w:val="243447"/>
          <w:sz w:val="21"/>
        </w:rPr>
        <w:t xml:space="preserve"> identify the applicable clause, amendment, condition, exception and cross-reference.</w:t>
      </w:r>
    </w:p>
    <w:p>
      <w:pPr>
        <w:spacing w:after="80" w:line="259" w:lineRule="auto"/>
        <w:numPr>
          <w:ilvl w:val="0"/>
          <w:numId w:val="10"/>
        </w:numPr>
      </w:pPr>
      <w:r>
        <w:rPr>
          <w:rFonts w:ascii="Calibri" w:hAnsi="Calibri"/>
          <w:b/>
          <w:i w:val="0"/>
          <w:color w:val="243447"/>
          <w:sz w:val="21"/>
        </w:rPr>
        <w:t>Evidence gate:</w:t>
      </w:r>
      <w:r>
        <w:rPr>
          <w:rFonts w:ascii="Calibri" w:hAnsi="Calibri"/>
          <w:b w:val="0"/>
          <w:i w:val="0"/>
          <w:color w:val="243447"/>
          <w:sz w:val="21"/>
        </w:rPr>
        <w:t xml:space="preserve"> verify authenticity, issue, receipt, date, content and evidential sufficiency.</w:t>
      </w:r>
    </w:p>
    <w:p>
      <w:pPr>
        <w:spacing w:after="80" w:line="259" w:lineRule="auto"/>
        <w:numPr>
          <w:ilvl w:val="0"/>
          <w:numId w:val="10"/>
        </w:numPr>
      </w:pPr>
      <w:r>
        <w:rPr>
          <w:rFonts w:ascii="Calibri" w:hAnsi="Calibri"/>
          <w:b/>
          <w:i w:val="0"/>
          <w:color w:val="243447"/>
          <w:sz w:val="21"/>
        </w:rPr>
        <w:t>Procedure gate:</w:t>
      </w:r>
      <w:r>
        <w:rPr>
          <w:rFonts w:ascii="Calibri" w:hAnsi="Calibri"/>
          <w:b w:val="0"/>
          <w:i w:val="0"/>
          <w:color w:val="243447"/>
          <w:sz w:val="21"/>
        </w:rPr>
        <w:t xml:space="preserve"> test notice, time bar, continuing particulars, monthly accounts and contemporary records.</w:t>
      </w:r>
    </w:p>
    <w:p>
      <w:pPr>
        <w:spacing w:after="80" w:line="259" w:lineRule="auto"/>
        <w:numPr>
          <w:ilvl w:val="0"/>
          <w:numId w:val="10"/>
        </w:numPr>
      </w:pPr>
      <w:r>
        <w:rPr>
          <w:rFonts w:ascii="Calibri" w:hAnsi="Calibri"/>
          <w:b/>
          <w:i w:val="0"/>
          <w:color w:val="243447"/>
          <w:sz w:val="21"/>
        </w:rPr>
        <w:t>Causation gate:</w:t>
      </w:r>
      <w:r>
        <w:rPr>
          <w:rFonts w:ascii="Calibri" w:hAnsi="Calibri"/>
          <w:b w:val="0"/>
          <w:i w:val="0"/>
          <w:color w:val="243447"/>
          <w:sz w:val="21"/>
        </w:rPr>
        <w:t xml:space="preserve"> demonstrate a credible cause-and-effect chain.</w:t>
      </w:r>
    </w:p>
    <w:p>
      <w:pPr>
        <w:spacing w:after="80" w:line="259" w:lineRule="auto"/>
        <w:numPr>
          <w:ilvl w:val="0"/>
          <w:numId w:val="10"/>
        </w:numPr>
      </w:pPr>
      <w:r>
        <w:rPr>
          <w:rFonts w:ascii="Calibri" w:hAnsi="Calibri"/>
          <w:b/>
          <w:i w:val="0"/>
          <w:color w:val="243447"/>
          <w:sz w:val="21"/>
        </w:rPr>
        <w:t>Schedule gate:</w:t>
      </w:r>
      <w:r>
        <w:rPr>
          <w:rFonts w:ascii="Calibri" w:hAnsi="Calibri"/>
          <w:b w:val="0"/>
          <w:i w:val="0"/>
          <w:color w:val="243447"/>
          <w:sz w:val="21"/>
        </w:rPr>
        <w:t xml:space="preserve"> validate the model, data date, calendars, logic, constraints and critical completion movement.</w:t>
      </w:r>
    </w:p>
    <w:p>
      <w:pPr>
        <w:spacing w:after="80" w:line="259" w:lineRule="auto"/>
        <w:numPr>
          <w:ilvl w:val="0"/>
          <w:numId w:val="10"/>
        </w:numPr>
      </w:pPr>
      <w:r>
        <w:rPr>
          <w:rFonts w:ascii="Calibri" w:hAnsi="Calibri"/>
          <w:b/>
          <w:i w:val="0"/>
          <w:color w:val="243447"/>
          <w:sz w:val="21"/>
        </w:rPr>
        <w:t>Concurrency gate:</w:t>
      </w:r>
      <w:r>
        <w:rPr>
          <w:rFonts w:ascii="Calibri" w:hAnsi="Calibri"/>
          <w:b w:val="0"/>
          <w:i w:val="0"/>
          <w:color w:val="243447"/>
          <w:sz w:val="21"/>
        </w:rPr>
        <w:t xml:space="preserve"> assess actual critical overlap once and avoid double counting.</w:t>
      </w:r>
    </w:p>
    <w:p>
      <w:pPr>
        <w:spacing w:after="80" w:line="259" w:lineRule="auto"/>
        <w:numPr>
          <w:ilvl w:val="0"/>
          <w:numId w:val="10"/>
        </w:numPr>
      </w:pPr>
      <w:r>
        <w:rPr>
          <w:rFonts w:ascii="Calibri" w:hAnsi="Calibri"/>
          <w:b/>
          <w:i w:val="0"/>
          <w:color w:val="243447"/>
          <w:sz w:val="21"/>
        </w:rPr>
        <w:t>Mitigation gate:</w:t>
      </w:r>
      <w:r>
        <w:rPr>
          <w:rFonts w:ascii="Calibri" w:hAnsi="Calibri"/>
          <w:b w:val="0"/>
          <w:i w:val="0"/>
          <w:color w:val="243447"/>
          <w:sz w:val="21"/>
        </w:rPr>
        <w:t xml:space="preserve"> evaluate reasonable mitigation without converting mitigation into risk transfer.</w:t>
      </w:r>
    </w:p>
    <w:p>
      <w:pPr>
        <w:spacing w:after="80" w:line="259" w:lineRule="auto"/>
        <w:numPr>
          <w:ilvl w:val="0"/>
          <w:numId w:val="10"/>
        </w:numPr>
      </w:pPr>
      <w:r>
        <w:rPr>
          <w:rFonts w:ascii="Calibri" w:hAnsi="Calibri"/>
          <w:b/>
          <w:i w:val="0"/>
          <w:color w:val="243447"/>
          <w:sz w:val="21"/>
        </w:rPr>
        <w:t>Determination gate:</w:t>
      </w:r>
      <w:r>
        <w:rPr>
          <w:rFonts w:ascii="Calibri" w:hAnsi="Calibri"/>
          <w:b w:val="0"/>
          <w:i w:val="0"/>
          <w:color w:val="243447"/>
          <w:sz w:val="21"/>
        </w:rPr>
        <w:t xml:space="preserve"> separate analytical position from the Engineer’s reasoned determination.</w:t>
      </w:r>
    </w:p>
    <w:p>
      <w:pPr>
        <w:pStyle w:val="Heading1"/>
      </w:pPr>
      <w:r>
        <w:t>3. Level 1 — Contract &amp; FIDIC Intelligence</w:t>
      </w:r>
    </w:p>
    <w:p>
      <w:pPr>
        <w:pStyle w:val="Heading2"/>
      </w:pPr>
      <w:r>
        <w:t>3.1 Purpose</w:t>
      </w:r>
    </w:p>
    <w:p>
      <w:pPr>
        <w:keepLines w:val="0"/>
        <w:widowControl/>
        <w:spacing w:before="0" w:after="120" w:line="264" w:lineRule="auto"/>
      </w:pPr>
      <w:r>
        <w:rPr>
          <w:rFonts w:ascii="Calibri" w:hAnsi="Calibri"/>
          <w:b w:val="0"/>
          <w:i w:val="0"/>
          <w:color w:val="243447"/>
          <w:sz w:val="21"/>
        </w:rPr>
        <w:t>Level 1 establishes the governing legal and contractual route for a question, event, notice, claim or proposed letter.</w:t>
      </w:r>
    </w:p>
    <w:p>
      <w:pPr>
        <w:pStyle w:val="Heading2"/>
      </w:pPr>
      <w:r>
        <w:t>3.2 Core capabilities</w:t>
      </w:r>
    </w:p>
    <w:p>
      <w:pPr>
        <w:pStyle w:val="ListBullet"/>
      </w:pPr>
      <w:r>
        <w:rPr>
          <w:rFonts w:ascii="Calibri" w:hAnsi="Calibri"/>
          <w:b w:val="0"/>
          <w:i w:val="0"/>
          <w:color w:val="243447"/>
          <w:sz w:val="21"/>
        </w:rPr>
        <w:t>Indexes all 34 signed Contract pages through a page- and passage-level OCR corpus.</w:t>
      </w:r>
    </w:p>
    <w:p>
      <w:pPr>
        <w:pStyle w:val="ListBullet"/>
      </w:pPr>
      <w:r>
        <w:rPr>
          <w:rFonts w:ascii="Calibri" w:hAnsi="Calibri"/>
          <w:b w:val="0"/>
          <w:i w:val="0"/>
          <w:color w:val="243447"/>
          <w:sz w:val="21"/>
        </w:rPr>
        <w:t>Searches words, phrases, clauses, definitions, exceptions and cross-references.</w:t>
      </w:r>
    </w:p>
    <w:p>
      <w:pPr>
        <w:pStyle w:val="ListBullet"/>
      </w:pPr>
      <w:r>
        <w:rPr>
          <w:rFonts w:ascii="Calibri" w:hAnsi="Calibri"/>
          <w:b w:val="0"/>
          <w:i w:val="0"/>
          <w:color w:val="243447"/>
          <w:sz w:val="21"/>
        </w:rPr>
        <w:t>Applies the contractual order of precedence.</w:t>
      </w:r>
    </w:p>
    <w:p>
      <w:pPr>
        <w:pStyle w:val="ListBullet"/>
      </w:pPr>
      <w:r>
        <w:rPr>
          <w:rFonts w:ascii="Calibri" w:hAnsi="Calibri"/>
          <w:b w:val="0"/>
          <w:i w:val="0"/>
          <w:color w:val="243447"/>
          <w:sz w:val="21"/>
        </w:rPr>
        <w:t>Separates verified signed wording from OCR passages requiring visual confirmation.</w:t>
      </w:r>
    </w:p>
    <w:p>
      <w:pPr>
        <w:pStyle w:val="ListBullet"/>
      </w:pPr>
      <w:r>
        <w:rPr>
          <w:rFonts w:ascii="Calibri" w:hAnsi="Calibri"/>
          <w:b w:val="0"/>
          <w:i w:val="0"/>
          <w:color w:val="243447"/>
          <w:sz w:val="21"/>
        </w:rPr>
        <w:t>Maps issues to FIDIC 1999 Clauses 1–20 without presenting the route map as verbatim copyrighted text.</w:t>
      </w:r>
    </w:p>
    <w:p>
      <w:pPr>
        <w:pStyle w:val="ListBullet"/>
      </w:pPr>
      <w:r>
        <w:rPr>
          <w:rFonts w:ascii="Calibri" w:hAnsi="Calibri"/>
          <w:b w:val="0"/>
          <w:i w:val="0"/>
          <w:color w:val="243447"/>
          <w:sz w:val="21"/>
        </w:rPr>
        <w:t>Supports ingestion of an authorized FIDIC PDF for page-level evidence.</w:t>
      </w:r>
    </w:p>
    <w:p>
      <w:pPr>
        <w:pStyle w:val="ListBullet"/>
      </w:pPr>
      <w:r>
        <w:rPr>
          <w:rFonts w:ascii="Calibri" w:hAnsi="Calibri"/>
          <w:b w:val="0"/>
          <w:i w:val="0"/>
          <w:color w:val="243447"/>
          <w:sz w:val="21"/>
        </w:rPr>
        <w:t>Identifies obligations, risk allocation, notice requirements, time bars and procedural conditions.</w:t>
      </w:r>
    </w:p>
    <w:p>
      <w:pPr>
        <w:pStyle w:val="ListBullet"/>
      </w:pPr>
      <w:r>
        <w:rPr>
          <w:rFonts w:ascii="Calibri" w:hAnsi="Calibri"/>
          <w:b w:val="0"/>
          <w:i w:val="0"/>
          <w:color w:val="243447"/>
          <w:sz w:val="21"/>
        </w:rPr>
        <w:t>Refuses unsupported conclusions instead of inventing provisions.</w:t>
      </w:r>
    </w:p>
    <w:p>
      <w:pPr>
        <w:pStyle w:val="ListBullet"/>
      </w:pPr>
      <w:r>
        <w:rPr>
          <w:rFonts w:ascii="Calibri" w:hAnsi="Calibri"/>
          <w:b w:val="0"/>
          <w:i w:val="0"/>
          <w:color w:val="243447"/>
          <w:sz w:val="21"/>
        </w:rPr>
        <w:t>Produces clause-backed analysis and controlled contractual letters.</w:t>
      </w:r>
    </w:p>
    <w:p>
      <w:pPr>
        <w:pStyle w:val="Heading2"/>
      </w:pPr>
      <w:r>
        <w:t>3.3 Authority hierarchy</w:t>
      </w:r>
    </w:p>
    <w:p>
      <w:pPr>
        <w:keepLines w:val="0"/>
        <w:widowControl/>
        <w:spacing w:before="0" w:after="120" w:line="264" w:lineRule="auto"/>
      </w:pPr>
      <w:r>
        <w:rPr>
          <w:rFonts w:ascii="Calibri" w:hAnsi="Calibri"/>
          <w:b w:val="0"/>
          <w:i w:val="0"/>
          <w:color w:val="243447"/>
          <w:sz w:val="21"/>
        </w:rPr>
        <w:t>The engine applies the project-specific hierarchy encoded from the signed documents:</w:t>
      </w:r>
    </w:p>
    <w:p>
      <w:pPr>
        <w:spacing w:after="80" w:line="259" w:lineRule="auto"/>
        <w:numPr>
          <w:ilvl w:val="0"/>
          <w:numId w:val="11"/>
        </w:numPr>
      </w:pPr>
      <w:r>
        <w:rPr>
          <w:rFonts w:ascii="Calibri" w:hAnsi="Calibri"/>
          <w:b w:val="0"/>
          <w:i w:val="0"/>
          <w:color w:val="243447"/>
          <w:sz w:val="21"/>
        </w:rPr>
        <w:t>Contract Agreement</w:t>
      </w:r>
    </w:p>
    <w:p>
      <w:pPr>
        <w:spacing w:after="80" w:line="259" w:lineRule="auto"/>
        <w:numPr>
          <w:ilvl w:val="0"/>
          <w:numId w:val="11"/>
        </w:numPr>
      </w:pPr>
      <w:r>
        <w:rPr>
          <w:rFonts w:ascii="Calibri" w:hAnsi="Calibri"/>
          <w:b w:val="0"/>
          <w:i w:val="0"/>
          <w:color w:val="243447"/>
          <w:sz w:val="21"/>
        </w:rPr>
        <w:t>Appendix to Tender</w:t>
      </w:r>
    </w:p>
    <w:p>
      <w:pPr>
        <w:spacing w:after="80" w:line="259" w:lineRule="auto"/>
        <w:numPr>
          <w:ilvl w:val="0"/>
          <w:numId w:val="11"/>
        </w:numPr>
      </w:pPr>
      <w:r>
        <w:rPr>
          <w:rFonts w:ascii="Calibri" w:hAnsi="Calibri"/>
          <w:b w:val="0"/>
          <w:i w:val="0"/>
          <w:color w:val="243447"/>
          <w:sz w:val="21"/>
        </w:rPr>
        <w:t>Particular Conditions</w:t>
      </w:r>
    </w:p>
    <w:p>
      <w:pPr>
        <w:spacing w:after="80" w:line="259" w:lineRule="auto"/>
        <w:numPr>
          <w:ilvl w:val="0"/>
          <w:numId w:val="11"/>
        </w:numPr>
      </w:pPr>
      <w:r>
        <w:rPr>
          <w:rFonts w:ascii="Calibri" w:hAnsi="Calibri"/>
          <w:b w:val="0"/>
          <w:i w:val="0"/>
          <w:color w:val="243447"/>
          <w:sz w:val="21"/>
        </w:rPr>
        <w:t>FIDIC General Conditions, as amended</w:t>
      </w:r>
    </w:p>
    <w:p>
      <w:pPr>
        <w:keepLines w:val="0"/>
        <w:widowControl/>
        <w:spacing w:before="0" w:after="120" w:line="264" w:lineRule="auto"/>
      </w:pPr>
      <w:r>
        <w:rPr>
          <w:rFonts w:ascii="Calibri" w:hAnsi="Calibri"/>
          <w:b w:val="0"/>
          <w:i w:val="0"/>
          <w:color w:val="243447"/>
          <w:sz w:val="21"/>
        </w:rPr>
        <w:t>The exact hierarchy must always be visually confirmed against the signed Contract before a final legal quotation is issued.</w:t>
      </w:r>
    </w:p>
    <w:p>
      <w:pPr>
        <w:pStyle w:val="Heading2"/>
      </w:pPr>
      <w:r>
        <w:t>3.4 Key project routes</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trPr>
        <w:tc>
          <w:tcPr>
            <w:tcW w:type="dxa" w:w="2600"/>
            <w:shd w:fill="17365D"/>
            <w:tcMar>
              <w:top w:w="90" w:type="dxa"/>
              <w:start w:w="120" w:type="dxa"/>
              <w:bottom w:w="90" w:type="dxa"/>
              <w:end w:w="120" w:type="dxa"/>
            </w:tcMar>
            <w:vAlign w:val="center"/>
          </w:tcPr>
          <w:p>
            <w:pPr>
              <w:keepLines w:val="0"/>
              <w:widowControl/>
              <w:spacing w:before="0" w:after="0" w:line="240" w:lineRule="auto"/>
              <w:jc w:val="center"/>
            </w:pPr>
            <w:r>
              <w:rPr>
                <w:rFonts w:ascii="Calibri" w:hAnsi="Calibri"/>
                <w:b/>
                <w:i w:val="0"/>
                <w:color w:val="FFFFFF"/>
                <w:sz w:val="18"/>
              </w:rPr>
              <w:t>Issue</w:t>
            </w:r>
          </w:p>
        </w:tc>
        <w:tc>
          <w:tcPr>
            <w:tcW w:type="dxa" w:w="6760"/>
            <w:shd w:fill="17365D"/>
            <w:tcMar>
              <w:top w:w="90" w:type="dxa"/>
              <w:start w:w="120" w:type="dxa"/>
              <w:bottom w:w="90" w:type="dxa"/>
              <w:end w:w="120" w:type="dxa"/>
            </w:tcMar>
            <w:vAlign w:val="center"/>
          </w:tcPr>
          <w:p>
            <w:pPr>
              <w:keepLines w:val="0"/>
              <w:widowControl/>
              <w:spacing w:before="0" w:after="0" w:line="240" w:lineRule="auto"/>
              <w:jc w:val="left"/>
            </w:pPr>
            <w:r>
              <w:rPr>
                <w:rFonts w:ascii="Calibri" w:hAnsi="Calibri"/>
                <w:b/>
                <w:i w:val="0"/>
                <w:color w:val="FFFFFF"/>
                <w:sz w:val="18"/>
              </w:rPr>
              <w:t>Principal route</w:t>
            </w:r>
          </w:p>
        </w:tc>
      </w:tr>
      <w:tr>
        <w:tc>
          <w:tcPr>
            <w:tcW w:type="dxa" w:w="2600"/>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Free-issue reinforcement steel / advance-payment mechanism</w:t>
            </w:r>
          </w:p>
        </w:tc>
        <w:tc>
          <w:tcPr>
            <w:tcW w:type="dxa" w:w="67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Appendix to Tender Item 20; Sub-Clause 14.2; amended Sub-Clause 4.20</w:t>
            </w:r>
          </w:p>
        </w:tc>
      </w:tr>
      <w:tr>
        <w:tc>
          <w:tcPr>
            <w:tcW w:type="dxa" w:w="2600"/>
            <w:shd w:fill="F2F4F7"/>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Programme and schedule administration</w:t>
            </w:r>
          </w:p>
        </w:tc>
        <w:tc>
          <w:tcPr>
            <w:tcW w:type="dxa" w:w="67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Amended Sub-Clause 8.3</w:t>
            </w:r>
          </w:p>
        </w:tc>
      </w:tr>
      <w:tr>
        <w:tc>
          <w:tcPr>
            <w:tcW w:type="dxa" w:w="2600"/>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EOT, critical impact, method and mitigation</w:t>
            </w:r>
          </w:p>
        </w:tc>
        <w:tc>
          <w:tcPr>
            <w:tcW w:type="dxa" w:w="67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Amended Sub-Clause 8.4</w:t>
            </w:r>
          </w:p>
        </w:tc>
      </w:tr>
      <w:tr>
        <w:tc>
          <w:tcPr>
            <w:tcW w:type="dxa" w:w="2600"/>
            <w:shd w:fill="F2F4F7"/>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Drawings, instructions and revised IFC information</w:t>
            </w:r>
          </w:p>
        </w:tc>
        <w:tc>
          <w:tcPr>
            <w:tcW w:type="dxa" w:w="67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Sub-Clauses 1.5, 1.9 and 3.3</w:t>
            </w:r>
          </w:p>
        </w:tc>
      </w:tr>
      <w:tr>
        <w:tc>
          <w:tcPr>
            <w:tcW w:type="dxa" w:w="2600"/>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Variations / additional MEP work</w:t>
            </w:r>
          </w:p>
        </w:tc>
        <w:tc>
          <w:tcPr>
            <w:tcW w:type="dxa" w:w="67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Sub-Clauses 3.3, 13.1 and 13.3</w:t>
            </w:r>
          </w:p>
        </w:tc>
      </w:tr>
      <w:tr>
        <w:tc>
          <w:tcPr>
            <w:tcW w:type="dxa" w:w="2600"/>
            <w:shd w:fill="F2F4F7"/>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Notices, particulars, records, monthly accounts and concurrency</w:t>
            </w:r>
          </w:p>
        </w:tc>
        <w:tc>
          <w:tcPr>
            <w:tcW w:type="dxa" w:w="67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Amended Sub-Clause 20.1</w:t>
            </w:r>
          </w:p>
        </w:tc>
      </w:tr>
    </w:tbl>
    <w:p>
      <w:pPr>
        <w:spacing w:after="20"/>
      </w:pPr>
    </w:p>
    <w:p>
      <w:pPr>
        <w:pStyle w:val="Heading2"/>
      </w:pPr>
      <w:r>
        <w:t>3.5 Contractual safeguards</w:t>
      </w:r>
    </w:p>
    <w:p>
      <w:pPr>
        <w:pStyle w:val="ListBullet"/>
      </w:pPr>
      <w:r>
        <w:rPr>
          <w:rFonts w:ascii="Calibri" w:hAnsi="Calibri"/>
          <w:b w:val="0"/>
          <w:i w:val="0"/>
          <w:color w:val="243447"/>
          <w:sz w:val="21"/>
        </w:rPr>
        <w:t>Mitigation is assessed as a duty to reduce the effect of delay; it does not automatically transfer Employer-risk responsibility to SAMCO.</w:t>
      </w:r>
    </w:p>
    <w:p>
      <w:pPr>
        <w:pStyle w:val="ListBullet"/>
      </w:pPr>
      <w:r>
        <w:rPr>
          <w:rFonts w:ascii="Calibri" w:hAnsi="Calibri"/>
          <w:b w:val="0"/>
          <w:i w:val="0"/>
          <w:color w:val="243447"/>
          <w:sz w:val="21"/>
        </w:rPr>
        <w:t>Forecast completion, contractual completion, EOT sought, EOT assessed and EOT awarded are separate values.</w:t>
      </w:r>
    </w:p>
    <w:p>
      <w:pPr>
        <w:pStyle w:val="ListBullet"/>
      </w:pPr>
      <w:r>
        <w:rPr>
          <w:rFonts w:ascii="Calibri" w:hAnsi="Calibri"/>
          <w:b w:val="0"/>
          <w:i w:val="0"/>
          <w:color w:val="243447"/>
          <w:sz w:val="21"/>
        </w:rPr>
        <w:t>A clause-route summary is not treated as a verified quotation.</w:t>
      </w:r>
    </w:p>
    <w:p>
      <w:pPr>
        <w:pStyle w:val="ListBullet"/>
      </w:pPr>
      <w:r>
        <w:rPr>
          <w:rFonts w:ascii="Calibri" w:hAnsi="Calibri"/>
          <w:b w:val="0"/>
          <w:i w:val="0"/>
          <w:color w:val="243447"/>
          <w:sz w:val="21"/>
        </w:rPr>
        <w:t>OCR evidence carries page and verification status.</w:t>
      </w:r>
    </w:p>
    <w:p>
      <w:pPr>
        <w:pStyle w:val="ListBullet"/>
      </w:pPr>
      <w:r>
        <w:rPr>
          <w:rFonts w:ascii="Calibri" w:hAnsi="Calibri"/>
          <w:b w:val="0"/>
          <w:i w:val="0"/>
          <w:color w:val="243447"/>
          <w:sz w:val="21"/>
        </w:rPr>
        <w:t>Final direct quotations must be checked against the signed PDF.</w:t>
      </w:r>
    </w:p>
    <w:p>
      <w:pPr>
        <w:pStyle w:val="Heading1"/>
      </w:pPr>
      <w:r>
        <w:t>4. Level 2 — Evidence Reader &amp; Provider</w:t>
      </w:r>
    </w:p>
    <w:p>
      <w:pPr>
        <w:pStyle w:val="Heading2"/>
      </w:pPr>
      <w:r>
        <w:t>4.1 Purpose</w:t>
      </w:r>
    </w:p>
    <w:p>
      <w:pPr>
        <w:keepLines w:val="0"/>
        <w:widowControl/>
        <w:spacing w:before="0" w:after="120" w:line="264" w:lineRule="auto"/>
      </w:pPr>
      <w:r>
        <w:rPr>
          <w:rFonts w:ascii="Calibri" w:hAnsi="Calibri"/>
          <w:b w:val="0"/>
          <w:i w:val="0"/>
          <w:color w:val="243447"/>
          <w:sz w:val="21"/>
        </w:rPr>
        <w:t>Level 2 determines what is proven, what is supported, what conflicts, and what remains missing.</w:t>
      </w:r>
    </w:p>
    <w:p>
      <w:pPr>
        <w:pStyle w:val="Heading2"/>
      </w:pPr>
      <w:r>
        <w:t>4.2 Evidence classes</w:t>
      </w:r>
    </w:p>
    <w:p>
      <w:pPr>
        <w:keepLines w:val="0"/>
        <w:widowControl/>
        <w:spacing w:before="0" w:after="120" w:line="264" w:lineRule="auto"/>
      </w:pPr>
      <w:r>
        <w:rPr>
          <w:rFonts w:ascii="Calibri" w:hAnsi="Calibri"/>
          <w:b w:val="0"/>
          <w:i w:val="0"/>
          <w:color w:val="243447"/>
          <w:sz w:val="21"/>
        </w:rPr>
        <w:t>The pipeline can process:</w:t>
      </w:r>
    </w:p>
    <w:p>
      <w:pPr>
        <w:pStyle w:val="ListBullet"/>
      </w:pPr>
      <w:r>
        <w:rPr>
          <w:rFonts w:ascii="Calibri" w:hAnsi="Calibri"/>
          <w:b w:val="0"/>
          <w:i w:val="0"/>
          <w:color w:val="243447"/>
          <w:sz w:val="21"/>
        </w:rPr>
        <w:t>Letters and notices</w:t>
      </w:r>
    </w:p>
    <w:p>
      <w:pPr>
        <w:pStyle w:val="ListBullet"/>
      </w:pPr>
      <w:r>
        <w:rPr>
          <w:rFonts w:ascii="Calibri" w:hAnsi="Calibri"/>
          <w:b w:val="0"/>
          <w:i w:val="0"/>
          <w:color w:val="243447"/>
          <w:sz w:val="21"/>
        </w:rPr>
        <w:t>RFIs and responses</w:t>
      </w:r>
    </w:p>
    <w:p>
      <w:pPr>
        <w:pStyle w:val="ListBullet"/>
      </w:pPr>
      <w:r>
        <w:rPr>
          <w:rFonts w:ascii="Calibri" w:hAnsi="Calibri"/>
          <w:b w:val="0"/>
          <w:i w:val="0"/>
          <w:color w:val="243447"/>
          <w:sz w:val="21"/>
        </w:rPr>
        <w:t>IFC drawings, revisions and transmittals</w:t>
      </w:r>
    </w:p>
    <w:p>
      <w:pPr>
        <w:pStyle w:val="ListBullet"/>
      </w:pPr>
      <w:r>
        <w:rPr>
          <w:rFonts w:ascii="Calibri" w:hAnsi="Calibri"/>
          <w:b w:val="0"/>
          <w:i w:val="0"/>
          <w:color w:val="243447"/>
          <w:sz w:val="21"/>
        </w:rPr>
        <w:t>Inspection Requests</w:t>
      </w:r>
    </w:p>
    <w:p>
      <w:pPr>
        <w:pStyle w:val="ListBullet"/>
      </w:pPr>
      <w:r>
        <w:rPr>
          <w:rFonts w:ascii="Calibri" w:hAnsi="Calibri"/>
          <w:b w:val="0"/>
          <w:i w:val="0"/>
          <w:color w:val="243447"/>
          <w:sz w:val="21"/>
        </w:rPr>
        <w:t>Verbal Instructions and Variation Orders</w:t>
      </w:r>
    </w:p>
    <w:p>
      <w:pPr>
        <w:pStyle w:val="ListBullet"/>
      </w:pPr>
      <w:r>
        <w:rPr>
          <w:rFonts w:ascii="Calibri" w:hAnsi="Calibri"/>
          <w:b w:val="0"/>
          <w:i w:val="0"/>
          <w:color w:val="243447"/>
          <w:sz w:val="21"/>
        </w:rPr>
        <w:t>Meeting minutes and progress reports</w:t>
      </w:r>
    </w:p>
    <w:p>
      <w:pPr>
        <w:pStyle w:val="ListBullet"/>
      </w:pPr>
      <w:r>
        <w:rPr>
          <w:rFonts w:ascii="Calibri" w:hAnsi="Calibri"/>
          <w:b w:val="0"/>
          <w:i w:val="0"/>
          <w:color w:val="243447"/>
          <w:sz w:val="21"/>
        </w:rPr>
        <w:t>Steel requests, delivery notes and material records</w:t>
      </w:r>
    </w:p>
    <w:p>
      <w:pPr>
        <w:pStyle w:val="ListBullet"/>
      </w:pPr>
      <w:r>
        <w:rPr>
          <w:rFonts w:ascii="Calibri" w:hAnsi="Calibri"/>
          <w:b w:val="0"/>
          <w:i w:val="0"/>
          <w:color w:val="243447"/>
          <w:sz w:val="21"/>
        </w:rPr>
        <w:t>Payment and advance-payment records</w:t>
      </w:r>
    </w:p>
    <w:p>
      <w:pPr>
        <w:pStyle w:val="ListBullet"/>
      </w:pPr>
      <w:r>
        <w:rPr>
          <w:rFonts w:ascii="Calibri" w:hAnsi="Calibri"/>
          <w:b w:val="0"/>
          <w:i w:val="0"/>
          <w:color w:val="243447"/>
          <w:sz w:val="21"/>
        </w:rPr>
        <w:t>Photographs and other contemporaneous records</w:t>
      </w:r>
    </w:p>
    <w:p>
      <w:pPr>
        <w:pStyle w:val="ListBullet"/>
      </w:pPr>
      <w:r>
        <w:rPr>
          <w:rFonts w:ascii="Calibri" w:hAnsi="Calibri"/>
          <w:b w:val="0"/>
          <w:i w:val="0"/>
          <w:color w:val="243447"/>
          <w:sz w:val="21"/>
        </w:rPr>
        <w:t>Approved baseline, schedule updates and XER submissions</w:t>
      </w:r>
    </w:p>
    <w:p>
      <w:pPr>
        <w:pStyle w:val="Heading2"/>
      </w:pPr>
      <w:r>
        <w:t>4.3 Evidence status controls</w:t>
      </w:r>
    </w:p>
    <w:tbl>
      <w:tblPr>
        <w:tblStyle w:val="TableGrid"/>
        <w:tblW w:type="dxa" w:w="9360"/>
        <w:jc w:val="center"/>
        <w:tblLayout w:type="fixed"/>
        <w:tblLook w:firstColumn="1" w:firstRow="1" w:lastColumn="0" w:lastRow="0" w:noHBand="0" w:noVBand="1" w:val="04A0"/>
        <w:tblInd w:w="120" w:type="dxa"/>
      </w:tblPr>
      <w:tblGrid>
        <w:gridCol w:w="1900"/>
        <w:gridCol w:w="3200"/>
        <w:gridCol w:w="4260"/>
      </w:tblGrid>
      <w:tr>
        <w:trPr>
          <w:tblHeader w:val="true"/>
        </w:trPr>
        <w:tc>
          <w:tcPr>
            <w:tcW w:type="dxa" w:w="1900"/>
            <w:shd w:fill="17365D"/>
            <w:tcMar>
              <w:top w:w="90" w:type="dxa"/>
              <w:start w:w="120" w:type="dxa"/>
              <w:bottom w:w="90" w:type="dxa"/>
              <w:end w:w="120" w:type="dxa"/>
            </w:tcMar>
            <w:vAlign w:val="center"/>
          </w:tcPr>
          <w:p>
            <w:pPr>
              <w:keepLines w:val="0"/>
              <w:widowControl/>
              <w:spacing w:before="0" w:after="0" w:line="240" w:lineRule="auto"/>
              <w:jc w:val="center"/>
            </w:pPr>
            <w:r>
              <w:rPr>
                <w:rFonts w:ascii="Calibri" w:hAnsi="Calibri"/>
                <w:b/>
                <w:i w:val="0"/>
                <w:color w:val="FFFFFF"/>
                <w:sz w:val="18"/>
              </w:rPr>
              <w:t>Status</w:t>
            </w:r>
          </w:p>
        </w:tc>
        <w:tc>
          <w:tcPr>
            <w:tcW w:type="dxa" w:w="3200"/>
            <w:shd w:fill="17365D"/>
            <w:tcMar>
              <w:top w:w="90" w:type="dxa"/>
              <w:start w:w="120" w:type="dxa"/>
              <w:bottom w:w="90" w:type="dxa"/>
              <w:end w:w="120" w:type="dxa"/>
            </w:tcMar>
            <w:vAlign w:val="center"/>
          </w:tcPr>
          <w:p>
            <w:pPr>
              <w:keepLines w:val="0"/>
              <w:widowControl/>
              <w:spacing w:before="0" w:after="0" w:line="240" w:lineRule="auto"/>
              <w:jc w:val="left"/>
            </w:pPr>
            <w:r>
              <w:rPr>
                <w:rFonts w:ascii="Calibri" w:hAnsi="Calibri"/>
                <w:b/>
                <w:i w:val="0"/>
                <w:color w:val="FFFFFF"/>
                <w:sz w:val="18"/>
              </w:rPr>
              <w:t>Meaning</w:t>
            </w:r>
          </w:p>
        </w:tc>
        <w:tc>
          <w:tcPr>
            <w:tcW w:type="dxa" w:w="4260"/>
            <w:shd w:fill="17365D"/>
            <w:tcMar>
              <w:top w:w="90" w:type="dxa"/>
              <w:start w:w="120" w:type="dxa"/>
              <w:bottom w:w="90" w:type="dxa"/>
              <w:end w:w="120" w:type="dxa"/>
            </w:tcMar>
            <w:vAlign w:val="center"/>
          </w:tcPr>
          <w:p>
            <w:pPr>
              <w:keepLines w:val="0"/>
              <w:widowControl/>
              <w:spacing w:before="0" w:after="0" w:line="240" w:lineRule="auto"/>
              <w:jc w:val="left"/>
            </w:pPr>
            <w:r>
              <w:rPr>
                <w:rFonts w:ascii="Calibri" w:hAnsi="Calibri"/>
                <w:b/>
                <w:i w:val="0"/>
                <w:color w:val="FFFFFF"/>
                <w:sz w:val="18"/>
              </w:rPr>
              <w:t>Permitted use</w:t>
            </w:r>
          </w:p>
        </w:tc>
      </w:tr>
      <w:tr>
        <w:tc>
          <w:tcPr>
            <w:tcW w:type="dxa" w:w="1900"/>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SOURCE_FILE_VERIFIED</w:t>
            </w:r>
          </w:p>
        </w:tc>
        <w:tc>
          <w:tcPr>
            <w:tcW w:type="dxa" w:w="320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Native source available and identity/provenance checked</w:t>
            </w:r>
          </w:p>
        </w:tc>
        <w:tc>
          <w:tcPr>
            <w:tcW w:type="dxa" w:w="42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May support a factual finding, subject to relevance and completeness</w:t>
            </w:r>
          </w:p>
        </w:tc>
      </w:tr>
      <w:tr>
        <w:tc>
          <w:tcPr>
            <w:tcW w:type="dxa" w:w="1900"/>
            <w:shd w:fill="F2F4F7"/>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SOURCE_FILE_INDEXED</w:t>
            </w:r>
          </w:p>
        </w:tc>
        <w:tc>
          <w:tcPr>
            <w:tcW w:type="dxa" w:w="320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Source available and indexed but requires substantive review</w:t>
            </w:r>
          </w:p>
        </w:tc>
        <w:tc>
          <w:tcPr>
            <w:tcW w:type="dxa" w:w="42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Search lead and conditional support</w:t>
            </w:r>
          </w:p>
        </w:tc>
      </w:tr>
      <w:tr>
        <w:tc>
          <w:tcPr>
            <w:tcW w:type="dxa" w:w="1900"/>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REFERENCE_ONLY_UNVERIFIED</w:t>
            </w:r>
          </w:p>
        </w:tc>
        <w:tc>
          <w:tcPr>
            <w:tcW w:type="dxa" w:w="320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Reference exists but underlying source or receipt proof is absent</w:t>
            </w:r>
          </w:p>
        </w:tc>
        <w:tc>
          <w:tcPr>
            <w:tcW w:type="dxa" w:w="42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Cannot prove issue, receipt, content, compliance or entitlement</w:t>
            </w:r>
          </w:p>
        </w:tc>
      </w:tr>
      <w:tr>
        <w:tc>
          <w:tcPr>
            <w:tcW w:type="dxa" w:w="1900"/>
            <w:shd w:fill="F2F4F7"/>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CONFLICTING</w:t>
            </w:r>
          </w:p>
        </w:tc>
        <w:tc>
          <w:tcPr>
            <w:tcW w:type="dxa" w:w="320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Sources materially disagree</w:t>
            </w:r>
          </w:p>
        </w:tc>
        <w:tc>
          <w:tcPr>
            <w:tcW w:type="dxa" w:w="42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Requires reconciliation before reliance</w:t>
            </w:r>
          </w:p>
        </w:tc>
      </w:tr>
      <w:tr>
        <w:tc>
          <w:tcPr>
            <w:tcW w:type="dxa" w:w="1900"/>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MISSING</w:t>
            </w:r>
          </w:p>
        </w:tc>
        <w:tc>
          <w:tcPr>
            <w:tcW w:type="dxa" w:w="320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Required source not supplied</w:t>
            </w:r>
          </w:p>
        </w:tc>
        <w:tc>
          <w:tcPr>
            <w:tcW w:type="dxa" w:w="42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Evidential gap and action item</w:t>
            </w:r>
          </w:p>
        </w:tc>
      </w:tr>
    </w:tbl>
    <w:p>
      <w:pPr>
        <w:spacing w:after="20"/>
      </w:pPr>
    </w:p>
    <w:p>
      <w:pPr>
        <w:pStyle w:val="Heading2"/>
      </w:pPr>
      <w:r>
        <w:t>4.4 Approved baseline evidence</w:t>
      </w:r>
    </w:p>
    <w:p>
      <w:pPr>
        <w:keepLines w:val="0"/>
        <w:widowControl/>
        <w:spacing w:before="0" w:after="120" w:line="264" w:lineRule="auto"/>
      </w:pPr>
      <w:r>
        <w:rPr>
          <w:rFonts w:ascii="Calibri" w:hAnsi="Calibri"/>
          <w:b w:val="0"/>
          <w:i w:val="0"/>
          <w:color w:val="243447"/>
          <w:sz w:val="21"/>
        </w:rPr>
        <w:t>The approved-baseline adapter records:</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trPr>
        <w:tc>
          <w:tcPr>
            <w:tcW w:type="dxa" w:w="2600"/>
            <w:shd w:fill="17365D"/>
            <w:tcMar>
              <w:top w:w="90" w:type="dxa"/>
              <w:start w:w="120" w:type="dxa"/>
              <w:bottom w:w="90" w:type="dxa"/>
              <w:end w:w="120" w:type="dxa"/>
            </w:tcMar>
            <w:vAlign w:val="center"/>
          </w:tcPr>
          <w:p>
            <w:pPr>
              <w:keepLines w:val="0"/>
              <w:widowControl/>
              <w:spacing w:before="0" w:after="0" w:line="240" w:lineRule="auto"/>
              <w:jc w:val="center"/>
            </w:pPr>
            <w:r>
              <w:rPr>
                <w:rFonts w:ascii="Calibri" w:hAnsi="Calibri"/>
                <w:b/>
                <w:i w:val="0"/>
                <w:color w:val="FFFFFF"/>
                <w:sz w:val="18"/>
              </w:rPr>
              <w:t>Dataset</w:t>
            </w:r>
          </w:p>
        </w:tc>
        <w:tc>
          <w:tcPr>
            <w:tcW w:type="dxa" w:w="6760"/>
            <w:shd w:fill="17365D"/>
            <w:tcMar>
              <w:top w:w="90" w:type="dxa"/>
              <w:start w:w="120" w:type="dxa"/>
              <w:bottom w:w="90" w:type="dxa"/>
              <w:end w:w="120" w:type="dxa"/>
            </w:tcMar>
            <w:vAlign w:val="center"/>
          </w:tcPr>
          <w:p>
            <w:pPr>
              <w:keepLines w:val="0"/>
              <w:widowControl/>
              <w:spacing w:before="0" w:after="0" w:line="240" w:lineRule="auto"/>
              <w:jc w:val="left"/>
            </w:pPr>
            <w:r>
              <w:rPr>
                <w:rFonts w:ascii="Calibri" w:hAnsi="Calibri"/>
                <w:b/>
                <w:i w:val="0"/>
                <w:color w:val="FFFFFF"/>
                <w:sz w:val="18"/>
              </w:rPr>
              <w:t>Indexed volume</w:t>
            </w:r>
          </w:p>
        </w:tc>
      </w:tr>
      <w:tr>
        <w:tc>
          <w:tcPr>
            <w:tcW w:type="dxa" w:w="2600"/>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Activities</w:t>
            </w:r>
          </w:p>
        </w:tc>
        <w:tc>
          <w:tcPr>
            <w:tcW w:type="dxa" w:w="6760"/>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1,363</w:t>
            </w:r>
          </w:p>
        </w:tc>
      </w:tr>
      <w:tr>
        <w:tc>
          <w:tcPr>
            <w:tcW w:type="dxa" w:w="2600"/>
            <w:shd w:fill="F2F4F7"/>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Relationships</w:t>
            </w:r>
          </w:p>
        </w:tc>
        <w:tc>
          <w:tcPr>
            <w:tcW w:type="dxa" w:w="6760"/>
            <w:shd w:fill="F2F4F7"/>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3,017</w:t>
            </w:r>
          </w:p>
        </w:tc>
      </w:tr>
      <w:tr>
        <w:tc>
          <w:tcPr>
            <w:tcW w:type="dxa" w:w="2600"/>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Resources</w:t>
            </w:r>
          </w:p>
        </w:tc>
        <w:tc>
          <w:tcPr>
            <w:tcW w:type="dxa" w:w="6760"/>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120</w:t>
            </w:r>
          </w:p>
        </w:tc>
      </w:tr>
      <w:tr>
        <w:tc>
          <w:tcPr>
            <w:tcW w:type="dxa" w:w="2600"/>
            <w:shd w:fill="F2F4F7"/>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Resource assignments</w:t>
            </w:r>
          </w:p>
        </w:tc>
        <w:tc>
          <w:tcPr>
            <w:tcW w:type="dxa" w:w="6760"/>
            <w:shd w:fill="F2F4F7"/>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1,445</w:t>
            </w:r>
          </w:p>
        </w:tc>
      </w:tr>
    </w:tbl>
    <w:p>
      <w:pPr>
        <w:spacing w:after="20"/>
      </w:pPr>
    </w:p>
    <w:p>
      <w:pPr>
        <w:keepLines w:val="0"/>
        <w:widowControl/>
        <w:spacing w:before="0" w:after="120" w:line="264" w:lineRule="auto"/>
      </w:pPr>
      <w:r>
        <w:rPr>
          <w:rFonts w:ascii="Calibri" w:hAnsi="Calibri"/>
          <w:b w:val="0"/>
          <w:i w:val="0"/>
          <w:color w:val="243447"/>
          <w:sz w:val="21"/>
        </w:rPr>
        <w:t>The baseline supports the planned benchmark, including logic, planned dates, resources and material need-date mapping. It does not independently prove occurrence, responsibility, notice compliance, actual critical delay, concurrency, EOT or cost.</w:t>
      </w:r>
    </w:p>
    <w:p>
      <w:pPr>
        <w:pStyle w:val="Heading2"/>
      </w:pPr>
      <w:r>
        <w:t>4.5 Current critical evidence gaps</w:t>
      </w:r>
    </w:p>
    <w:p>
      <w:pPr>
        <w:keepLines w:val="0"/>
        <w:widowControl/>
        <w:spacing w:before="0" w:after="120" w:line="264" w:lineRule="auto"/>
      </w:pPr>
      <w:r>
        <w:rPr>
          <w:rFonts w:ascii="Calibri" w:hAnsi="Calibri"/>
          <w:b w:val="0"/>
          <w:i w:val="0"/>
          <w:color w:val="243447"/>
          <w:sz w:val="21"/>
        </w:rPr>
        <w:t>The following records remain reference-only or missing until their native files and proof of issue/receipt are supplied:</w:t>
      </w:r>
    </w:p>
    <w:p>
      <w:pPr>
        <w:pStyle w:val="ListBullet"/>
      </w:pPr>
      <w:r>
        <w:rPr>
          <w:rFonts w:ascii="Calibri" w:hAnsi="Calibri"/>
          <w:b w:val="0"/>
          <w:i w:val="0"/>
          <w:color w:val="243447"/>
          <w:sz w:val="21"/>
        </w:rPr>
        <w:t>STR-042 and STR-083</w:t>
      </w:r>
    </w:p>
    <w:p>
      <w:pPr>
        <w:pStyle w:val="ListBullet"/>
      </w:pPr>
      <w:r>
        <w:rPr>
          <w:rFonts w:ascii="Calibri" w:hAnsi="Calibri"/>
          <w:b w:val="0"/>
          <w:i w:val="0"/>
          <w:color w:val="243447"/>
          <w:sz w:val="21"/>
        </w:rPr>
        <w:t>ACEPM Letter No. 042</w:t>
      </w:r>
    </w:p>
    <w:p>
      <w:pPr>
        <w:pStyle w:val="ListBullet"/>
      </w:pPr>
      <w:r>
        <w:rPr>
          <w:rFonts w:ascii="Calibri" w:hAnsi="Calibri"/>
          <w:b w:val="0"/>
          <w:i w:val="0"/>
          <w:color w:val="243447"/>
          <w:sz w:val="21"/>
        </w:rPr>
        <w:t>BD-CW-SAMCO-ACE-LET-STR-071</w:t>
      </w:r>
    </w:p>
    <w:p>
      <w:pPr>
        <w:pStyle w:val="ListBullet"/>
      </w:pPr>
      <w:r>
        <w:rPr>
          <w:rFonts w:ascii="Calibri" w:hAnsi="Calibri"/>
          <w:b w:val="0"/>
          <w:i w:val="0"/>
          <w:color w:val="243447"/>
          <w:sz w:val="21"/>
        </w:rPr>
        <w:t>Engineer’s early warning / notification</w:t>
      </w:r>
    </w:p>
    <w:p>
      <w:pPr>
        <w:pStyle w:val="ListBullet"/>
      </w:pPr>
      <w:r>
        <w:rPr>
          <w:rFonts w:ascii="Calibri" w:hAnsi="Calibri"/>
          <w:b w:val="0"/>
          <w:i w:val="0"/>
          <w:color w:val="243447"/>
          <w:sz w:val="21"/>
        </w:rPr>
        <w:t>RFI register and individual responses</w:t>
      </w:r>
    </w:p>
    <w:p>
      <w:pPr>
        <w:pStyle w:val="ListBullet"/>
      </w:pPr>
      <w:r>
        <w:rPr>
          <w:rFonts w:ascii="Calibri" w:hAnsi="Calibri"/>
          <w:b w:val="0"/>
          <w:i w:val="0"/>
          <w:color w:val="243447"/>
          <w:sz w:val="21"/>
        </w:rPr>
        <w:t>IFC drawing register, revisions and transmittals</w:t>
      </w:r>
    </w:p>
    <w:p>
      <w:pPr>
        <w:pStyle w:val="ListBullet"/>
      </w:pPr>
      <w:r>
        <w:rPr>
          <w:rFonts w:ascii="Calibri" w:hAnsi="Calibri"/>
          <w:b w:val="0"/>
          <w:i w:val="0"/>
          <w:color w:val="243447"/>
          <w:sz w:val="21"/>
        </w:rPr>
        <w:t>IR STR-001 through STR-041</w:t>
      </w:r>
    </w:p>
    <w:p>
      <w:pPr>
        <w:pStyle w:val="ListBullet"/>
      </w:pPr>
      <w:r>
        <w:rPr>
          <w:rFonts w:ascii="Calibri" w:hAnsi="Calibri"/>
          <w:b w:val="0"/>
          <w:i w:val="0"/>
          <w:color w:val="243447"/>
          <w:sz w:val="21"/>
        </w:rPr>
        <w:t>VI and VO registers and signed instructions</w:t>
      </w:r>
    </w:p>
    <w:p>
      <w:pPr>
        <w:pStyle w:val="ListBullet"/>
      </w:pPr>
      <w:r>
        <w:rPr>
          <w:rFonts w:ascii="Calibri" w:hAnsi="Calibri"/>
          <w:b w:val="0"/>
          <w:i w:val="0"/>
          <w:color w:val="243447"/>
          <w:sz w:val="21"/>
        </w:rPr>
        <w:t>Monthly separate claim accounts</w:t>
      </w:r>
    </w:p>
    <w:p>
      <w:pPr>
        <w:pStyle w:val="ListBullet"/>
      </w:pPr>
      <w:r>
        <w:rPr>
          <w:rFonts w:ascii="Calibri" w:hAnsi="Calibri"/>
          <w:b w:val="0"/>
          <w:i w:val="0"/>
          <w:color w:val="243447"/>
          <w:sz w:val="21"/>
        </w:rPr>
        <w:t>Steel delivery notes, transmittals and acknowledged receipt records</w:t>
      </w:r>
    </w:p>
    <w:p>
      <w:pPr>
        <w:keepLines w:val="0"/>
        <w:widowControl/>
        <w:spacing w:before="0" w:after="120" w:line="264" w:lineRule="auto"/>
      </w:pPr>
      <w:r>
        <w:rPr>
          <w:rFonts w:ascii="Calibri" w:hAnsi="Calibri"/>
          <w:b w:val="0"/>
          <w:i w:val="0"/>
          <w:color w:val="243447"/>
          <w:sz w:val="21"/>
        </w:rPr>
        <w:t>These references must not be described as proven evidence merely because they appear in a narrative or register.</w:t>
      </w:r>
    </w:p>
    <w:p>
      <w:pPr>
        <w:pStyle w:val="Heading1"/>
      </w:pPr>
      <w:r>
        <w:t>5. Level 3 — Detailed Delay Analysis</w:t>
      </w:r>
    </w:p>
    <w:p>
      <w:pPr>
        <w:pStyle w:val="Heading2"/>
      </w:pPr>
      <w:r>
        <w:t>5.1 Purpose</w:t>
      </w:r>
    </w:p>
    <w:p>
      <w:pPr>
        <w:keepLines w:val="0"/>
        <w:widowControl/>
        <w:spacing w:before="0" w:after="120" w:line="264" w:lineRule="auto"/>
      </w:pPr>
      <w:r>
        <w:rPr>
          <w:rFonts w:ascii="Calibri" w:hAnsi="Calibri"/>
          <w:b w:val="0"/>
          <w:i w:val="0"/>
          <w:color w:val="243447"/>
          <w:sz w:val="21"/>
        </w:rPr>
        <w:t>Level 3 measures what the submitted P6 models demonstrate, then subjects the result to model-integrity controls.</w:t>
      </w:r>
    </w:p>
    <w:p>
      <w:pPr>
        <w:pStyle w:val="Heading2"/>
      </w:pPr>
      <w:r>
        <w:t>5.2 Core tests</w:t>
      </w:r>
    </w:p>
    <w:p>
      <w:pPr>
        <w:pStyle w:val="ListBullet"/>
      </w:pPr>
      <w:r>
        <w:rPr>
          <w:rFonts w:ascii="Calibri" w:hAnsi="Calibri"/>
          <w:b w:val="0"/>
          <w:i w:val="0"/>
          <w:color w:val="243447"/>
          <w:sz w:val="21"/>
        </w:rPr>
        <w:t>Before/after XER pairing and internal data-date validation</w:t>
      </w:r>
    </w:p>
    <w:p>
      <w:pPr>
        <w:pStyle w:val="ListBullet"/>
      </w:pPr>
      <w:r>
        <w:rPr>
          <w:rFonts w:ascii="Calibri" w:hAnsi="Calibri"/>
          <w:b w:val="0"/>
          <w:i w:val="0"/>
          <w:color w:val="243447"/>
          <w:sz w:val="21"/>
        </w:rPr>
        <w:t>Fragnet activity identification</w:t>
      </w:r>
    </w:p>
    <w:p>
      <w:pPr>
        <w:pStyle w:val="ListBullet"/>
      </w:pPr>
      <w:r>
        <w:rPr>
          <w:rFonts w:ascii="Calibri" w:hAnsi="Calibri"/>
          <w:b w:val="0"/>
          <w:i w:val="0"/>
          <w:color w:val="243447"/>
          <w:sz w:val="21"/>
        </w:rPr>
        <w:t>Predecessor, successor and boundary-link tracing</w:t>
      </w:r>
    </w:p>
    <w:p>
      <w:pPr>
        <w:pStyle w:val="ListBullet"/>
      </w:pPr>
      <w:r>
        <w:rPr>
          <w:rFonts w:ascii="Calibri" w:hAnsi="Calibri"/>
          <w:b w:val="0"/>
          <w:i w:val="0"/>
          <w:color w:val="243447"/>
          <w:sz w:val="21"/>
        </w:rPr>
        <w:t>Calendar, relationship, lag and constraint screening</w:t>
      </w:r>
    </w:p>
    <w:p>
      <w:pPr>
        <w:pStyle w:val="ListBullet"/>
      </w:pPr>
      <w:r>
        <w:rPr>
          <w:rFonts w:ascii="Calibri" w:hAnsi="Calibri"/>
          <w:b w:val="0"/>
          <w:i w:val="0"/>
          <w:color w:val="243447"/>
          <w:sz w:val="21"/>
        </w:rPr>
        <w:t>Milestone and total-float comparison</w:t>
      </w:r>
    </w:p>
    <w:p>
      <w:pPr>
        <w:pStyle w:val="ListBullet"/>
      </w:pPr>
      <w:r>
        <w:rPr>
          <w:rFonts w:ascii="Calibri" w:hAnsi="Calibri"/>
          <w:b w:val="0"/>
          <w:i w:val="0"/>
          <w:color w:val="243447"/>
          <w:sz w:val="21"/>
        </w:rPr>
        <w:t>Common non-fragnet change screening</w:t>
      </w:r>
    </w:p>
    <w:p>
      <w:pPr>
        <w:pStyle w:val="ListBullet"/>
      </w:pPr>
      <w:r>
        <w:rPr>
          <w:rFonts w:ascii="Calibri" w:hAnsi="Calibri"/>
          <w:b w:val="0"/>
          <w:i w:val="0"/>
          <w:color w:val="243447"/>
          <w:sz w:val="21"/>
        </w:rPr>
        <w:t>Critical or controlling-path assessment</w:t>
      </w:r>
    </w:p>
    <w:p>
      <w:pPr>
        <w:pStyle w:val="ListBullet"/>
      </w:pPr>
      <w:r>
        <w:rPr>
          <w:rFonts w:ascii="Calibri" w:hAnsi="Calibri"/>
          <w:b w:val="0"/>
          <w:i w:val="0"/>
          <w:color w:val="243447"/>
          <w:sz w:val="21"/>
        </w:rPr>
        <w:t>Mitigation and concurrency review</w:t>
      </w:r>
    </w:p>
    <w:p>
      <w:pPr>
        <w:pStyle w:val="ListBullet"/>
      </w:pPr>
      <w:r>
        <w:rPr>
          <w:rFonts w:ascii="Calibri" w:hAnsi="Calibri"/>
          <w:b w:val="0"/>
          <w:i w:val="0"/>
          <w:color w:val="243447"/>
          <w:sz w:val="21"/>
        </w:rPr>
        <w:t>Gross movement, overlap and net movement reconciliation</w:t>
      </w:r>
    </w:p>
    <w:p>
      <w:pPr>
        <w:pStyle w:val="ListBullet"/>
      </w:pPr>
      <w:r>
        <w:rPr>
          <w:rFonts w:ascii="Calibri" w:hAnsi="Calibri"/>
          <w:b w:val="0"/>
          <w:i w:val="0"/>
          <w:color w:val="243447"/>
          <w:sz w:val="21"/>
        </w:rPr>
        <w:t>Separation of schedule result from contractual entitlement</w:t>
      </w:r>
    </w:p>
    <w:p>
      <w:pPr>
        <w:pStyle w:val="Heading2"/>
      </w:pPr>
      <w:r>
        <w:t>5.3 Submitted-event results</w:t>
      </w:r>
    </w:p>
    <w:p>
      <w:pPr>
        <w:keepLines w:val="0"/>
        <w:widowControl/>
        <w:spacing w:before="0" w:after="120" w:line="264" w:lineRule="auto"/>
      </w:pPr>
      <w:r>
        <w:rPr>
          <w:rFonts w:ascii="Calibri" w:hAnsi="Calibri"/>
          <w:b w:val="0"/>
          <w:i w:val="0"/>
          <w:color w:val="243447"/>
          <w:sz w:val="21"/>
        </w:rPr>
        <w:t>The current controlled Level 4 position is:</w:t>
      </w:r>
    </w:p>
    <w:tbl>
      <w:tblPr>
        <w:tblStyle w:val="TableGrid"/>
        <w:tblW w:type="dxa" w:w="9360"/>
        <w:jc w:val="center"/>
        <w:tblLayout w:type="fixed"/>
        <w:tblLook w:firstColumn="1" w:firstRow="1" w:lastColumn="0" w:lastRow="0" w:noHBand="0" w:noVBand="1" w:val="04A0"/>
        <w:tblInd w:w="120" w:type="dxa"/>
      </w:tblPr>
      <w:tblGrid>
        <w:gridCol w:w="2100"/>
        <w:gridCol w:w="1700"/>
        <w:gridCol w:w="1800"/>
        <w:gridCol w:w="3760"/>
      </w:tblGrid>
      <w:tr>
        <w:trPr>
          <w:tblHeader w:val="true"/>
        </w:trPr>
        <w:tc>
          <w:tcPr>
            <w:tcW w:type="dxa" w:w="2100"/>
            <w:shd w:fill="17365D"/>
            <w:tcMar>
              <w:top w:w="90" w:type="dxa"/>
              <w:start w:w="120" w:type="dxa"/>
              <w:bottom w:w="90" w:type="dxa"/>
              <w:end w:w="120" w:type="dxa"/>
            </w:tcMar>
            <w:vAlign w:val="center"/>
          </w:tcPr>
          <w:p>
            <w:pPr>
              <w:keepLines w:val="0"/>
              <w:widowControl/>
              <w:spacing w:before="0" w:after="0" w:line="240" w:lineRule="auto"/>
              <w:jc w:val="center"/>
            </w:pPr>
            <w:r>
              <w:rPr>
                <w:rFonts w:ascii="Calibri" w:hAnsi="Calibri"/>
                <w:b/>
                <w:i w:val="0"/>
                <w:color w:val="FFFFFF"/>
                <w:sz w:val="17"/>
              </w:rPr>
              <w:t>Event</w:t>
            </w:r>
          </w:p>
        </w:tc>
        <w:tc>
          <w:tcPr>
            <w:tcW w:type="dxa" w:w="1700"/>
            <w:shd w:fill="17365D"/>
            <w:tcMar>
              <w:top w:w="90" w:type="dxa"/>
              <w:start w:w="120" w:type="dxa"/>
              <w:bottom w:w="90" w:type="dxa"/>
              <w:end w:w="120" w:type="dxa"/>
            </w:tcMar>
            <w:vAlign w:val="center"/>
          </w:tcPr>
          <w:p>
            <w:pPr>
              <w:keepLines w:val="0"/>
              <w:widowControl/>
              <w:spacing w:before="0" w:after="0" w:line="240" w:lineRule="auto"/>
              <w:jc w:val="left"/>
            </w:pPr>
            <w:r>
              <w:rPr>
                <w:rFonts w:ascii="Calibri" w:hAnsi="Calibri"/>
                <w:b/>
                <w:i w:val="0"/>
                <w:color w:val="FFFFFF"/>
                <w:sz w:val="17"/>
              </w:rPr>
              <w:t>Ground Works movement</w:t>
            </w:r>
          </w:p>
        </w:tc>
        <w:tc>
          <w:tcPr>
            <w:tcW w:type="dxa" w:w="1800"/>
            <w:shd w:fill="17365D"/>
            <w:tcMar>
              <w:top w:w="90" w:type="dxa"/>
              <w:start w:w="120" w:type="dxa"/>
              <w:bottom w:w="90" w:type="dxa"/>
              <w:end w:w="120" w:type="dxa"/>
            </w:tcMar>
            <w:vAlign w:val="center"/>
          </w:tcPr>
          <w:p>
            <w:pPr>
              <w:keepLines w:val="0"/>
              <w:widowControl/>
              <w:spacing w:before="0" w:after="0" w:line="240" w:lineRule="auto"/>
              <w:jc w:val="left"/>
            </w:pPr>
            <w:r>
              <w:rPr>
                <w:rFonts w:ascii="Calibri" w:hAnsi="Calibri"/>
                <w:b/>
                <w:i w:val="0"/>
                <w:color w:val="FFFFFF"/>
                <w:sz w:val="17"/>
              </w:rPr>
              <w:t>Project-finish movement</w:t>
            </w:r>
          </w:p>
        </w:tc>
        <w:tc>
          <w:tcPr>
            <w:tcW w:type="dxa" w:w="3760"/>
            <w:shd w:fill="17365D"/>
            <w:tcMar>
              <w:top w:w="90" w:type="dxa"/>
              <w:start w:w="120" w:type="dxa"/>
              <w:bottom w:w="90" w:type="dxa"/>
              <w:end w:w="120" w:type="dxa"/>
            </w:tcMar>
            <w:vAlign w:val="center"/>
          </w:tcPr>
          <w:p>
            <w:pPr>
              <w:keepLines w:val="0"/>
              <w:widowControl/>
              <w:spacing w:before="0" w:after="0" w:line="240" w:lineRule="auto"/>
              <w:jc w:val="left"/>
            </w:pPr>
            <w:r>
              <w:rPr>
                <w:rFonts w:ascii="Calibri" w:hAnsi="Calibri"/>
                <w:b/>
                <w:i w:val="0"/>
                <w:color w:val="FFFFFF"/>
                <w:sz w:val="17"/>
              </w:rPr>
              <w:t>Current control status</w:t>
            </w:r>
          </w:p>
        </w:tc>
      </w:tr>
      <w:tr>
        <w:tc>
          <w:tcPr>
            <w:tcW w:type="dxa" w:w="2100"/>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7"/>
              </w:rPr>
              <w:t>EV01 Batch 01 — Free-issue steel</w:t>
            </w:r>
          </w:p>
        </w:tc>
        <w:tc>
          <w:tcPr>
            <w:tcW w:type="dxa" w:w="170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11 days in the submitted pair</w:t>
            </w:r>
          </w:p>
        </w:tc>
        <w:tc>
          <w:tcPr>
            <w:tcW w:type="dxa" w:w="180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0 days retained in the current master position</w:t>
            </w:r>
          </w:p>
        </w:tc>
        <w:tc>
          <w:tcPr>
            <w:tcW w:type="dxa" w:w="37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Raw XER pair showed 8 days, later treated as absorbed by float; reconcile before final use</w:t>
            </w:r>
          </w:p>
        </w:tc>
      </w:tr>
      <w:tr>
        <w:tc>
          <w:tcPr>
            <w:tcW w:type="dxa" w:w="2100"/>
            <w:shd w:fill="F2F4F7"/>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7"/>
              </w:rPr>
              <w:t>EV01 Batch 02 — Free-issue steel</w:t>
            </w:r>
          </w:p>
        </w:tc>
        <w:tc>
          <w:tcPr>
            <w:tcW w:type="dxa" w:w="170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126 days</w:t>
            </w:r>
          </w:p>
        </w:tc>
        <w:tc>
          <w:tcPr>
            <w:tcW w:type="dxa" w:w="180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117 days</w:t>
            </w:r>
          </w:p>
        </w:tc>
        <w:tc>
          <w:tcPr>
            <w:tcW w:type="dxa" w:w="37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Current controlled event movement</w:t>
            </w:r>
          </w:p>
        </w:tc>
      </w:tr>
      <w:tr>
        <w:tc>
          <w:tcPr>
            <w:tcW w:type="dxa" w:w="2100"/>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7"/>
              </w:rPr>
              <w:t>EV02 — Revised IFC / basement redesign</w:t>
            </w:r>
          </w:p>
        </w:tc>
        <w:tc>
          <w:tcPr>
            <w:tcW w:type="dxa" w:w="170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78 days in raw event report</w:t>
            </w:r>
          </w:p>
        </w:tc>
        <w:tc>
          <w:tcPr>
            <w:tcW w:type="dxa" w:w="180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71 days</w:t>
            </w:r>
          </w:p>
        </w:tc>
        <w:tc>
          <w:tcPr>
            <w:tcW w:type="dxa" w:w="37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76-day raw model output is superseded by the later controlled Level 4 audit; reconciliation required</w:t>
            </w:r>
          </w:p>
        </w:tc>
      </w:tr>
      <w:tr>
        <w:tc>
          <w:tcPr>
            <w:tcW w:type="dxa" w:w="2100"/>
            <w:shd w:fill="F2F4F7"/>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7"/>
              </w:rPr>
              <w:t>EV03 — MEP embedded works / variation</w:t>
            </w:r>
          </w:p>
        </w:tc>
        <w:tc>
          <w:tcPr>
            <w:tcW w:type="dxa" w:w="170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7 days</w:t>
            </w:r>
          </w:p>
        </w:tc>
        <w:tc>
          <w:tcPr>
            <w:tcW w:type="dxa" w:w="180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0 days</w:t>
            </w:r>
          </w:p>
        </w:tc>
        <w:tc>
          <w:tcPr>
            <w:tcW w:type="dxa" w:w="37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7"/>
              </w:rPr>
              <w:t>Not a controlled same-data-date comparison</w:t>
            </w:r>
          </w:p>
        </w:tc>
      </w:tr>
    </w:tbl>
    <w:p>
      <w:pPr>
        <w:spacing w:after="20"/>
      </w:pPr>
    </w:p>
    <w:p>
      <w:pPr>
        <w:pStyle w:val="Heading2"/>
      </w:pPr>
      <w:r>
        <w:t>5.4 Current Level 4 reconciliation</w:t>
      </w:r>
    </w:p>
    <w:tbl>
      <w:tblPr>
        <w:tblStyle w:val="TableGrid"/>
        <w:tblW w:type="dxa" w:w="9360"/>
        <w:jc w:val="center"/>
        <w:tblLayout w:type="fixed"/>
        <w:tblLook w:firstColumn="1" w:firstRow="1" w:lastColumn="0" w:lastRow="0" w:noHBand="0" w:noVBand="1" w:val="04A0"/>
        <w:tblInd w:w="120" w:type="dxa"/>
      </w:tblPr>
      <w:tblGrid>
        <w:gridCol w:w="1900"/>
        <w:gridCol w:w="3200"/>
        <w:gridCol w:w="4260"/>
      </w:tblGrid>
      <w:tr>
        <w:trPr>
          <w:tblHeader w:val="true"/>
        </w:trPr>
        <w:tc>
          <w:tcPr>
            <w:tcW w:type="dxa" w:w="1900"/>
            <w:shd w:fill="17365D"/>
            <w:tcMar>
              <w:top w:w="90" w:type="dxa"/>
              <w:start w:w="120" w:type="dxa"/>
              <w:bottom w:w="90" w:type="dxa"/>
              <w:end w:w="120" w:type="dxa"/>
            </w:tcMar>
            <w:vAlign w:val="center"/>
          </w:tcPr>
          <w:p>
            <w:pPr>
              <w:keepLines w:val="0"/>
              <w:widowControl/>
              <w:spacing w:before="0" w:after="0" w:line="240" w:lineRule="auto"/>
              <w:jc w:val="center"/>
            </w:pPr>
            <w:r>
              <w:rPr>
                <w:rFonts w:ascii="Calibri" w:hAnsi="Calibri"/>
                <w:b/>
                <w:i w:val="0"/>
                <w:color w:val="FFFFFF"/>
                <w:sz w:val="18"/>
              </w:rPr>
              <w:t>Measure</w:t>
            </w:r>
          </w:p>
        </w:tc>
        <w:tc>
          <w:tcPr>
            <w:tcW w:type="dxa" w:w="3200"/>
            <w:shd w:fill="17365D"/>
            <w:tcMar>
              <w:top w:w="90" w:type="dxa"/>
              <w:start w:w="120" w:type="dxa"/>
              <w:bottom w:w="90" w:type="dxa"/>
              <w:end w:w="120" w:type="dxa"/>
            </w:tcMar>
            <w:vAlign w:val="center"/>
          </w:tcPr>
          <w:p>
            <w:pPr>
              <w:keepLines w:val="0"/>
              <w:widowControl/>
              <w:spacing w:before="0" w:after="0" w:line="240" w:lineRule="auto"/>
              <w:jc w:val="left"/>
            </w:pPr>
            <w:r>
              <w:rPr>
                <w:rFonts w:ascii="Calibri" w:hAnsi="Calibri"/>
                <w:b/>
                <w:i w:val="0"/>
                <w:color w:val="FFFFFF"/>
                <w:sz w:val="18"/>
              </w:rPr>
              <w:t>Controlled value</w:t>
            </w:r>
          </w:p>
        </w:tc>
        <w:tc>
          <w:tcPr>
            <w:tcW w:type="dxa" w:w="4260"/>
            <w:shd w:fill="17365D"/>
            <w:tcMar>
              <w:top w:w="90" w:type="dxa"/>
              <w:start w:w="120" w:type="dxa"/>
              <w:bottom w:w="90" w:type="dxa"/>
              <w:end w:w="120" w:type="dxa"/>
            </w:tcMar>
            <w:vAlign w:val="center"/>
          </w:tcPr>
          <w:p>
            <w:pPr>
              <w:keepLines w:val="0"/>
              <w:widowControl/>
              <w:spacing w:before="0" w:after="0" w:line="240" w:lineRule="auto"/>
              <w:jc w:val="left"/>
            </w:pPr>
            <w:r>
              <w:rPr>
                <w:rFonts w:ascii="Calibri" w:hAnsi="Calibri"/>
                <w:b/>
                <w:i w:val="0"/>
                <w:color w:val="FFFFFF"/>
                <w:sz w:val="18"/>
              </w:rPr>
              <w:t>Qualification</w:t>
            </w:r>
          </w:p>
        </w:tc>
      </w:tr>
      <w:tr>
        <w:tc>
          <w:tcPr>
            <w:tcW w:type="dxa" w:w="1900"/>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EV01 Batch 02</w:t>
            </w:r>
          </w:p>
        </w:tc>
        <w:tc>
          <w:tcPr>
            <w:tcW w:type="dxa" w:w="320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117 calendar days</w:t>
            </w:r>
          </w:p>
        </w:tc>
        <w:tc>
          <w:tcPr>
            <w:tcW w:type="dxa" w:w="42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Event-level project-finish movement</w:t>
            </w:r>
          </w:p>
        </w:tc>
      </w:tr>
      <w:tr>
        <w:tc>
          <w:tcPr>
            <w:tcW w:type="dxa" w:w="1900"/>
            <w:shd w:fill="F2F4F7"/>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EV02 Revised IFC</w:t>
            </w:r>
          </w:p>
        </w:tc>
        <w:tc>
          <w:tcPr>
            <w:tcW w:type="dxa" w:w="320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71 calendar days</w:t>
            </w:r>
          </w:p>
        </w:tc>
        <w:tc>
          <w:tcPr>
            <w:tcW w:type="dxa" w:w="42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Current controlled position; raw report recorded 76 days</w:t>
            </w:r>
          </w:p>
        </w:tc>
      </w:tr>
      <w:tr>
        <w:tc>
          <w:tcPr>
            <w:tcW w:type="dxa" w:w="1900"/>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Gross movement</w:t>
            </w:r>
          </w:p>
        </w:tc>
        <w:tc>
          <w:tcPr>
            <w:tcW w:type="dxa" w:w="320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188 calendar days</w:t>
            </w:r>
          </w:p>
        </w:tc>
        <w:tc>
          <w:tcPr>
            <w:tcW w:type="dxa" w:w="4260"/>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117 + 71</w:t>
            </w:r>
          </w:p>
        </w:tc>
      </w:tr>
      <w:tr>
        <w:tc>
          <w:tcPr>
            <w:tcW w:type="dxa" w:w="1900"/>
            <w:shd w:fill="F2F4F7"/>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Analytical overlap</w:t>
            </w:r>
          </w:p>
        </w:tc>
        <w:tc>
          <w:tcPr>
            <w:tcW w:type="dxa" w:w="320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62 calendar days</w:t>
            </w:r>
          </w:p>
        </w:tc>
        <w:tc>
          <w:tcPr>
            <w:tcW w:type="dxa" w:w="42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Subject to final native P6/XER audit</w:t>
            </w:r>
          </w:p>
        </w:tc>
      </w:tr>
      <w:tr>
        <w:tc>
          <w:tcPr>
            <w:tcW w:type="dxa" w:w="1900"/>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Net EOT position</w:t>
            </w:r>
          </w:p>
        </w:tc>
        <w:tc>
          <w:tcPr>
            <w:tcW w:type="dxa" w:w="320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126 calendar days</w:t>
            </w:r>
          </w:p>
        </w:tc>
        <w:tc>
          <w:tcPr>
            <w:tcW w:type="dxa" w:w="42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Subject to Contract, evidence and Engineer determination</w:t>
            </w:r>
          </w:p>
        </w:tc>
      </w:tr>
      <w:tr>
        <w:tc>
          <w:tcPr>
            <w:tcW w:type="dxa" w:w="1900"/>
            <w:shd w:fill="F2F4F7"/>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Impacted forecast finish</w:t>
            </w:r>
          </w:p>
        </w:tc>
        <w:tc>
          <w:tcPr>
            <w:tcW w:type="dxa" w:w="320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15-Sep-2027</w:t>
            </w:r>
          </w:p>
        </w:tc>
        <w:tc>
          <w:tcPr>
            <w:tcW w:type="dxa" w:w="42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Forecast only; not an awarded EOT or revised contractual completion date</w:t>
            </w:r>
          </w:p>
        </w:tc>
      </w:tr>
    </w:tbl>
    <w:p>
      <w:pPr>
        <w:spacing w:after="20"/>
      </w:pPr>
    </w:p>
    <w:p>
      <w:pPr>
        <w:pStyle w:val="Heading2"/>
      </w:pPr>
      <w:r>
        <w:t>5.5 Model-integrity warnings</w:t>
      </w:r>
    </w:p>
    <w:p>
      <w:pPr>
        <w:pStyle w:val="Heading3"/>
      </w:pPr>
      <w:r>
        <w:t>EV03</w:t>
      </w:r>
    </w:p>
    <w:p>
      <w:pPr>
        <w:pStyle w:val="ListBullet"/>
      </w:pPr>
      <w:r>
        <w:rPr>
          <w:rFonts w:ascii="Calibri" w:hAnsi="Calibri"/>
          <w:b w:val="0"/>
          <w:i w:val="0"/>
          <w:color w:val="243447"/>
          <w:sz w:val="21"/>
        </w:rPr>
        <w:t xml:space="preserve">Filename date </w:t>
      </w:r>
      <w:r>
        <w:rPr>
          <w:rFonts w:ascii="Consolas" w:hAnsi="Consolas"/>
          <w:b w:val="0"/>
          <w:i w:val="0"/>
          <w:color w:val="17365D"/>
          <w:sz w:val="20"/>
        </w:rPr>
        <w:t>DD25-13-2025</w:t>
      </w:r>
      <w:r>
        <w:rPr>
          <w:rFonts w:ascii="Calibri" w:hAnsi="Calibri"/>
          <w:b w:val="0"/>
          <w:i w:val="0"/>
          <w:color w:val="243447"/>
          <w:sz w:val="21"/>
        </w:rPr>
        <w:t xml:space="preserve"> is invalid.</w:t>
      </w:r>
    </w:p>
    <w:p>
      <w:pPr>
        <w:pStyle w:val="ListBullet"/>
      </w:pPr>
      <w:r>
        <w:rPr>
          <w:rFonts w:ascii="Calibri" w:hAnsi="Calibri"/>
          <w:b w:val="0"/>
          <w:i w:val="0"/>
          <w:color w:val="243447"/>
          <w:sz w:val="21"/>
        </w:rPr>
        <w:t>Before-model internal data date: 25-Dec-2025.</w:t>
      </w:r>
    </w:p>
    <w:p>
      <w:pPr>
        <w:pStyle w:val="ListBullet"/>
      </w:pPr>
      <w:r>
        <w:rPr>
          <w:rFonts w:ascii="Calibri" w:hAnsi="Calibri"/>
          <w:b w:val="0"/>
          <w:i w:val="0"/>
          <w:color w:val="243447"/>
          <w:sz w:val="21"/>
        </w:rPr>
        <w:t>After-model internal data date: 17-Mar-2026.</w:t>
      </w:r>
    </w:p>
    <w:p>
      <w:pPr>
        <w:pStyle w:val="ListBullet"/>
      </w:pPr>
      <w:r>
        <w:rPr>
          <w:rFonts w:ascii="Calibri" w:hAnsi="Calibri"/>
          <w:b w:val="0"/>
          <w:i w:val="0"/>
          <w:color w:val="243447"/>
          <w:sz w:val="21"/>
        </w:rPr>
        <w:t>The pair cannot be treated as a controlled same-data-date TIA until reconciled.</w:t>
      </w:r>
    </w:p>
    <w:p>
      <w:pPr>
        <w:pStyle w:val="Heading3"/>
      </w:pPr>
      <w:r>
        <w:t>EV02</w:t>
      </w:r>
    </w:p>
    <w:p>
      <w:pPr>
        <w:pStyle w:val="ListBullet"/>
      </w:pPr>
      <w:r>
        <w:rPr>
          <w:rFonts w:ascii="Calibri" w:hAnsi="Calibri"/>
          <w:b w:val="0"/>
          <w:i w:val="0"/>
          <w:color w:val="243447"/>
          <w:sz w:val="21"/>
        </w:rPr>
        <w:t>The detailed raw XER report records a 76-day project-finish movement.</w:t>
      </w:r>
    </w:p>
    <w:p>
      <w:pPr>
        <w:pStyle w:val="ListBullet"/>
      </w:pPr>
      <w:r>
        <w:rPr>
          <w:rFonts w:ascii="Calibri" w:hAnsi="Calibri"/>
          <w:b w:val="0"/>
          <w:i w:val="0"/>
          <w:color w:val="243447"/>
          <w:sz w:val="21"/>
        </w:rPr>
        <w:t>The subsequent controlled visual audit records 71 days and a 15-Sep-2027 forecast.</w:t>
      </w:r>
    </w:p>
    <w:p>
      <w:pPr>
        <w:pStyle w:val="ListBullet"/>
      </w:pPr>
      <w:r>
        <w:rPr>
          <w:rFonts w:ascii="Calibri" w:hAnsi="Calibri"/>
          <w:b w:val="0"/>
          <w:i w:val="0"/>
          <w:color w:val="243447"/>
          <w:sz w:val="21"/>
        </w:rPr>
        <w:t>The five-day variance must be reconciled to the exact schedule version, calendar basis, milestone selection and audit method before external submission.</w:t>
      </w:r>
    </w:p>
    <w:p>
      <w:pPr>
        <w:pStyle w:val="Heading3"/>
      </w:pPr>
      <w:r>
        <w:t>General</w:t>
      </w:r>
    </w:p>
    <w:p>
      <w:pPr>
        <w:pStyle w:val="ListBullet"/>
      </w:pPr>
      <w:r>
        <w:rPr>
          <w:rFonts w:ascii="Calibri" w:hAnsi="Calibri"/>
          <w:b w:val="0"/>
          <w:i w:val="0"/>
          <w:color w:val="243447"/>
          <w:sz w:val="21"/>
        </w:rPr>
        <w:t>Date and float recalculation after fragnet insertion is expected.</w:t>
      </w:r>
    </w:p>
    <w:p>
      <w:pPr>
        <w:pStyle w:val="ListBullet"/>
      </w:pPr>
      <w:r>
        <w:rPr>
          <w:rFonts w:ascii="Calibri" w:hAnsi="Calibri"/>
          <w:b w:val="0"/>
          <w:i w:val="0"/>
          <w:color w:val="243447"/>
          <w:sz w:val="21"/>
        </w:rPr>
        <w:t>A full native-file differ is still required to confirm that unrelated changes do not contaminate attribution.</w:t>
      </w:r>
    </w:p>
    <w:p>
      <w:pPr>
        <w:pStyle w:val="ListBullet"/>
      </w:pPr>
      <w:r>
        <w:rPr>
          <w:rFonts w:ascii="Calibri" w:hAnsi="Calibri"/>
          <w:b w:val="0"/>
          <w:i w:val="0"/>
          <w:color w:val="243447"/>
          <w:sz w:val="21"/>
        </w:rPr>
        <w:t>Negative float indicates variance against a constraint or required date; it is not, by itself, proof of a controlling critical path or entitlement.</w:t>
      </w:r>
    </w:p>
    <w:p>
      <w:pPr>
        <w:pStyle w:val="Heading1"/>
      </w:pPr>
      <w:r>
        <w:t>6. Level 4 — Master Engineer Assessment</w:t>
      </w:r>
    </w:p>
    <w:p>
      <w:pPr>
        <w:pStyle w:val="Heading2"/>
      </w:pPr>
      <w:r>
        <w:t>6.1 Purpose</w:t>
      </w:r>
    </w:p>
    <w:p>
      <w:pPr>
        <w:keepLines w:val="0"/>
        <w:widowControl/>
        <w:spacing w:before="0" w:after="120" w:line="264" w:lineRule="auto"/>
      </w:pPr>
      <w:r>
        <w:rPr>
          <w:rFonts w:ascii="Calibri" w:hAnsi="Calibri"/>
          <w:b w:val="0"/>
          <w:i w:val="0"/>
          <w:color w:val="243447"/>
          <w:sz w:val="21"/>
        </w:rPr>
        <w:t>Level 4 combines the outputs of Levels 1–3 and produces a reasoned Engineer-side position.</w:t>
      </w:r>
    </w:p>
    <w:p>
      <w:pPr>
        <w:pStyle w:val="Heading2"/>
      </w:pPr>
      <w:r>
        <w:t>6.2 Required outputs</w:t>
      </w:r>
    </w:p>
    <w:p>
      <w:pPr>
        <w:pStyle w:val="ListBullet"/>
      </w:pPr>
      <w:r>
        <w:rPr>
          <w:rFonts w:ascii="Calibri" w:hAnsi="Calibri"/>
          <w:b w:val="0"/>
          <w:i w:val="0"/>
          <w:color w:val="243447"/>
          <w:sz w:val="21"/>
        </w:rPr>
        <w:t>Executive issue statement</w:t>
      </w:r>
    </w:p>
    <w:p>
      <w:pPr>
        <w:pStyle w:val="ListBullet"/>
      </w:pPr>
      <w:r>
        <w:rPr>
          <w:rFonts w:ascii="Calibri" w:hAnsi="Calibri"/>
          <w:b w:val="0"/>
          <w:i w:val="0"/>
          <w:color w:val="243447"/>
          <w:sz w:val="21"/>
        </w:rPr>
        <w:t>Governing authority and clause route</w:t>
      </w:r>
    </w:p>
    <w:p>
      <w:pPr>
        <w:pStyle w:val="ListBullet"/>
      </w:pPr>
      <w:r>
        <w:rPr>
          <w:rFonts w:ascii="Calibri" w:hAnsi="Calibri"/>
          <w:b w:val="0"/>
          <w:i w:val="0"/>
          <w:color w:val="243447"/>
          <w:sz w:val="21"/>
        </w:rPr>
        <w:t>Proven and unproven facts</w:t>
      </w:r>
    </w:p>
    <w:p>
      <w:pPr>
        <w:pStyle w:val="ListBullet"/>
      </w:pPr>
      <w:r>
        <w:rPr>
          <w:rFonts w:ascii="Calibri" w:hAnsi="Calibri"/>
          <w:b w:val="0"/>
          <w:i w:val="0"/>
          <w:color w:val="243447"/>
          <w:sz w:val="21"/>
        </w:rPr>
        <w:t>Notice and procedural-compliance assessment</w:t>
      </w:r>
    </w:p>
    <w:p>
      <w:pPr>
        <w:pStyle w:val="ListBullet"/>
      </w:pPr>
      <w:r>
        <w:rPr>
          <w:rFonts w:ascii="Calibri" w:hAnsi="Calibri"/>
          <w:b w:val="0"/>
          <w:i w:val="0"/>
          <w:color w:val="243447"/>
          <w:sz w:val="21"/>
        </w:rPr>
        <w:t>Schedule reliability and critical-impact assessment</w:t>
      </w:r>
    </w:p>
    <w:p>
      <w:pPr>
        <w:pStyle w:val="ListBullet"/>
      </w:pPr>
      <w:r>
        <w:rPr>
          <w:rFonts w:ascii="Calibri" w:hAnsi="Calibri"/>
          <w:b w:val="0"/>
          <w:i w:val="0"/>
          <w:color w:val="243447"/>
          <w:sz w:val="21"/>
        </w:rPr>
        <w:t>Concurrency and double-counting assessment</w:t>
      </w:r>
    </w:p>
    <w:p>
      <w:pPr>
        <w:pStyle w:val="ListBullet"/>
      </w:pPr>
      <w:r>
        <w:rPr>
          <w:rFonts w:ascii="Calibri" w:hAnsi="Calibri"/>
          <w:b w:val="0"/>
          <w:i w:val="0"/>
          <w:color w:val="243447"/>
          <w:sz w:val="21"/>
        </w:rPr>
        <w:t>Mitigation assessment</w:t>
      </w:r>
    </w:p>
    <w:p>
      <w:pPr>
        <w:pStyle w:val="ListBullet"/>
      </w:pPr>
      <w:r>
        <w:rPr>
          <w:rFonts w:ascii="Calibri" w:hAnsi="Calibri"/>
          <w:b w:val="0"/>
          <w:i w:val="0"/>
          <w:color w:val="243447"/>
          <w:sz w:val="21"/>
        </w:rPr>
        <w:t>Time and cost separation</w:t>
      </w:r>
    </w:p>
    <w:p>
      <w:pPr>
        <w:pStyle w:val="ListBullet"/>
      </w:pPr>
      <w:r>
        <w:rPr>
          <w:rFonts w:ascii="Calibri" w:hAnsi="Calibri"/>
          <w:b w:val="0"/>
          <w:i w:val="0"/>
          <w:color w:val="243447"/>
          <w:sz w:val="21"/>
        </w:rPr>
        <w:t>Reservations and evidence directions</w:t>
      </w:r>
    </w:p>
    <w:p>
      <w:pPr>
        <w:pStyle w:val="ListBullet"/>
      </w:pPr>
      <w:r>
        <w:rPr>
          <w:rFonts w:ascii="Calibri" w:hAnsi="Calibri"/>
          <w:b w:val="0"/>
          <w:i w:val="0"/>
          <w:color w:val="243447"/>
          <w:sz w:val="21"/>
        </w:rPr>
        <w:t>Recommended interim or final determination route</w:t>
      </w:r>
    </w:p>
    <w:p>
      <w:pPr>
        <w:pStyle w:val="Heading2"/>
      </w:pPr>
      <w:r>
        <w:t>6.3 Engineer’s recommended next move</w:t>
      </w:r>
    </w:p>
    <w:p>
      <w:pPr>
        <w:spacing w:after="80" w:line="259" w:lineRule="auto"/>
        <w:numPr>
          <w:ilvl w:val="0"/>
          <w:numId w:val="12"/>
        </w:numPr>
      </w:pPr>
      <w:r>
        <w:rPr>
          <w:rFonts w:ascii="Calibri" w:hAnsi="Calibri"/>
          <w:b w:val="0"/>
          <w:i w:val="0"/>
          <w:color w:val="243447"/>
          <w:sz w:val="21"/>
        </w:rPr>
        <w:t>Issue a neutral evidence-directions letter without prejudging entitlement.</w:t>
      </w:r>
    </w:p>
    <w:p>
      <w:pPr>
        <w:spacing w:after="80" w:line="259" w:lineRule="auto"/>
        <w:numPr>
          <w:ilvl w:val="0"/>
          <w:numId w:val="12"/>
        </w:numPr>
      </w:pPr>
      <w:r>
        <w:rPr>
          <w:rFonts w:ascii="Calibri" w:hAnsi="Calibri"/>
          <w:b w:val="0"/>
          <w:i w:val="0"/>
          <w:color w:val="243447"/>
          <w:sz w:val="21"/>
        </w:rPr>
        <w:t>Require an event-specific indexed file for steel, IFC and MEP events.</w:t>
      </w:r>
    </w:p>
    <w:p>
      <w:pPr>
        <w:spacing w:after="80" w:line="259" w:lineRule="auto"/>
        <w:numPr>
          <w:ilvl w:val="0"/>
          <w:numId w:val="12"/>
        </w:numPr>
      </w:pPr>
      <w:r>
        <w:rPr>
          <w:rFonts w:ascii="Calibri" w:hAnsi="Calibri"/>
          <w:b w:val="0"/>
          <w:i w:val="0"/>
          <w:color w:val="243447"/>
          <w:sz w:val="21"/>
        </w:rPr>
        <w:t>Require native documents and proof of issue/receipt for every relied-upon notice, letter, RFI, IFC, IR, VI and VO.</w:t>
      </w:r>
    </w:p>
    <w:p>
      <w:pPr>
        <w:spacing w:after="80" w:line="259" w:lineRule="auto"/>
        <w:numPr>
          <w:ilvl w:val="0"/>
          <w:numId w:val="12"/>
        </w:numPr>
      </w:pPr>
      <w:r>
        <w:rPr>
          <w:rFonts w:ascii="Calibri" w:hAnsi="Calibri"/>
          <w:b w:val="0"/>
          <w:i w:val="0"/>
          <w:color w:val="243447"/>
          <w:sz w:val="21"/>
        </w:rPr>
        <w:t>Test the amended Sub-Clause 20.1 notice period, continuing particulars, monthly separate accounts and contemporary-record compliance.</w:t>
      </w:r>
    </w:p>
    <w:p>
      <w:pPr>
        <w:spacing w:after="80" w:line="259" w:lineRule="auto"/>
        <w:numPr>
          <w:ilvl w:val="0"/>
          <w:numId w:val="12"/>
        </w:numPr>
      </w:pPr>
      <w:r>
        <w:rPr>
          <w:rFonts w:ascii="Calibri" w:hAnsi="Calibri"/>
          <w:b w:val="0"/>
          <w:i w:val="0"/>
          <w:color w:val="243447"/>
          <w:sz w:val="21"/>
        </w:rPr>
        <w:t>Reconcile each XER pair to the same approved update, data date and schedule options.</w:t>
      </w:r>
    </w:p>
    <w:p>
      <w:pPr>
        <w:spacing w:after="80" w:line="259" w:lineRule="auto"/>
        <w:numPr>
          <w:ilvl w:val="0"/>
          <w:numId w:val="12"/>
        </w:numPr>
      </w:pPr>
      <w:r>
        <w:rPr>
          <w:rFonts w:ascii="Calibri" w:hAnsi="Calibri"/>
          <w:b w:val="0"/>
          <w:i w:val="0"/>
          <w:color w:val="243447"/>
          <w:sz w:val="21"/>
        </w:rPr>
        <w:t>Audit calendars, constraints, open ends, relationships, lags, out-of-sequence settings and non-fragnet changes.</w:t>
      </w:r>
    </w:p>
    <w:p>
      <w:pPr>
        <w:spacing w:after="80" w:line="259" w:lineRule="auto"/>
        <w:numPr>
          <w:ilvl w:val="0"/>
          <w:numId w:val="12"/>
        </w:numPr>
      </w:pPr>
      <w:r>
        <w:rPr>
          <w:rFonts w:ascii="Calibri" w:hAnsi="Calibri"/>
          <w:b w:val="0"/>
          <w:i w:val="0"/>
          <w:color w:val="243447"/>
          <w:sz w:val="21"/>
        </w:rPr>
        <w:t>Assess each event independently before concurrency is introduced.</w:t>
      </w:r>
    </w:p>
    <w:p>
      <w:pPr>
        <w:spacing w:after="80" w:line="259" w:lineRule="auto"/>
        <w:numPr>
          <w:ilvl w:val="0"/>
          <w:numId w:val="12"/>
        </w:numPr>
      </w:pPr>
      <w:r>
        <w:rPr>
          <w:rFonts w:ascii="Calibri" w:hAnsi="Calibri"/>
          <w:b w:val="0"/>
          <w:i w:val="0"/>
          <w:color w:val="243447"/>
          <w:sz w:val="21"/>
        </w:rPr>
        <w:t>Determine actual critical overlap once; prevent double counting.</w:t>
      </w:r>
    </w:p>
    <w:p>
      <w:pPr>
        <w:spacing w:after="80" w:line="259" w:lineRule="auto"/>
        <w:numPr>
          <w:ilvl w:val="0"/>
          <w:numId w:val="12"/>
        </w:numPr>
      </w:pPr>
      <w:r>
        <w:rPr>
          <w:rFonts w:ascii="Calibri" w:hAnsi="Calibri"/>
          <w:b w:val="0"/>
          <w:i w:val="0"/>
          <w:color w:val="243447"/>
          <w:sz w:val="21"/>
        </w:rPr>
        <w:t>Separate EOT assessment from prolongation cost and other monetary entitlement.</w:t>
      </w:r>
    </w:p>
    <w:p>
      <w:pPr>
        <w:spacing w:after="80" w:line="259" w:lineRule="auto"/>
        <w:numPr>
          <w:ilvl w:val="0"/>
          <w:numId w:val="12"/>
        </w:numPr>
      </w:pPr>
      <w:r>
        <w:rPr>
          <w:rFonts w:ascii="Calibri" w:hAnsi="Calibri"/>
          <w:b w:val="0"/>
          <w:i w:val="0"/>
          <w:color w:val="243447"/>
          <w:sz w:val="21"/>
        </w:rPr>
        <w:t>Issue a reasoned interim or final determination with explicit assumptions, reservations and outstanding evidence.</w:t>
      </w:r>
    </w:p>
    <w:p>
      <w:pPr>
        <w:pStyle w:val="Heading1"/>
      </w:pPr>
      <w:r>
        <w:t>7. Streamlit Operating Model</w:t>
      </w:r>
    </w:p>
    <w:p>
      <w:pPr>
        <w:pStyle w:val="Heading2"/>
      </w:pPr>
      <w:r>
        <w:t>7.1 Recommended interface</w:t>
      </w:r>
    </w:p>
    <w:p>
      <w:pPr>
        <w:keepLines w:val="0"/>
        <w:widowControl/>
        <w:spacing w:before="0" w:after="120" w:line="264" w:lineRule="auto"/>
      </w:pPr>
      <w:r>
        <w:rPr>
          <w:rFonts w:ascii="Calibri" w:hAnsi="Calibri"/>
          <w:b w:val="0"/>
          <w:i w:val="0"/>
          <w:color w:val="243447"/>
          <w:sz w:val="21"/>
        </w:rPr>
        <w:t>Use one Streamlit application with four pages and isolated engine modules:</w:t>
      </w:r>
    </w:p>
    <w:tbl>
      <w:tblPr>
        <w:tblStyle w:val="TableGrid"/>
        <w:tblW w:type="dxa" w:w="9360"/>
        <w:jc w:val="center"/>
        <w:tblLayout w:type="fixed"/>
        <w:tblLook w:firstColumn="1" w:firstRow="1" w:lastColumn="0" w:lastRow="0" w:noHBand="0" w:noVBand="1" w:val="04A0"/>
        <w:tblInd w:w="120" w:type="dxa"/>
      </w:tblPr>
      <w:tblGrid>
        <w:gridCol w:w="1900"/>
        <w:gridCol w:w="3200"/>
        <w:gridCol w:w="4260"/>
      </w:tblGrid>
      <w:tr>
        <w:trPr>
          <w:tblHeader w:val="true"/>
        </w:trPr>
        <w:tc>
          <w:tcPr>
            <w:tcW w:type="dxa" w:w="1900"/>
            <w:shd w:fill="17365D"/>
            <w:tcMar>
              <w:top w:w="90" w:type="dxa"/>
              <w:start w:w="120" w:type="dxa"/>
              <w:bottom w:w="90" w:type="dxa"/>
              <w:end w:w="120" w:type="dxa"/>
            </w:tcMar>
            <w:vAlign w:val="center"/>
          </w:tcPr>
          <w:p>
            <w:pPr>
              <w:keepLines w:val="0"/>
              <w:widowControl/>
              <w:spacing w:before="0" w:after="0" w:line="240" w:lineRule="auto"/>
              <w:jc w:val="center"/>
            </w:pPr>
            <w:r>
              <w:rPr>
                <w:rFonts w:ascii="Calibri" w:hAnsi="Calibri"/>
                <w:b/>
                <w:i w:val="0"/>
                <w:color w:val="FFFFFF"/>
                <w:sz w:val="18"/>
              </w:rPr>
              <w:t>Page</w:t>
            </w:r>
          </w:p>
        </w:tc>
        <w:tc>
          <w:tcPr>
            <w:tcW w:type="dxa" w:w="3200"/>
            <w:shd w:fill="17365D"/>
            <w:tcMar>
              <w:top w:w="90" w:type="dxa"/>
              <w:start w:w="120" w:type="dxa"/>
              <w:bottom w:w="90" w:type="dxa"/>
              <w:end w:w="120" w:type="dxa"/>
            </w:tcMar>
            <w:vAlign w:val="center"/>
          </w:tcPr>
          <w:p>
            <w:pPr>
              <w:keepLines w:val="0"/>
              <w:widowControl/>
              <w:spacing w:before="0" w:after="0" w:line="240" w:lineRule="auto"/>
              <w:jc w:val="left"/>
            </w:pPr>
            <w:r>
              <w:rPr>
                <w:rFonts w:ascii="Calibri" w:hAnsi="Calibri"/>
                <w:b/>
                <w:i w:val="0"/>
                <w:color w:val="FFFFFF"/>
                <w:sz w:val="18"/>
              </w:rPr>
              <w:t>User task</w:t>
            </w:r>
          </w:p>
        </w:tc>
        <w:tc>
          <w:tcPr>
            <w:tcW w:type="dxa" w:w="4260"/>
            <w:shd w:fill="17365D"/>
            <w:tcMar>
              <w:top w:w="90" w:type="dxa"/>
              <w:start w:w="120" w:type="dxa"/>
              <w:bottom w:w="90" w:type="dxa"/>
              <w:end w:w="120" w:type="dxa"/>
            </w:tcMar>
            <w:vAlign w:val="center"/>
          </w:tcPr>
          <w:p>
            <w:pPr>
              <w:keepLines w:val="0"/>
              <w:widowControl/>
              <w:spacing w:before="0" w:after="0" w:line="240" w:lineRule="auto"/>
              <w:jc w:val="left"/>
            </w:pPr>
            <w:r>
              <w:rPr>
                <w:rFonts w:ascii="Calibri" w:hAnsi="Calibri"/>
                <w:b/>
                <w:i w:val="0"/>
                <w:color w:val="FFFFFF"/>
                <w:sz w:val="18"/>
              </w:rPr>
              <w:t>Main output</w:t>
            </w:r>
          </w:p>
        </w:tc>
      </w:tr>
      <w:tr>
        <w:tc>
          <w:tcPr>
            <w:tcW w:type="dxa" w:w="1900"/>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Contract &amp; FIDIC</w:t>
            </w:r>
          </w:p>
        </w:tc>
        <w:tc>
          <w:tcPr>
            <w:tcW w:type="dxa" w:w="320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Ask contractual questions, find clauses and draft controlled letters</w:t>
            </w:r>
          </w:p>
        </w:tc>
        <w:tc>
          <w:tcPr>
            <w:tcW w:type="dxa" w:w="42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Contractual position</w:t>
            </w:r>
          </w:p>
        </w:tc>
      </w:tr>
      <w:tr>
        <w:tc>
          <w:tcPr>
            <w:tcW w:type="dxa" w:w="1900"/>
            <w:shd w:fill="F2F4F7"/>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Evidence Reader</w:t>
            </w:r>
          </w:p>
        </w:tc>
        <w:tc>
          <w:tcPr>
            <w:tcW w:type="dxa" w:w="320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Upload, classify, search and gap-test project records</w:t>
            </w:r>
          </w:p>
        </w:tc>
        <w:tc>
          <w:tcPr>
            <w:tcW w:type="dxa" w:w="42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Evidence matrix and chronology</w:t>
            </w:r>
          </w:p>
        </w:tc>
      </w:tr>
      <w:tr>
        <w:tc>
          <w:tcPr>
            <w:tcW w:type="dxa" w:w="1900"/>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Delay Analysis</w:t>
            </w:r>
          </w:p>
        </w:tc>
        <w:tc>
          <w:tcPr>
            <w:tcW w:type="dxa" w:w="320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Load XER pairs and assess event movement and integrity</w:t>
            </w:r>
          </w:p>
        </w:tc>
        <w:tc>
          <w:tcPr>
            <w:tcW w:type="dxa" w:w="42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Technical delay assessment</w:t>
            </w:r>
          </w:p>
        </w:tc>
      </w:tr>
      <w:tr>
        <w:tc>
          <w:tcPr>
            <w:tcW w:type="dxa" w:w="1900"/>
            <w:shd w:fill="F2F4F7"/>
            <w:tcMar>
              <w:top w:w="90" w:type="dxa"/>
              <w:start w:w="120" w:type="dxa"/>
              <w:bottom w:w="90" w:type="dxa"/>
              <w:end w:w="120" w:type="dxa"/>
            </w:tcMar>
            <w:vAlign w:val="center"/>
          </w:tcPr>
          <w:p>
            <w:pPr>
              <w:keepLines w:val="0"/>
              <w:widowControl/>
              <w:spacing w:before="0" w:after="0" w:line="240" w:lineRule="auto"/>
              <w:jc w:val="center"/>
            </w:pPr>
            <w:r>
              <w:rPr>
                <w:rFonts w:ascii="Calibri" w:hAnsi="Calibri"/>
                <w:b w:val="0"/>
                <w:i w:val="0"/>
                <w:color w:val="243447"/>
                <w:sz w:val="18"/>
              </w:rPr>
              <w:t>Master Assessment</w:t>
            </w:r>
          </w:p>
        </w:tc>
        <w:tc>
          <w:tcPr>
            <w:tcW w:type="dxa" w:w="320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Combine the three specialist outputs</w:t>
            </w:r>
          </w:p>
        </w:tc>
        <w:tc>
          <w:tcPr>
            <w:tcW w:type="dxa" w:w="42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Engineer view and next action</w:t>
            </w:r>
          </w:p>
        </w:tc>
      </w:tr>
    </w:tbl>
    <w:p>
      <w:pPr>
        <w:spacing w:after="20"/>
      </w:pPr>
    </w:p>
    <w:p>
      <w:pPr>
        <w:pStyle w:val="Heading2"/>
      </w:pPr>
      <w:r>
        <w:t>7.2 Windows start-up</w:t>
      </w:r>
    </w:p>
    <w:p>
      <w:pPr>
        <w:spacing w:after="20" w:line="240" w:lineRule="auto"/>
        <w:ind w:left="360" w:right="216"/>
        <w:shd w:fill="EEF3F8"/>
      </w:pPr>
      <w:r>
        <w:rPr>
          <w:rFonts w:ascii="Consolas" w:hAnsi="Consolas"/>
          <w:b w:val="0"/>
          <w:i w:val="0"/>
          <w:color w:val="17365D"/>
          <w:sz w:val="16"/>
        </w:rPr>
        <w:t>cd "THE_BIG_COMPLETE_PACKAGE_v1.6.0"</w:t>
      </w:r>
    </w:p>
    <w:p>
      <w:pPr>
        <w:spacing w:after="20" w:line="240" w:lineRule="auto"/>
        <w:ind w:left="360" w:right="216"/>
        <w:shd w:fill="EEF3F8"/>
      </w:pPr>
      <w:r>
        <w:rPr>
          <w:rFonts w:ascii="Consolas" w:hAnsi="Consolas"/>
          <w:b w:val="0"/>
          <w:i w:val="0"/>
          <w:color w:val="17365D"/>
          <w:sz w:val="16"/>
        </w:rPr>
        <w:t>py -m venv .venv</w:t>
      </w:r>
    </w:p>
    <w:p>
      <w:pPr>
        <w:spacing w:after="20" w:line="240" w:lineRule="auto"/>
        <w:ind w:left="360" w:right="216"/>
        <w:shd w:fill="EEF3F8"/>
      </w:pPr>
      <w:r>
        <w:rPr>
          <w:rFonts w:ascii="Consolas" w:hAnsi="Consolas"/>
          <w:b w:val="0"/>
          <w:i w:val="0"/>
          <w:color w:val="17365D"/>
          <w:sz w:val="16"/>
        </w:rPr>
        <w:t>.\.venv\Scripts\Activate.ps1</w:t>
      </w:r>
    </w:p>
    <w:p>
      <w:pPr>
        <w:spacing w:after="20" w:line="240" w:lineRule="auto"/>
        <w:ind w:left="360" w:right="216"/>
        <w:shd w:fill="EEF3F8"/>
      </w:pPr>
      <w:r>
        <w:rPr>
          <w:rFonts w:ascii="Consolas" w:hAnsi="Consolas"/>
          <w:b w:val="0"/>
          <w:i w:val="0"/>
          <w:color w:val="17365D"/>
          <w:sz w:val="16"/>
        </w:rPr>
        <w:t>python -m pip install -r requirements.txt</w:t>
      </w:r>
    </w:p>
    <w:p>
      <w:pPr>
        <w:spacing w:after="20" w:line="240" w:lineRule="auto"/>
        <w:ind w:left="360" w:right="216"/>
        <w:shd w:fill="EEF3F8"/>
      </w:pPr>
      <w:r>
        <w:rPr>
          <w:rFonts w:ascii="Consolas" w:hAnsi="Consolas"/>
          <w:b w:val="0"/>
          <w:i w:val="0"/>
          <w:color w:val="17365D"/>
          <w:sz w:val="16"/>
        </w:rPr>
        <w:t>python the_big_contract_engine.py self-test</w:t>
      </w:r>
    </w:p>
    <w:p>
      <w:pPr>
        <w:spacing w:after="20" w:line="240" w:lineRule="auto"/>
        <w:ind w:left="360" w:right="216"/>
        <w:shd w:fill="EEF3F8"/>
      </w:pPr>
      <w:r>
        <w:rPr>
          <w:rFonts w:ascii="Consolas" w:hAnsi="Consolas"/>
          <w:b w:val="0"/>
          <w:i w:val="0"/>
          <w:color w:val="17365D"/>
          <w:sz w:val="16"/>
        </w:rPr>
        <w:t>streamlit run the_big_contract_engine.py</w:t>
      </w:r>
    </w:p>
    <w:p>
      <w:pPr>
        <w:keepLines w:val="0"/>
        <w:widowControl/>
        <w:spacing w:before="0" w:after="120" w:line="264" w:lineRule="auto"/>
      </w:pPr>
      <w:r>
        <w:rPr>
          <w:rFonts w:ascii="Calibri" w:hAnsi="Calibri"/>
          <w:b w:val="0"/>
          <w:i w:val="0"/>
          <w:color w:val="243447"/>
          <w:sz w:val="21"/>
        </w:rPr>
        <w:t xml:space="preserve">The included </w:t>
      </w:r>
      <w:r>
        <w:rPr>
          <w:rFonts w:ascii="Consolas" w:hAnsi="Consolas"/>
          <w:b w:val="0"/>
          <w:i w:val="0"/>
          <w:color w:val="17365D"/>
          <w:sz w:val="20"/>
        </w:rPr>
        <w:t>RUN_ENGINE.bat</w:t>
      </w:r>
      <w:r>
        <w:rPr>
          <w:rFonts w:ascii="Calibri" w:hAnsi="Calibri"/>
          <w:b w:val="0"/>
          <w:i w:val="0"/>
          <w:color w:val="243447"/>
          <w:sz w:val="21"/>
        </w:rPr>
        <w:t xml:space="preserve"> provides the Windows launcher.</w:t>
      </w:r>
    </w:p>
    <w:p>
      <w:pPr>
        <w:pStyle w:val="Heading2"/>
      </w:pPr>
      <w:r>
        <w:t>7.3 Key commands</w:t>
      </w:r>
    </w:p>
    <w:p>
      <w:pPr>
        <w:spacing w:after="20" w:line="240" w:lineRule="auto"/>
        <w:ind w:left="360" w:right="216"/>
        <w:shd w:fill="EEF3F8"/>
      </w:pPr>
      <w:r>
        <w:rPr>
          <w:rFonts w:ascii="Consolas" w:hAnsi="Consolas"/>
          <w:b w:val="0"/>
          <w:i w:val="0"/>
          <w:color w:val="17365D"/>
          <w:sz w:val="16"/>
        </w:rPr>
        <w:t>python the_big_contract_engine.py self-test</w:t>
      </w:r>
    </w:p>
    <w:p>
      <w:pPr>
        <w:spacing w:after="20" w:line="240" w:lineRule="auto"/>
        <w:ind w:left="360" w:right="216"/>
        <w:shd w:fill="EEF3F8"/>
      </w:pPr>
      <w:r>
        <w:rPr>
          <w:rFonts w:ascii="Consolas" w:hAnsi="Consolas"/>
          <w:b w:val="0"/>
          <w:i w:val="0"/>
          <w:color w:val="17365D"/>
          <w:sz w:val="16"/>
        </w:rPr>
        <w:t>python the_big_contract_engine.py ask "Must SAMCO mitigate Employer-caused steel delay?"</w:t>
      </w:r>
    </w:p>
    <w:p>
      <w:pPr>
        <w:spacing w:after="20" w:line="240" w:lineRule="auto"/>
        <w:ind w:left="360" w:right="216"/>
        <w:shd w:fill="EEF3F8"/>
      </w:pPr>
      <w:r>
        <w:rPr>
          <w:rFonts w:ascii="Consolas" w:hAnsi="Consolas"/>
          <w:b w:val="0"/>
          <w:i w:val="0"/>
          <w:color w:val="17365D"/>
          <w:sz w:val="16"/>
        </w:rPr>
        <w:t>python the_big_contract_engine.py evidence-search "STR-083"</w:t>
      </w:r>
    </w:p>
    <w:p>
      <w:pPr>
        <w:spacing w:after="20" w:line="240" w:lineRule="auto"/>
        <w:ind w:left="360" w:right="216"/>
        <w:shd w:fill="EEF3F8"/>
      </w:pPr>
      <w:r>
        <w:rPr>
          <w:rFonts w:ascii="Consolas" w:hAnsi="Consolas"/>
          <w:b w:val="0"/>
          <w:i w:val="0"/>
          <w:color w:val="17365D"/>
          <w:sz w:val="16"/>
        </w:rPr>
        <w:t>python the_big_contract_engine.py engineer-next</w:t>
      </w:r>
    </w:p>
    <w:p>
      <w:pPr>
        <w:spacing w:after="20" w:line="240" w:lineRule="auto"/>
        <w:ind w:left="360" w:right="216"/>
        <w:shd w:fill="EEF3F8"/>
      </w:pPr>
      <w:r>
        <w:rPr>
          <w:rFonts w:ascii="Consolas" w:hAnsi="Consolas"/>
          <w:b w:val="0"/>
          <w:i w:val="0"/>
          <w:color w:val="17365D"/>
          <w:sz w:val="16"/>
        </w:rPr>
        <w:t>python the_big_contract_engine.py delay-events</w:t>
      </w:r>
    </w:p>
    <w:p>
      <w:pPr>
        <w:spacing w:after="20" w:line="240" w:lineRule="auto"/>
        <w:ind w:left="360" w:right="216"/>
        <w:shd w:fill="EEF3F8"/>
      </w:pPr>
      <w:r>
        <w:rPr>
          <w:rFonts w:ascii="Consolas" w:hAnsi="Consolas"/>
          <w:b w:val="0"/>
          <w:i w:val="0"/>
          <w:color w:val="17365D"/>
          <w:sz w:val="16"/>
        </w:rPr>
        <w:t>python the_big_contract_engine.py rebuild-delay-events</w:t>
      </w:r>
    </w:p>
    <w:p>
      <w:pPr>
        <w:spacing w:after="20" w:line="240" w:lineRule="auto"/>
        <w:ind w:left="360" w:right="216"/>
        <w:shd w:fill="EEF3F8"/>
      </w:pPr>
      <w:r>
        <w:rPr>
          <w:rFonts w:ascii="Consolas" w:hAnsi="Consolas"/>
          <w:b w:val="0"/>
          <w:i w:val="0"/>
          <w:color w:val="17365D"/>
          <w:sz w:val="16"/>
        </w:rPr>
        <w:t>python build_fidic_corpus.py ".\FIDIC 1999 Red Book.pdf"</w:t>
      </w:r>
    </w:p>
    <w:p>
      <w:pPr>
        <w:pStyle w:val="Heading1"/>
      </w:pPr>
      <w:r>
        <w:t>8. Package Contents</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trPr>
        <w:tc>
          <w:tcPr>
            <w:tcW w:type="dxa" w:w="2600"/>
            <w:shd w:fill="17365D"/>
            <w:tcMar>
              <w:top w:w="90" w:type="dxa"/>
              <w:start w:w="120" w:type="dxa"/>
              <w:bottom w:w="90" w:type="dxa"/>
              <w:end w:w="120" w:type="dxa"/>
            </w:tcMar>
            <w:vAlign w:val="center"/>
          </w:tcPr>
          <w:p>
            <w:pPr>
              <w:keepLines w:val="0"/>
              <w:widowControl/>
              <w:spacing w:before="0" w:after="0" w:line="240" w:lineRule="auto"/>
              <w:jc w:val="center"/>
            </w:pPr>
            <w:r>
              <w:rPr>
                <w:rFonts w:ascii="Calibri" w:hAnsi="Calibri"/>
                <w:b/>
                <w:i w:val="0"/>
                <w:color w:val="FFFFFF"/>
                <w:sz w:val="18"/>
              </w:rPr>
              <w:t>Component</w:t>
            </w:r>
          </w:p>
        </w:tc>
        <w:tc>
          <w:tcPr>
            <w:tcW w:type="dxa" w:w="6760"/>
            <w:shd w:fill="17365D"/>
            <w:tcMar>
              <w:top w:w="90" w:type="dxa"/>
              <w:start w:w="120" w:type="dxa"/>
              <w:bottom w:w="90" w:type="dxa"/>
              <w:end w:w="120" w:type="dxa"/>
            </w:tcMar>
            <w:vAlign w:val="center"/>
          </w:tcPr>
          <w:p>
            <w:pPr>
              <w:keepLines w:val="0"/>
              <w:widowControl/>
              <w:spacing w:before="0" w:after="0" w:line="240" w:lineRule="auto"/>
              <w:jc w:val="left"/>
            </w:pPr>
            <w:r>
              <w:rPr>
                <w:rFonts w:ascii="Calibri" w:hAnsi="Calibri"/>
                <w:b/>
                <w:i w:val="0"/>
                <w:color w:val="FFFFFF"/>
                <w:sz w:val="18"/>
              </w:rPr>
              <w:t>Purpose</w:t>
            </w:r>
          </w:p>
        </w:tc>
      </w:tr>
      <w:tr>
        <w:tc>
          <w:tcPr>
            <w:tcW w:type="dxa" w:w="2600"/>
            <w:tcMar>
              <w:top w:w="90" w:type="dxa"/>
              <w:start w:w="120" w:type="dxa"/>
              <w:bottom w:w="90" w:type="dxa"/>
              <w:end w:w="120" w:type="dxa"/>
            </w:tcMar>
            <w:vAlign w:val="center"/>
          </w:tcPr>
          <w:p>
            <w:pPr>
              <w:keepLines w:val="0"/>
              <w:widowControl/>
              <w:spacing w:before="0" w:after="0" w:line="240" w:lineRule="auto"/>
              <w:jc w:val="center"/>
            </w:pPr>
            <w:r>
              <w:rPr>
                <w:rFonts w:ascii="Consolas" w:hAnsi="Consolas"/>
                <w:b w:val="0"/>
                <w:i w:val="0"/>
                <w:color w:val="17365D"/>
                <w:sz w:val="17"/>
              </w:rPr>
              <w:t>the_big_contract_engine.py</w:t>
            </w:r>
          </w:p>
        </w:tc>
        <w:tc>
          <w:tcPr>
            <w:tcW w:type="dxa" w:w="67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Main Streamlit and CLI application</w:t>
            </w:r>
          </w:p>
        </w:tc>
      </w:tr>
      <w:tr>
        <w:tc>
          <w:tcPr>
            <w:tcW w:type="dxa" w:w="2600"/>
            <w:shd w:fill="F2F4F7"/>
            <w:tcMar>
              <w:top w:w="90" w:type="dxa"/>
              <w:start w:w="120" w:type="dxa"/>
              <w:bottom w:w="90" w:type="dxa"/>
              <w:end w:w="120" w:type="dxa"/>
            </w:tcMar>
            <w:vAlign w:val="center"/>
          </w:tcPr>
          <w:p>
            <w:pPr>
              <w:keepLines w:val="0"/>
              <w:widowControl/>
              <w:spacing w:before="0" w:after="0" w:line="240" w:lineRule="auto"/>
              <w:jc w:val="center"/>
            </w:pPr>
            <w:r>
              <w:rPr>
                <w:rFonts w:ascii="Consolas" w:hAnsi="Consolas"/>
                <w:b w:val="0"/>
                <w:i w:val="0"/>
                <w:color w:val="17365D"/>
                <w:sz w:val="17"/>
              </w:rPr>
              <w:t>the_big_contract_brain.json</w:t>
            </w:r>
          </w:p>
        </w:tc>
        <w:tc>
          <w:tcPr>
            <w:tcW w:type="dxa" w:w="67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Controlled project contractual knowledge</w:t>
            </w:r>
          </w:p>
        </w:tc>
      </w:tr>
      <w:tr>
        <w:tc>
          <w:tcPr>
            <w:tcW w:type="dxa" w:w="2600"/>
            <w:tcMar>
              <w:top w:w="90" w:type="dxa"/>
              <w:start w:w="120" w:type="dxa"/>
              <w:bottom w:w="90" w:type="dxa"/>
              <w:end w:w="120" w:type="dxa"/>
            </w:tcMar>
            <w:vAlign w:val="center"/>
          </w:tcPr>
          <w:p>
            <w:pPr>
              <w:keepLines w:val="0"/>
              <w:widowControl/>
              <w:spacing w:before="0" w:after="0" w:line="240" w:lineRule="auto"/>
              <w:jc w:val="center"/>
            </w:pPr>
            <w:r>
              <w:rPr>
                <w:rFonts w:ascii="Consolas" w:hAnsi="Consolas"/>
                <w:b w:val="0"/>
                <w:i w:val="0"/>
                <w:color w:val="17365D"/>
                <w:sz w:val="17"/>
              </w:rPr>
              <w:t>Overall Contract.pdf</w:t>
            </w:r>
          </w:p>
        </w:tc>
        <w:tc>
          <w:tcPr>
            <w:tcW w:type="dxa" w:w="67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Signed source Contract</w:t>
            </w:r>
          </w:p>
        </w:tc>
      </w:tr>
      <w:tr>
        <w:tc>
          <w:tcPr>
            <w:tcW w:type="dxa" w:w="2600"/>
            <w:shd w:fill="F2F4F7"/>
            <w:tcMar>
              <w:top w:w="90" w:type="dxa"/>
              <w:start w:w="120" w:type="dxa"/>
              <w:bottom w:w="90" w:type="dxa"/>
              <w:end w:w="120" w:type="dxa"/>
            </w:tcMar>
            <w:vAlign w:val="center"/>
          </w:tcPr>
          <w:p>
            <w:pPr>
              <w:keepLines w:val="0"/>
              <w:widowControl/>
              <w:spacing w:before="0" w:after="0" w:line="240" w:lineRule="auto"/>
              <w:jc w:val="center"/>
            </w:pPr>
            <w:r>
              <w:rPr>
                <w:rFonts w:ascii="Consolas" w:hAnsi="Consolas"/>
                <w:b w:val="0"/>
                <w:i w:val="0"/>
                <w:color w:val="17365D"/>
                <w:sz w:val="17"/>
              </w:rPr>
              <w:t>contract_evidence_corpus.json</w:t>
            </w:r>
          </w:p>
        </w:tc>
        <w:tc>
          <w:tcPr>
            <w:tcW w:type="dxa" w:w="67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34-page Contract OCR retrieval corpus</w:t>
            </w:r>
          </w:p>
        </w:tc>
      </w:tr>
      <w:tr>
        <w:tc>
          <w:tcPr>
            <w:tcW w:type="dxa" w:w="2600"/>
            <w:tcMar>
              <w:top w:w="90" w:type="dxa"/>
              <w:start w:w="120" w:type="dxa"/>
              <w:bottom w:w="90" w:type="dxa"/>
              <w:end w:w="120" w:type="dxa"/>
            </w:tcMar>
            <w:vAlign w:val="center"/>
          </w:tcPr>
          <w:p>
            <w:pPr>
              <w:keepLines w:val="0"/>
              <w:widowControl/>
              <w:spacing w:before="0" w:after="0" w:line="240" w:lineRule="auto"/>
              <w:jc w:val="center"/>
            </w:pPr>
            <w:r>
              <w:rPr>
                <w:rFonts w:ascii="Consolas" w:hAnsi="Consolas"/>
                <w:b w:val="0"/>
                <w:i w:val="0"/>
                <w:color w:val="17365D"/>
                <w:sz w:val="17"/>
              </w:rPr>
              <w:t>fidic_1999_clause_routes.json</w:t>
            </w:r>
          </w:p>
        </w:tc>
        <w:tc>
          <w:tcPr>
            <w:tcW w:type="dxa" w:w="67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Non-verbatim FIDIC 1999 routing map</w:t>
            </w:r>
          </w:p>
        </w:tc>
      </w:tr>
      <w:tr>
        <w:tc>
          <w:tcPr>
            <w:tcW w:type="dxa" w:w="2600"/>
            <w:shd w:fill="F2F4F7"/>
            <w:tcMar>
              <w:top w:w="90" w:type="dxa"/>
              <w:start w:w="120" w:type="dxa"/>
              <w:bottom w:w="90" w:type="dxa"/>
              <w:end w:w="120" w:type="dxa"/>
            </w:tcMar>
            <w:vAlign w:val="center"/>
          </w:tcPr>
          <w:p>
            <w:pPr>
              <w:keepLines w:val="0"/>
              <w:widowControl/>
              <w:spacing w:before="0" w:after="0" w:line="240" w:lineRule="auto"/>
              <w:jc w:val="center"/>
            </w:pPr>
            <w:r>
              <w:rPr>
                <w:rFonts w:ascii="Consolas" w:hAnsi="Consolas"/>
                <w:b w:val="0"/>
                <w:i w:val="0"/>
                <w:color w:val="17365D"/>
                <w:sz w:val="17"/>
              </w:rPr>
              <w:t>build_contract_corpus.py</w:t>
            </w:r>
          </w:p>
        </w:tc>
        <w:tc>
          <w:tcPr>
            <w:tcW w:type="dxa" w:w="67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Contract corpus builder</w:t>
            </w:r>
          </w:p>
        </w:tc>
      </w:tr>
      <w:tr>
        <w:tc>
          <w:tcPr>
            <w:tcW w:type="dxa" w:w="2600"/>
            <w:tcMar>
              <w:top w:w="90" w:type="dxa"/>
              <w:start w:w="120" w:type="dxa"/>
              <w:bottom w:w="90" w:type="dxa"/>
              <w:end w:w="120" w:type="dxa"/>
            </w:tcMar>
            <w:vAlign w:val="center"/>
          </w:tcPr>
          <w:p>
            <w:pPr>
              <w:keepLines w:val="0"/>
              <w:widowControl/>
              <w:spacing w:before="0" w:after="0" w:line="240" w:lineRule="auto"/>
              <w:jc w:val="center"/>
            </w:pPr>
            <w:r>
              <w:rPr>
                <w:rFonts w:ascii="Consolas" w:hAnsi="Consolas"/>
                <w:b w:val="0"/>
                <w:i w:val="0"/>
                <w:color w:val="17365D"/>
                <w:sz w:val="17"/>
              </w:rPr>
              <w:t>build_fidic_corpus.py</w:t>
            </w:r>
          </w:p>
        </w:tc>
        <w:tc>
          <w:tcPr>
            <w:tcW w:type="dxa" w:w="67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Authorized FIDIC corpus builder</w:t>
            </w:r>
          </w:p>
        </w:tc>
      </w:tr>
      <w:tr>
        <w:tc>
          <w:tcPr>
            <w:tcW w:type="dxa" w:w="2600"/>
            <w:shd w:fill="F2F4F7"/>
            <w:tcMar>
              <w:top w:w="90" w:type="dxa"/>
              <w:start w:w="120" w:type="dxa"/>
              <w:bottom w:w="90" w:type="dxa"/>
              <w:end w:w="120" w:type="dxa"/>
            </w:tcMar>
            <w:vAlign w:val="center"/>
          </w:tcPr>
          <w:p>
            <w:pPr>
              <w:keepLines w:val="0"/>
              <w:widowControl/>
              <w:spacing w:before="0" w:after="0" w:line="240" w:lineRule="auto"/>
              <w:jc w:val="center"/>
            </w:pPr>
            <w:r>
              <w:rPr>
                <w:rFonts w:ascii="Consolas" w:hAnsi="Consolas"/>
                <w:b w:val="0"/>
                <w:i w:val="0"/>
                <w:color w:val="17365D"/>
                <w:sz w:val="17"/>
              </w:rPr>
              <w:t>evidence_intelligence.py</w:t>
            </w:r>
          </w:p>
        </w:tc>
        <w:tc>
          <w:tcPr>
            <w:tcW w:type="dxa" w:w="67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Evidence classification and Engineer-action logic</w:t>
            </w:r>
          </w:p>
        </w:tc>
      </w:tr>
      <w:tr>
        <w:tc>
          <w:tcPr>
            <w:tcW w:type="dxa" w:w="2600"/>
            <w:tcMar>
              <w:top w:w="90" w:type="dxa"/>
              <w:start w:w="120" w:type="dxa"/>
              <w:bottom w:w="90" w:type="dxa"/>
              <w:end w:w="120" w:type="dxa"/>
            </w:tcMar>
            <w:vAlign w:val="center"/>
          </w:tcPr>
          <w:p>
            <w:pPr>
              <w:keepLines w:val="0"/>
              <w:widowControl/>
              <w:spacing w:before="0" w:after="0" w:line="240" w:lineRule="auto"/>
              <w:jc w:val="center"/>
            </w:pPr>
            <w:r>
              <w:rPr>
                <w:rFonts w:ascii="Consolas" w:hAnsi="Consolas"/>
                <w:b w:val="0"/>
                <w:i w:val="0"/>
                <w:color w:val="17365D"/>
                <w:sz w:val="17"/>
              </w:rPr>
              <w:t>evidence_register.json</w:t>
            </w:r>
          </w:p>
        </w:tc>
        <w:tc>
          <w:tcPr>
            <w:tcW w:type="dxa" w:w="67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Controlled evidence register</w:t>
            </w:r>
          </w:p>
        </w:tc>
      </w:tr>
      <w:tr>
        <w:tc>
          <w:tcPr>
            <w:tcW w:type="dxa" w:w="2600"/>
            <w:shd w:fill="F2F4F7"/>
            <w:tcMar>
              <w:top w:w="90" w:type="dxa"/>
              <w:start w:w="120" w:type="dxa"/>
              <w:bottom w:w="90" w:type="dxa"/>
              <w:end w:w="120" w:type="dxa"/>
            </w:tcMar>
            <w:vAlign w:val="center"/>
          </w:tcPr>
          <w:p>
            <w:pPr>
              <w:keepLines w:val="0"/>
              <w:widowControl/>
              <w:spacing w:before="0" w:after="0" w:line="240" w:lineRule="auto"/>
              <w:jc w:val="center"/>
            </w:pPr>
            <w:r>
              <w:rPr>
                <w:rFonts w:ascii="Consolas" w:hAnsi="Consolas"/>
                <w:b w:val="0"/>
                <w:i w:val="0"/>
                <w:color w:val="17365D"/>
                <w:sz w:val="17"/>
              </w:rPr>
              <w:t>approved_baseline_intelligence.py</w:t>
            </w:r>
          </w:p>
        </w:tc>
        <w:tc>
          <w:tcPr>
            <w:tcW w:type="dxa" w:w="67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Baseline evidence adapter</w:t>
            </w:r>
          </w:p>
        </w:tc>
      </w:tr>
      <w:tr>
        <w:tc>
          <w:tcPr>
            <w:tcW w:type="dxa" w:w="2600"/>
            <w:tcMar>
              <w:top w:w="90" w:type="dxa"/>
              <w:start w:w="120" w:type="dxa"/>
              <w:bottom w:w="90" w:type="dxa"/>
              <w:end w:w="120" w:type="dxa"/>
            </w:tcMar>
            <w:vAlign w:val="center"/>
          </w:tcPr>
          <w:p>
            <w:pPr>
              <w:keepLines w:val="0"/>
              <w:widowControl/>
              <w:spacing w:before="0" w:after="0" w:line="240" w:lineRule="auto"/>
              <w:jc w:val="center"/>
            </w:pPr>
            <w:r>
              <w:rPr>
                <w:rFonts w:ascii="Consolas" w:hAnsi="Consolas"/>
                <w:b w:val="0"/>
                <w:i w:val="0"/>
                <w:color w:val="17365D"/>
                <w:sz w:val="17"/>
              </w:rPr>
              <w:t>xer_delay_analysis.py</w:t>
            </w:r>
          </w:p>
        </w:tc>
        <w:tc>
          <w:tcPr>
            <w:tcW w:type="dxa" w:w="67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Native XER event analysis</w:t>
            </w:r>
          </w:p>
        </w:tc>
      </w:tr>
      <w:tr>
        <w:tc>
          <w:tcPr>
            <w:tcW w:type="dxa" w:w="2600"/>
            <w:shd w:fill="F2F4F7"/>
            <w:tcMar>
              <w:top w:w="90" w:type="dxa"/>
              <w:start w:w="120" w:type="dxa"/>
              <w:bottom w:w="90" w:type="dxa"/>
              <w:end w:w="120" w:type="dxa"/>
            </w:tcMar>
            <w:vAlign w:val="center"/>
          </w:tcPr>
          <w:p>
            <w:pPr>
              <w:keepLines w:val="0"/>
              <w:widowControl/>
              <w:spacing w:before="0" w:after="0" w:line="240" w:lineRule="auto"/>
              <w:jc w:val="center"/>
            </w:pPr>
            <w:r>
              <w:rPr>
                <w:rFonts w:ascii="Consolas" w:hAnsi="Consolas"/>
                <w:b w:val="0"/>
                <w:i w:val="0"/>
                <w:color w:val="17365D"/>
                <w:sz w:val="17"/>
              </w:rPr>
              <w:t>delay_events_detailed.json</w:t>
            </w:r>
          </w:p>
        </w:tc>
        <w:tc>
          <w:tcPr>
            <w:tcW w:type="dxa" w:w="67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Machine-readable delay-event register</w:t>
            </w:r>
          </w:p>
        </w:tc>
      </w:tr>
      <w:tr>
        <w:tc>
          <w:tcPr>
            <w:tcW w:type="dxa" w:w="2600"/>
            <w:tcMar>
              <w:top w:w="90" w:type="dxa"/>
              <w:start w:w="120" w:type="dxa"/>
              <w:bottom w:w="90" w:type="dxa"/>
              <w:end w:w="120" w:type="dxa"/>
            </w:tcMar>
            <w:vAlign w:val="center"/>
          </w:tcPr>
          <w:p>
            <w:pPr>
              <w:keepLines w:val="0"/>
              <w:widowControl/>
              <w:spacing w:before="0" w:after="0" w:line="240" w:lineRule="auto"/>
              <w:jc w:val="center"/>
            </w:pPr>
            <w:r>
              <w:rPr>
                <w:rFonts w:ascii="Consolas" w:hAnsi="Consolas"/>
                <w:b w:val="0"/>
                <w:i w:val="0"/>
                <w:color w:val="17365D"/>
                <w:sz w:val="17"/>
              </w:rPr>
              <w:t>DELAY_EVENTS_DETAILED_REPORT.md</w:t>
            </w:r>
          </w:p>
        </w:tc>
        <w:tc>
          <w:tcPr>
            <w:tcW w:type="dxa" w:w="67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Event-by-event technical report</w:t>
            </w:r>
          </w:p>
        </w:tc>
      </w:tr>
      <w:tr>
        <w:tc>
          <w:tcPr>
            <w:tcW w:type="dxa" w:w="2600"/>
            <w:shd w:fill="F2F4F7"/>
            <w:tcMar>
              <w:top w:w="90" w:type="dxa"/>
              <w:start w:w="120" w:type="dxa"/>
              <w:bottom w:w="90" w:type="dxa"/>
              <w:end w:w="120" w:type="dxa"/>
            </w:tcMar>
            <w:vAlign w:val="center"/>
          </w:tcPr>
          <w:p>
            <w:pPr>
              <w:keepLines w:val="0"/>
              <w:widowControl/>
              <w:spacing w:before="0" w:after="0" w:line="240" w:lineRule="auto"/>
              <w:jc w:val="center"/>
            </w:pPr>
            <w:r>
              <w:rPr>
                <w:rFonts w:ascii="Consolas" w:hAnsi="Consolas"/>
                <w:b w:val="0"/>
                <w:i w:val="0"/>
                <w:color w:val="17365D"/>
                <w:sz w:val="17"/>
              </w:rPr>
              <w:t>level_4_visual_assessment/</w:t>
            </w:r>
          </w:p>
        </w:tc>
        <w:tc>
          <w:tcPr>
            <w:tcW w:type="dxa" w:w="67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Approved Level 4 illustration and diagram audit</w:t>
            </w:r>
          </w:p>
        </w:tc>
      </w:tr>
      <w:tr>
        <w:tc>
          <w:tcPr>
            <w:tcW w:type="dxa" w:w="2600"/>
            <w:tcMar>
              <w:top w:w="90" w:type="dxa"/>
              <w:start w:w="120" w:type="dxa"/>
              <w:bottom w:w="90" w:type="dxa"/>
              <w:end w:w="120" w:type="dxa"/>
            </w:tcMar>
            <w:vAlign w:val="center"/>
          </w:tcPr>
          <w:p>
            <w:pPr>
              <w:keepLines w:val="0"/>
              <w:widowControl/>
              <w:spacing w:before="0" w:after="0" w:line="240" w:lineRule="auto"/>
              <w:jc w:val="center"/>
            </w:pPr>
            <w:r>
              <w:rPr>
                <w:rFonts w:ascii="Consolas" w:hAnsi="Consolas"/>
                <w:b w:val="0"/>
                <w:i w:val="0"/>
                <w:color w:val="17365D"/>
                <w:sz w:val="17"/>
              </w:rPr>
              <w:t>audited_superseded_diagrams/</w:t>
            </w:r>
          </w:p>
        </w:tc>
        <w:tc>
          <w:tcPr>
            <w:tcW w:type="dxa" w:w="67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Retained originals; not approved for unqualified use</w:t>
            </w:r>
          </w:p>
        </w:tc>
      </w:tr>
      <w:tr>
        <w:tc>
          <w:tcPr>
            <w:tcW w:type="dxa" w:w="2600"/>
            <w:shd w:fill="F2F4F7"/>
            <w:tcMar>
              <w:top w:w="90" w:type="dxa"/>
              <w:start w:w="120" w:type="dxa"/>
              <w:bottom w:w="90" w:type="dxa"/>
              <w:end w:w="120" w:type="dxa"/>
            </w:tcMar>
            <w:vAlign w:val="center"/>
          </w:tcPr>
          <w:p>
            <w:pPr>
              <w:keepLines w:val="0"/>
              <w:widowControl/>
              <w:spacing w:before="0" w:after="0" w:line="240" w:lineRule="auto"/>
              <w:jc w:val="center"/>
            </w:pPr>
            <w:r>
              <w:rPr>
                <w:rFonts w:ascii="Consolas" w:hAnsi="Consolas"/>
                <w:b w:val="0"/>
                <w:i w:val="0"/>
                <w:color w:val="17365D"/>
                <w:sz w:val="17"/>
              </w:rPr>
              <w:t>RUN_ENGINE.bat</w:t>
            </w:r>
          </w:p>
        </w:tc>
        <w:tc>
          <w:tcPr>
            <w:tcW w:type="dxa" w:w="6760"/>
            <w:shd w:fill="F2F4F7"/>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Windows launcher</w:t>
            </w:r>
          </w:p>
        </w:tc>
      </w:tr>
      <w:tr>
        <w:tc>
          <w:tcPr>
            <w:tcW w:type="dxa" w:w="2600"/>
            <w:tcMar>
              <w:top w:w="90" w:type="dxa"/>
              <w:start w:w="120" w:type="dxa"/>
              <w:bottom w:w="90" w:type="dxa"/>
              <w:end w:w="120" w:type="dxa"/>
            </w:tcMar>
            <w:vAlign w:val="center"/>
          </w:tcPr>
          <w:p>
            <w:pPr>
              <w:keepLines w:val="0"/>
              <w:widowControl/>
              <w:spacing w:before="0" w:after="0" w:line="240" w:lineRule="auto"/>
              <w:jc w:val="center"/>
            </w:pPr>
            <w:r>
              <w:rPr>
                <w:rFonts w:ascii="Consolas" w:hAnsi="Consolas"/>
                <w:b w:val="0"/>
                <w:i w:val="0"/>
                <w:color w:val="17365D"/>
                <w:sz w:val="17"/>
              </w:rPr>
              <w:t>requirements.txt</w:t>
            </w:r>
          </w:p>
        </w:tc>
        <w:tc>
          <w:tcPr>
            <w:tcW w:type="dxa" w:w="6760"/>
            <w:tcMar>
              <w:top w:w="90" w:type="dxa"/>
              <w:start w:w="120" w:type="dxa"/>
              <w:bottom w:w="90" w:type="dxa"/>
              <w:end w:w="120" w:type="dxa"/>
            </w:tcMar>
            <w:vAlign w:val="center"/>
          </w:tcPr>
          <w:p>
            <w:pPr>
              <w:keepLines w:val="0"/>
              <w:widowControl/>
              <w:spacing w:before="0" w:after="0" w:line="240" w:lineRule="auto"/>
              <w:jc w:val="left"/>
            </w:pPr>
            <w:r>
              <w:rPr>
                <w:rFonts w:ascii="Calibri" w:hAnsi="Calibri"/>
                <w:b w:val="0"/>
                <w:i w:val="0"/>
                <w:color w:val="243447"/>
                <w:sz w:val="18"/>
              </w:rPr>
              <w:t>Python dependencies</w:t>
            </w:r>
          </w:p>
        </w:tc>
      </w:tr>
    </w:tbl>
    <w:p>
      <w:pPr>
        <w:spacing w:after="20"/>
      </w:pPr>
    </w:p>
    <w:p>
      <w:pPr>
        <w:pStyle w:val="Heading1"/>
      </w:pPr>
      <w:r>
        <w:t>9. Validation and Quality Controls</w:t>
      </w:r>
    </w:p>
    <w:p>
      <w:pPr>
        <w:keepLines w:val="0"/>
        <w:widowControl/>
        <w:spacing w:before="0" w:after="120" w:line="264" w:lineRule="auto"/>
      </w:pPr>
      <w:r>
        <w:rPr>
          <w:rFonts w:ascii="Calibri" w:hAnsi="Calibri"/>
          <w:b w:val="0"/>
          <w:i w:val="0"/>
          <w:color w:val="243447"/>
          <w:sz w:val="21"/>
        </w:rPr>
        <w:t>The unified release records the following validation status:</w:t>
      </w:r>
    </w:p>
    <w:p>
      <w:pPr>
        <w:pStyle w:val="ListBullet"/>
      </w:pPr>
      <w:r>
        <w:rPr>
          <w:rFonts w:ascii="Calibri" w:hAnsi="Calibri"/>
          <w:b w:val="0"/>
          <w:i w:val="0"/>
          <w:color w:val="243447"/>
          <w:sz w:val="21"/>
        </w:rPr>
        <w:t>56 controlled files consolidated.</w:t>
      </w:r>
    </w:p>
    <w:p>
      <w:pPr>
        <w:pStyle w:val="ListBullet"/>
      </w:pPr>
      <w:r>
        <w:rPr>
          <w:rFonts w:ascii="Calibri" w:hAnsi="Calibri"/>
          <w:b w:val="0"/>
          <w:i w:val="0"/>
          <w:color w:val="243447"/>
          <w:sz w:val="21"/>
        </w:rPr>
        <w:t>Nine JSON datasets parsed and verified.</w:t>
      </w:r>
    </w:p>
    <w:p>
      <w:pPr>
        <w:pStyle w:val="ListBullet"/>
      </w:pPr>
      <w:r>
        <w:rPr>
          <w:rFonts w:ascii="Calibri" w:hAnsi="Calibri"/>
          <w:b w:val="0"/>
          <w:i w:val="0"/>
          <w:color w:val="243447"/>
          <w:sz w:val="21"/>
        </w:rPr>
        <w:t>Python modules compiled.</w:t>
      </w:r>
    </w:p>
    <w:p>
      <w:pPr>
        <w:pStyle w:val="ListBullet"/>
      </w:pPr>
      <w:r>
        <w:rPr>
          <w:rFonts w:ascii="Calibri" w:hAnsi="Calibri"/>
          <w:b w:val="0"/>
          <w:i w:val="0"/>
          <w:color w:val="243447"/>
          <w:sz w:val="21"/>
        </w:rPr>
        <w:t>Deterministic engine self-test passed.</w:t>
      </w:r>
    </w:p>
    <w:p>
      <w:pPr>
        <w:pStyle w:val="ListBullet"/>
      </w:pPr>
      <w:r>
        <w:rPr>
          <w:rFonts w:ascii="Calibri" w:hAnsi="Calibri"/>
          <w:b w:val="0"/>
          <w:i w:val="0"/>
          <w:color w:val="243447"/>
          <w:sz w:val="21"/>
        </w:rPr>
        <w:t>Seventeen verified contractual decision rules retained.</w:t>
      </w:r>
    </w:p>
    <w:p>
      <w:pPr>
        <w:pStyle w:val="ListBullet"/>
      </w:pPr>
      <w:r>
        <w:rPr>
          <w:rFonts w:ascii="Calibri" w:hAnsi="Calibri"/>
          <w:b w:val="0"/>
          <w:i w:val="0"/>
          <w:color w:val="243447"/>
          <w:sz w:val="21"/>
        </w:rPr>
        <w:t>Signed Contract included.</w:t>
      </w:r>
    </w:p>
    <w:p>
      <w:pPr>
        <w:pStyle w:val="ListBullet"/>
      </w:pPr>
      <w:r>
        <w:rPr>
          <w:rFonts w:ascii="Calibri" w:hAnsi="Calibri"/>
          <w:b w:val="0"/>
          <w:i w:val="0"/>
          <w:color w:val="243447"/>
          <w:sz w:val="21"/>
        </w:rPr>
        <w:t>Eight native XER files included as four before/after pairs.</w:t>
      </w:r>
    </w:p>
    <w:p>
      <w:pPr>
        <w:pStyle w:val="ListBullet"/>
      </w:pPr>
      <w:r>
        <w:rPr>
          <w:rFonts w:ascii="Calibri" w:hAnsi="Calibri"/>
          <w:b w:val="0"/>
          <w:i w:val="0"/>
          <w:color w:val="243447"/>
          <w:sz w:val="21"/>
        </w:rPr>
        <w:t>Source-manifest hashing and ZIP integrity checks passed.</w:t>
      </w:r>
    </w:p>
    <w:p>
      <w:pPr>
        <w:pStyle w:val="ListBullet"/>
      </w:pPr>
      <w:r>
        <w:rPr>
          <w:rFonts w:ascii="Calibri" w:hAnsi="Calibri"/>
          <w:b w:val="0"/>
          <w:i w:val="0"/>
          <w:color w:val="243447"/>
          <w:sz w:val="21"/>
        </w:rPr>
        <w:t>Approved baseline counts reconciled.</w:t>
      </w:r>
    </w:p>
    <w:p>
      <w:pPr>
        <w:pStyle w:val="ListBullet"/>
      </w:pPr>
      <w:r>
        <w:rPr>
          <w:rFonts w:ascii="Calibri" w:hAnsi="Calibri"/>
          <w:b w:val="0"/>
          <w:i w:val="0"/>
          <w:color w:val="243447"/>
          <w:sz w:val="21"/>
        </w:rPr>
        <w:t>Diagram-by-diagram data audit completed.</w:t>
      </w:r>
    </w:p>
    <w:p>
      <w:pPr>
        <w:pStyle w:val="ListBullet"/>
      </w:pPr>
      <w:r>
        <w:rPr>
          <w:rFonts w:ascii="Calibri" w:hAnsi="Calibri"/>
          <w:b w:val="0"/>
          <w:i w:val="0"/>
          <w:color w:val="243447"/>
          <w:sz w:val="21"/>
        </w:rPr>
        <w:t>Superseded visuals isolated from the approved Level 4 illustration.</w:t>
      </w:r>
    </w:p>
    <w:p>
      <w:pPr>
        <w:keepLines w:val="0"/>
        <w:widowControl/>
        <w:spacing w:before="0" w:after="120" w:line="264" w:lineRule="auto"/>
      </w:pPr>
      <w:r>
        <w:rPr>
          <w:rFonts w:ascii="Calibri" w:hAnsi="Calibri"/>
          <w:b w:val="0"/>
          <w:i w:val="0"/>
          <w:color w:val="243447"/>
          <w:sz w:val="21"/>
        </w:rPr>
        <w:t>Package archive SHA-256:</w:t>
      </w:r>
    </w:p>
    <w:p>
      <w:pPr>
        <w:spacing w:after="20" w:line="240" w:lineRule="auto"/>
        <w:ind w:left="360" w:right="216"/>
        <w:shd w:fill="EEF3F8"/>
      </w:pPr>
      <w:r>
        <w:rPr>
          <w:rFonts w:ascii="Consolas" w:hAnsi="Consolas"/>
          <w:b w:val="0"/>
          <w:i w:val="0"/>
          <w:color w:val="17365D"/>
          <w:sz w:val="16"/>
        </w:rPr>
        <w:t>710dbbfe37806dd95f3621f193ef8ea1df2e4b459d71263eb1e8d4a290df3632</w:t>
      </w:r>
    </w:p>
    <w:p>
      <w:pPr>
        <w:pStyle w:val="Heading1"/>
      </w:pPr>
      <w:r>
        <w:t>10. Governance Rules</w:t>
      </w:r>
    </w:p>
    <w:p>
      <w:pPr>
        <w:spacing w:after="80" w:line="259" w:lineRule="auto"/>
        <w:numPr>
          <w:ilvl w:val="0"/>
          <w:numId w:val="13"/>
        </w:numPr>
      </w:pPr>
      <w:r>
        <w:rPr>
          <w:rFonts w:ascii="Calibri" w:hAnsi="Calibri"/>
          <w:b w:val="0"/>
          <w:i w:val="0"/>
          <w:color w:val="243447"/>
          <w:sz w:val="21"/>
        </w:rPr>
        <w:t>Do not present a route-map summary as a direct Contract or FIDIC quotation.</w:t>
      </w:r>
    </w:p>
    <w:p>
      <w:pPr>
        <w:spacing w:after="80" w:line="259" w:lineRule="auto"/>
        <w:numPr>
          <w:ilvl w:val="0"/>
          <w:numId w:val="13"/>
        </w:numPr>
      </w:pPr>
      <w:r>
        <w:rPr>
          <w:rFonts w:ascii="Calibri" w:hAnsi="Calibri"/>
          <w:b w:val="0"/>
          <w:i w:val="0"/>
          <w:color w:val="243447"/>
          <w:sz w:val="21"/>
        </w:rPr>
        <w:t>Do not treat an OCR passage as exact wording without visual verification.</w:t>
      </w:r>
    </w:p>
    <w:p>
      <w:pPr>
        <w:spacing w:after="80" w:line="259" w:lineRule="auto"/>
        <w:numPr>
          <w:ilvl w:val="0"/>
          <w:numId w:val="13"/>
        </w:numPr>
      </w:pPr>
      <w:r>
        <w:rPr>
          <w:rFonts w:ascii="Calibri" w:hAnsi="Calibri"/>
          <w:b w:val="0"/>
          <w:i w:val="0"/>
          <w:color w:val="243447"/>
          <w:sz w:val="21"/>
        </w:rPr>
        <w:t>Do not treat a reference number as proof that a document was issued or received.</w:t>
      </w:r>
    </w:p>
    <w:p>
      <w:pPr>
        <w:spacing w:after="80" w:line="259" w:lineRule="auto"/>
        <w:numPr>
          <w:ilvl w:val="0"/>
          <w:numId w:val="13"/>
        </w:numPr>
      </w:pPr>
      <w:r>
        <w:rPr>
          <w:rFonts w:ascii="Calibri" w:hAnsi="Calibri"/>
          <w:b w:val="0"/>
          <w:i w:val="0"/>
          <w:color w:val="243447"/>
          <w:sz w:val="21"/>
        </w:rPr>
        <w:t>Do not use the approved baseline as proof of actual delay or entitlement.</w:t>
      </w:r>
    </w:p>
    <w:p>
      <w:pPr>
        <w:spacing w:after="80" w:line="259" w:lineRule="auto"/>
        <w:numPr>
          <w:ilvl w:val="0"/>
          <w:numId w:val="13"/>
        </w:numPr>
      </w:pPr>
      <w:r>
        <w:rPr>
          <w:rFonts w:ascii="Calibri" w:hAnsi="Calibri"/>
          <w:b w:val="0"/>
          <w:i w:val="0"/>
          <w:color w:val="243447"/>
          <w:sz w:val="21"/>
        </w:rPr>
        <w:t>Do not treat float degradation alone as proof of EOT.</w:t>
      </w:r>
    </w:p>
    <w:p>
      <w:pPr>
        <w:spacing w:after="80" w:line="259" w:lineRule="auto"/>
        <w:numPr>
          <w:ilvl w:val="0"/>
          <w:numId w:val="13"/>
        </w:numPr>
      </w:pPr>
      <w:r>
        <w:rPr>
          <w:rFonts w:ascii="Calibri" w:hAnsi="Calibri"/>
          <w:b w:val="0"/>
          <w:i w:val="0"/>
          <w:color w:val="243447"/>
          <w:sz w:val="21"/>
        </w:rPr>
        <w:t>Do not combine event movements without testing concurrency and double counting.</w:t>
      </w:r>
    </w:p>
    <w:p>
      <w:pPr>
        <w:spacing w:after="80" w:line="259" w:lineRule="auto"/>
        <w:numPr>
          <w:ilvl w:val="0"/>
          <w:numId w:val="13"/>
        </w:numPr>
      </w:pPr>
      <w:r>
        <w:rPr>
          <w:rFonts w:ascii="Calibri" w:hAnsi="Calibri"/>
          <w:b w:val="0"/>
          <w:i w:val="0"/>
          <w:color w:val="243447"/>
          <w:sz w:val="21"/>
        </w:rPr>
        <w:t>Do not convert mitigation into risk transfer.</w:t>
      </w:r>
    </w:p>
    <w:p>
      <w:pPr>
        <w:spacing w:after="80" w:line="259" w:lineRule="auto"/>
        <w:numPr>
          <w:ilvl w:val="0"/>
          <w:numId w:val="13"/>
        </w:numPr>
      </w:pPr>
      <w:r>
        <w:rPr>
          <w:rFonts w:ascii="Calibri" w:hAnsi="Calibri"/>
          <w:b w:val="0"/>
          <w:i w:val="0"/>
          <w:color w:val="243447"/>
          <w:sz w:val="21"/>
        </w:rPr>
        <w:t>Do not call a forecast finish an awarded completion date.</w:t>
      </w:r>
    </w:p>
    <w:p>
      <w:pPr>
        <w:spacing w:after="80" w:line="259" w:lineRule="auto"/>
        <w:numPr>
          <w:ilvl w:val="0"/>
          <w:numId w:val="13"/>
        </w:numPr>
      </w:pPr>
      <w:r>
        <w:rPr>
          <w:rFonts w:ascii="Calibri" w:hAnsi="Calibri"/>
          <w:b w:val="0"/>
          <w:i w:val="0"/>
          <w:color w:val="243447"/>
          <w:sz w:val="21"/>
        </w:rPr>
        <w:t>Do not use superseded diagrams for an external presentation.</w:t>
      </w:r>
    </w:p>
    <w:p>
      <w:pPr>
        <w:spacing w:after="80" w:line="259" w:lineRule="auto"/>
        <w:numPr>
          <w:ilvl w:val="0"/>
          <w:numId w:val="13"/>
        </w:numPr>
      </w:pPr>
      <w:r>
        <w:rPr>
          <w:rFonts w:ascii="Calibri" w:hAnsi="Calibri"/>
          <w:b w:val="0"/>
          <w:i w:val="0"/>
          <w:color w:val="243447"/>
          <w:sz w:val="21"/>
        </w:rPr>
        <w:t>Retain an audit trail for every source, transformation, conclusion and generated letter.</w:t>
      </w:r>
    </w:p>
    <w:p>
      <w:pPr>
        <w:pStyle w:val="Heading1"/>
      </w:pPr>
      <w:r>
        <w:t>11. Acceptance Criteria Before External Submission</w:t>
      </w:r>
    </w:p>
    <w:p>
      <w:pPr>
        <w:pStyle w:val="ListBullet"/>
      </w:pPr>
      <w:r>
        <w:rPr>
          <w:rFonts w:ascii="Calibri" w:hAnsi="Calibri"/>
          <w:b w:val="0"/>
          <w:i w:val="0"/>
          <w:color w:val="243447"/>
          <w:sz w:val="21"/>
        </w:rPr>
        <w:t>Signed Contract quotation visually checked.</w:t>
      </w:r>
    </w:p>
    <w:p>
      <w:pPr>
        <w:pStyle w:val="ListBullet"/>
      </w:pPr>
      <w:r>
        <w:rPr>
          <w:rFonts w:ascii="Calibri" w:hAnsi="Calibri"/>
          <w:b w:val="0"/>
          <w:i w:val="0"/>
          <w:color w:val="243447"/>
          <w:sz w:val="21"/>
        </w:rPr>
        <w:t>Authorized FIDIC source indexed or wording expressly labelled as a route summary.</w:t>
      </w:r>
    </w:p>
    <w:p>
      <w:pPr>
        <w:pStyle w:val="ListBullet"/>
      </w:pPr>
      <w:r>
        <w:rPr>
          <w:rFonts w:ascii="Calibri" w:hAnsi="Calibri"/>
          <w:b w:val="0"/>
          <w:i w:val="0"/>
          <w:color w:val="243447"/>
          <w:sz w:val="21"/>
        </w:rPr>
        <w:t>Native evidence files and receipt proof attached.</w:t>
      </w:r>
    </w:p>
    <w:p>
      <w:pPr>
        <w:pStyle w:val="ListBullet"/>
      </w:pPr>
      <w:r>
        <w:rPr>
          <w:rFonts w:ascii="Calibri" w:hAnsi="Calibri"/>
          <w:b w:val="0"/>
          <w:i w:val="0"/>
          <w:color w:val="243447"/>
          <w:sz w:val="21"/>
        </w:rPr>
        <w:t>Evidence register updated with hashes and status.</w:t>
      </w:r>
    </w:p>
    <w:p>
      <w:pPr>
        <w:pStyle w:val="ListBullet"/>
      </w:pPr>
      <w:r>
        <w:rPr>
          <w:rFonts w:ascii="Calibri" w:hAnsi="Calibri"/>
          <w:b w:val="0"/>
          <w:i w:val="0"/>
          <w:color w:val="243447"/>
          <w:sz w:val="21"/>
        </w:rPr>
        <w:t>Notice and monthly-account compliance tested.</w:t>
      </w:r>
    </w:p>
    <w:p>
      <w:pPr>
        <w:pStyle w:val="ListBullet"/>
      </w:pPr>
      <w:r>
        <w:rPr>
          <w:rFonts w:ascii="Calibri" w:hAnsi="Calibri"/>
          <w:b w:val="0"/>
          <w:i w:val="0"/>
          <w:color w:val="243447"/>
          <w:sz w:val="21"/>
        </w:rPr>
        <w:t>XER data dates and schedule settings reconciled.</w:t>
      </w:r>
    </w:p>
    <w:p>
      <w:pPr>
        <w:pStyle w:val="ListBullet"/>
      </w:pPr>
      <w:r>
        <w:rPr>
          <w:rFonts w:ascii="Calibri" w:hAnsi="Calibri"/>
          <w:b w:val="0"/>
          <w:i w:val="0"/>
          <w:color w:val="243447"/>
          <w:sz w:val="21"/>
        </w:rPr>
        <w:t>Fragnet interfaces and non-fragnet changes audited.</w:t>
      </w:r>
    </w:p>
    <w:p>
      <w:pPr>
        <w:pStyle w:val="ListBullet"/>
      </w:pPr>
      <w:r>
        <w:rPr>
          <w:rFonts w:ascii="Calibri" w:hAnsi="Calibri"/>
          <w:b w:val="0"/>
          <w:i w:val="0"/>
          <w:color w:val="243447"/>
          <w:sz w:val="21"/>
        </w:rPr>
        <w:t>Critical path and causation demonstrated.</w:t>
      </w:r>
    </w:p>
    <w:p>
      <w:pPr>
        <w:pStyle w:val="ListBullet"/>
      </w:pPr>
      <w:r>
        <w:rPr>
          <w:rFonts w:ascii="Calibri" w:hAnsi="Calibri"/>
          <w:b w:val="0"/>
          <w:i w:val="0"/>
          <w:color w:val="243447"/>
          <w:sz w:val="21"/>
        </w:rPr>
        <w:t>Concurrency assessed on a common time basis.</w:t>
      </w:r>
    </w:p>
    <w:p>
      <w:pPr>
        <w:pStyle w:val="ListBullet"/>
      </w:pPr>
      <w:r>
        <w:rPr>
          <w:rFonts w:ascii="Calibri" w:hAnsi="Calibri"/>
          <w:b w:val="0"/>
          <w:i w:val="0"/>
          <w:color w:val="243447"/>
          <w:sz w:val="21"/>
        </w:rPr>
        <w:t>EV02 five-day discrepancy resolved.</w:t>
      </w:r>
    </w:p>
    <w:p>
      <w:pPr>
        <w:pStyle w:val="ListBullet"/>
      </w:pPr>
      <w:r>
        <w:rPr>
          <w:rFonts w:ascii="Calibri" w:hAnsi="Calibri"/>
          <w:b w:val="0"/>
          <w:i w:val="0"/>
          <w:color w:val="243447"/>
          <w:sz w:val="21"/>
        </w:rPr>
        <w:t>EV03 data-date defect resolved or the event excluded.</w:t>
      </w:r>
    </w:p>
    <w:p>
      <w:pPr>
        <w:pStyle w:val="ListBullet"/>
      </w:pPr>
      <w:r>
        <w:rPr>
          <w:rFonts w:ascii="Calibri" w:hAnsi="Calibri"/>
          <w:b w:val="0"/>
          <w:i w:val="0"/>
          <w:color w:val="243447"/>
          <w:sz w:val="21"/>
        </w:rPr>
        <w:t>Time and cost conclusions separated.</w:t>
      </w:r>
    </w:p>
    <w:p>
      <w:pPr>
        <w:pStyle w:val="ListBullet"/>
      </w:pPr>
      <w:r>
        <w:rPr>
          <w:rFonts w:ascii="Calibri" w:hAnsi="Calibri"/>
          <w:b w:val="0"/>
          <w:i w:val="0"/>
          <w:color w:val="243447"/>
          <w:sz w:val="21"/>
        </w:rPr>
        <w:t>Engineer position labelled as interim, final, agreed or determined.</w:t>
      </w:r>
    </w:p>
    <w:p>
      <w:pPr>
        <w:pStyle w:val="ListBullet"/>
      </w:pPr>
      <w:r>
        <w:rPr>
          <w:rFonts w:ascii="Calibri" w:hAnsi="Calibri"/>
          <w:b w:val="0"/>
          <w:i w:val="0"/>
          <w:color w:val="243447"/>
          <w:sz w:val="21"/>
        </w:rPr>
        <w:t>All tables and visuals use the current controlled figures.</w:t>
      </w:r>
    </w:p>
    <w:p>
      <w:pPr>
        <w:pStyle w:val="Heading1"/>
      </w:pPr>
      <w:r>
        <w:t>12. Controlled Conclusion</w:t>
      </w:r>
    </w:p>
    <w:p>
      <w:pPr>
        <w:keepLines w:val="0"/>
        <w:widowControl/>
        <w:spacing w:before="0" w:after="120" w:line="264" w:lineRule="auto"/>
      </w:pPr>
      <w:r>
        <w:rPr>
          <w:rFonts w:ascii="Calibri" w:hAnsi="Calibri"/>
          <w:b w:val="0"/>
          <w:i w:val="0"/>
          <w:color w:val="243447"/>
          <w:sz w:val="21"/>
        </w:rPr>
        <w:t>THE BIG Complete Intelligence Package v1.6.0 provides a strong foundation for contract administration and delay-claim governance because it keeps contractual authority, proof, schedule analysis and determination separate.</w:t>
      </w:r>
    </w:p>
    <w:p>
      <w:pPr>
        <w:keepLines w:val="0"/>
        <w:widowControl/>
        <w:spacing w:before="0" w:after="120" w:line="264" w:lineRule="auto"/>
      </w:pPr>
      <w:r>
        <w:rPr>
          <w:rFonts w:ascii="Calibri" w:hAnsi="Calibri"/>
          <w:b w:val="0"/>
          <w:i w:val="0"/>
          <w:color w:val="243447"/>
          <w:sz w:val="21"/>
        </w:rPr>
        <w:t>The current analytical position of 126 calendar days and the 15-Sep-2027 forecast should be treated as a qualified assessment only. They are not an awarded EOT or a revised contractual completion date. External reliance requires reconciliation of EV02, correction or exclusion of EV03, completion of the missing-evidence register, full native P6 validation and a reasoned Engineer determination under the governing Contract.</w:t>
      </w:r>
    </w:p>
    <w:p>
      <w:pPr>
        <w:keepLines w:val="0"/>
        <w:widowControl/>
        <w:spacing w:before="0" w:after="120" w:line="264" w:lineRule="auto"/>
      </w:pPr>
      <w:r>
        <w:rPr>
          <w:rFonts w:ascii="Calibri" w:hAnsi="Calibri"/>
          <w:b/>
          <w:i w:val="0"/>
          <w:color w:val="243447"/>
          <w:sz w:val="21"/>
        </w:rPr>
        <w:t>Document control:</w:t>
      </w:r>
      <w:r>
        <w:rPr>
          <w:rFonts w:ascii="Calibri" w:hAnsi="Calibri"/>
          <w:b w:val="0"/>
          <w:i w:val="0"/>
          <w:color w:val="243447"/>
          <w:sz w:val="21"/>
        </w:rPr>
        <w:t xml:space="preserve"> This guide describes the controlled v1.6.0 package as available on 27 July 2026. Any later evidence, schedule revision, Contract amendment or Engineer determination must be ingested and assessed through the applicable pipeline before the stated position is updated.</w:t>
      </w:r>
    </w:p>
    <w:sectPr w:rsidR="00FC693F" w:rsidRPr="0006063C" w:rsidSect="00034616">
      <w:headerReference w:type="default" r:id="rId9"/>
      <w:footerReference w:type="default" r:id="rId10"/>
      <w:pgSz w:w="12240" w:h="15840"/>
      <w:pgMar w:top="1080" w:right="1224" w:bottom="1037" w:left="1224"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B7280"/>
        <w:sz w:val="16"/>
      </w:rPr>
      <w:t>Controlled Guide v1.6.0 | 27 July 2026</w:t>
    </w:r>
    <w:r>
      <w:tab/>
    </w:r>
    <w:r>
      <w:rPr>
        <w:rFonts w:ascii="Calibri" w:hAnsi="Calibri"/>
        <w:b w:val="0"/>
        <w:i w:val="0"/>
        <w:color w:val="6B7280"/>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B7280"/>
        <w:sz w:val="17"/>
      </w:rPr>
      <w:t>SAMCO | THE BIG Contract Intelligence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abstractNum w:abstractNumId="11">
    <w:multiLevelType w:val="singleLevel"/>
    <w:lvl w:ilvl="0">
      <w:start w:val="1"/>
      <w:numFmt w:val="decimal"/>
      <w:lvlText w:val="%1."/>
      <w:suff w:val="tab"/>
      <w:pPr>
        <w:tabs>
          <w:tab w:val="num" w:pos="720"/>
        </w:tabs>
        <w:ind w:left="720" w:hanging="360"/>
      </w:pPr>
    </w:lvl>
  </w:abstractNum>
  <w:num w:numId="12">
    <w:abstractNumId w:val="11"/>
  </w:num>
  <w:abstractNum w:abstractNumId="12">
    <w:multiLevelType w:val="singleLevel"/>
    <w:lvl w:ilvl="0">
      <w:start w:val="1"/>
      <w:numFmt w:val="decimal"/>
      <w:lvlText w:val="%1."/>
      <w:suff w:val="tab"/>
      <w:pPr>
        <w:tabs>
          <w:tab w:val="num" w:pos="720"/>
        </w:tabs>
        <w:ind w:left="720" w:hanging="36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ind w:left="605" w:hanging="288"/>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ind w:left="605" w:hanging="288"/>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BIG Contract, Evidence &amp; Delay Intelligence Platform</dc:title>
  <dc:subject>Complete Technical and Operating Guide v1.6.0</dc:subject>
  <dc:creator>Eng. Ahmed Labib</dc:creator>
  <cp:keywords>SAMCO, THE BIG, Contract, FIDIC, Evidence, Delay Analysis, TIA, Primavera P6</cp:keywords>
  <dc:description>generated by python-docx</dc:description>
  <cp:lastModifiedBy/>
  <cp:revision>1</cp:revision>
  <dcterms:created xsi:type="dcterms:W3CDTF">2013-12-23T23:15:00Z</dcterms:created>
  <dcterms:modified xsi:type="dcterms:W3CDTF">2013-12-23T23:15:00Z</dcterms:modified>
  <cp:category/>
</cp:coreProperties>
</file>