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51F39"/>
          <w:sz w:val="48"/>
        </w:rPr>
        <w:t>Project Intelligence Hub</w:t>
      </w:r>
    </w:p>
    <w:p>
      <w:pPr>
        <w:jc w:val="center"/>
      </w:pPr>
      <w:r>
        <w:rPr>
          <w:rFonts w:ascii="Arial" w:hAnsi="Arial"/>
          <w:color w:val="BE8D2D"/>
          <w:sz w:val="28"/>
        </w:rPr>
        <w:t>Comprehensive App Guide</w:t>
      </w:r>
    </w:p>
    <w:p/>
    <w:p>
      <w:pPr>
        <w:spacing w:after="80"/>
      </w:pPr>
      <w:r>
        <w:t>Generated: 2026-07-27 18:14</w:t>
      </w:r>
    </w:p>
    <w:p>
      <w:pPr>
        <w:spacing w:after="80"/>
      </w:pPr>
      <w:r>
        <w:t>Live website: https://samcoegyptdashboard.vercel.app</w:t>
      </w:r>
    </w:p>
    <w:p>
      <w:pPr>
        <w:spacing w:after="80"/>
      </w:pPr>
      <w:r>
        <w:t>Figma reference design: https://www.figma.com/design/z1T4ERNeuBlrpC3slf93KT</w:t>
      </w:r>
    </w:p>
    <w:p>
      <w:pPr>
        <w:pStyle w:val="Heading1"/>
      </w:pPr>
      <w:r>
        <w:rPr>
          <w:rFonts w:ascii="Arial" w:hAnsi="Arial"/>
          <w:color w:val="051F39"/>
        </w:rPr>
        <w:t>1. Executive Summary</w:t>
      </w:r>
    </w:p>
    <w:p>
      <w:pPr>
        <w:spacing w:after="80"/>
      </w:pPr>
      <w:r>
        <w:t>Project Intelligence Hub is a project-controls, delay-analysis, claims-intelligence, and executive-reporting system. It currently has two working surfaces:</w:t>
      </w:r>
    </w:p>
    <w:p>
      <w:pPr>
        <w:ind w:left="288"/>
      </w:pPr>
      <w:r>
        <w:rPr>
          <w:color w:val="008484"/>
        </w:rPr>
        <w:t xml:space="preserve">• </w:t>
      </w:r>
      <w:r>
        <w:t>Original Streamlit app: the full Python application, advanced calculations, uploads, exports, and detailed project-controls workflows.</w:t>
      </w:r>
    </w:p>
    <w:p>
      <w:pPr>
        <w:ind w:left="288"/>
      </w:pPr>
      <w:r>
        <w:rPr>
          <w:color w:val="008484"/>
        </w:rPr>
        <w:t xml:space="preserve">• </w:t>
      </w:r>
      <w:r>
        <w:t>Next.js/Vercel website: public, fast, mobile-friendly executive website generated from the same project folders and HTML outputs.</w:t>
      </w:r>
    </w:p>
    <w:p>
      <w:pPr>
        <w:spacing w:after="80"/>
      </w:pPr>
      <w:r>
        <w:t>The main operating rule is project isolation: each selected project reads from its own project folder, shows its own data, and writes or publishes its own outputs.</w:t>
      </w:r>
    </w:p>
    <w:p>
      <w:pPr>
        <w:pStyle w:val="Heading1"/>
      </w:pPr>
      <w:r>
        <w:rPr>
          <w:rFonts w:ascii="Arial" w:hAnsi="Arial"/>
          <w:color w:val="051F39"/>
        </w:rPr>
        <w:t>2. Current Portfolio Snapshot</w:t>
      </w:r>
    </w:p>
    <w:p>
      <w:pPr>
        <w:ind w:left="288"/>
      </w:pPr>
      <w:r>
        <w:rPr>
          <w:color w:val="008484"/>
        </w:rPr>
        <w:t xml:space="preserve">• </w:t>
      </w:r>
      <w:r>
        <w:t>Projects detected: 4</w:t>
      </w:r>
    </w:p>
    <w:p>
      <w:pPr>
        <w:ind w:left="288"/>
      </w:pPr>
      <w:r>
        <w:rPr>
          <w:color w:val="008484"/>
        </w:rPr>
        <w:t xml:space="preserve">• </w:t>
      </w:r>
      <w:r>
        <w:t>Sectors detected: 3</w:t>
      </w:r>
    </w:p>
    <w:p>
      <w:pPr>
        <w:ind w:left="288"/>
      </w:pPr>
      <w:r>
        <w:rPr>
          <w:color w:val="008484"/>
        </w:rPr>
        <w:t xml:space="preserve">• </w:t>
      </w:r>
      <w:r>
        <w:t>Total contract value: EGP 4,200,000,000</w:t>
      </w:r>
    </w:p>
    <w:p>
      <w:pPr>
        <w:ind w:left="288"/>
      </w:pPr>
      <w:r>
        <w:rPr>
          <w:color w:val="008484"/>
        </w:rPr>
        <w:t xml:space="preserve">• </w:t>
      </w:r>
      <w:r>
        <w:t>Average progress: 100.0%</w:t>
      </w:r>
    </w:p>
    <w:p>
      <w:pPr>
        <w:ind w:left="288"/>
      </w:pPr>
      <w:r>
        <w:rPr>
          <w:color w:val="008484"/>
        </w:rPr>
        <w:t xml:space="preserve">• </w:t>
      </w:r>
      <w:r>
        <w:t>Average SPI: 0.75</w:t>
      </w:r>
    </w:p>
    <w:p>
      <w:pPr>
        <w:ind w:left="288"/>
      </w:pPr>
      <w:r>
        <w:rPr>
          <w:color w:val="008484"/>
        </w:rPr>
        <w:t xml:space="preserve">• </w:t>
      </w:r>
      <w:r>
        <w:t>Average CPI: 60.11</w:t>
      </w:r>
    </w:p>
    <w:p>
      <w:pPr>
        <w:ind w:left="288"/>
      </w:pPr>
      <w:r>
        <w:rPr>
          <w:color w:val="008484"/>
        </w:rPr>
        <w:t xml:space="preserve">• </w:t>
      </w:r>
      <w:r>
        <w:t>Decisions required: 1</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center"/>
            <w:shd w:fill="ECF0F3"/>
          </w:tcPr>
          <w:p>
            <w:r>
              <w:rPr>
                <w:b/>
                <w:color w:val="051F39"/>
                <w:sz w:val="17"/>
              </w:rPr>
              <w:t>Project</w:t>
            </w:r>
          </w:p>
        </w:tc>
        <w:tc>
          <w:tcPr>
            <w:tcW w:type="dxa" w:w="1522"/>
            <w:vAlign w:val="center"/>
            <w:shd w:fill="ECF0F3"/>
          </w:tcPr>
          <w:p>
            <w:r>
              <w:rPr>
                <w:b/>
                <w:color w:val="051F39"/>
                <w:sz w:val="17"/>
              </w:rPr>
              <w:t>Sector</w:t>
            </w:r>
          </w:p>
        </w:tc>
        <w:tc>
          <w:tcPr>
            <w:tcW w:type="dxa" w:w="1522"/>
            <w:vAlign w:val="center"/>
            <w:shd w:fill="ECF0F3"/>
          </w:tcPr>
          <w:p>
            <w:r>
              <w:rPr>
                <w:b/>
                <w:color w:val="051F39"/>
                <w:sz w:val="17"/>
              </w:rPr>
              <w:t>Status</w:t>
            </w:r>
          </w:p>
        </w:tc>
        <w:tc>
          <w:tcPr>
            <w:tcW w:type="dxa" w:w="1522"/>
            <w:vAlign w:val="center"/>
            <w:shd w:fill="ECF0F3"/>
          </w:tcPr>
          <w:p>
            <w:r>
              <w:rPr>
                <w:b/>
                <w:color w:val="051F39"/>
                <w:sz w:val="17"/>
              </w:rPr>
              <w:t>Contract Value</w:t>
            </w:r>
          </w:p>
        </w:tc>
        <w:tc>
          <w:tcPr>
            <w:tcW w:type="dxa" w:w="1522"/>
            <w:vAlign w:val="center"/>
            <w:shd w:fill="ECF0F3"/>
          </w:tcPr>
          <w:p>
            <w:r>
              <w:rPr>
                <w:b/>
                <w:color w:val="051F39"/>
                <w:sz w:val="17"/>
              </w:rPr>
              <w:t>Progress</w:t>
            </w:r>
          </w:p>
        </w:tc>
        <w:tc>
          <w:tcPr>
            <w:tcW w:type="dxa" w:w="1522"/>
            <w:vAlign w:val="center"/>
            <w:shd w:fill="ECF0F3"/>
          </w:tcPr>
          <w:p>
            <w:r>
              <w:rPr>
                <w:b/>
                <w:color w:val="051F39"/>
                <w:sz w:val="17"/>
              </w:rPr>
              <w:t>Activities</w:t>
            </w:r>
          </w:p>
        </w:tc>
        <w:tc>
          <w:tcPr>
            <w:tcW w:type="dxa" w:w="1522"/>
            <w:vAlign w:val="center"/>
            <w:shd w:fill="ECF0F3"/>
          </w:tcPr>
          <w:p>
            <w:r>
              <w:rPr>
                <w:b/>
                <w:color w:val="051F39"/>
                <w:sz w:val="17"/>
              </w:rPr>
              <w:t>Decision Required</w:t>
            </w:r>
          </w:p>
        </w:tc>
      </w:tr>
      <w:tr>
        <w:tc>
          <w:tcPr>
            <w:tcW w:type="dxa" w:w="1522"/>
            <w:vAlign w:val="center"/>
          </w:tcPr>
          <w:p>
            <w:r>
              <w:rPr>
                <w:color w:val="1F2B37"/>
                <w:sz w:val="16"/>
              </w:rPr>
              <w:t>LMD Bridge &amp; Road Interchange</w:t>
            </w:r>
          </w:p>
        </w:tc>
        <w:tc>
          <w:tcPr>
            <w:tcW w:type="dxa" w:w="1522"/>
            <w:vAlign w:val="center"/>
          </w:tcPr>
          <w:p>
            <w:r>
              <w:rPr>
                <w:color w:val="1F2B37"/>
                <w:sz w:val="16"/>
              </w:rPr>
              <w:t>Bridges</w:t>
            </w:r>
          </w:p>
        </w:tc>
        <w:tc>
          <w:tcPr>
            <w:tcW w:type="dxa" w:w="1522"/>
            <w:vAlign w:val="center"/>
          </w:tcPr>
          <w:p>
            <w:r>
              <w:rPr>
                <w:color w:val="1F2B37"/>
                <w:sz w:val="16"/>
              </w:rPr>
              <w:t>Delayed</w:t>
            </w:r>
          </w:p>
        </w:tc>
        <w:tc>
          <w:tcPr>
            <w:tcW w:type="dxa" w:w="1522"/>
            <w:vAlign w:val="center"/>
          </w:tcPr>
          <w:p>
            <w:r>
              <w:rPr>
                <w:color w:val="1F2B37"/>
                <w:sz w:val="16"/>
              </w:rPr>
              <w:t>EGP 850,000,000</w:t>
            </w:r>
          </w:p>
        </w:tc>
        <w:tc>
          <w:tcPr>
            <w:tcW w:type="dxa" w:w="1522"/>
            <w:vAlign w:val="center"/>
          </w:tcPr>
          <w:p>
            <w:r>
              <w:rPr>
                <w:color w:val="1F2B37"/>
                <w:sz w:val="16"/>
              </w:rPr>
              <w:t>100.0%</w:t>
            </w:r>
          </w:p>
        </w:tc>
        <w:tc>
          <w:tcPr>
            <w:tcW w:type="dxa" w:w="1522"/>
            <w:vAlign w:val="center"/>
          </w:tcPr>
          <w:p>
            <w:r>
              <w:rPr>
                <w:color w:val="1F2B37"/>
                <w:sz w:val="16"/>
              </w:rPr>
              <w:t>17</w:t>
            </w:r>
          </w:p>
        </w:tc>
        <w:tc>
          <w:tcPr>
            <w:tcW w:type="dxa" w:w="1522"/>
            <w:vAlign w:val="center"/>
          </w:tcPr>
          <w:p>
            <w:r>
              <w:rPr>
                <w:color w:val="1F2B37"/>
                <w:sz w:val="16"/>
              </w:rPr>
              <w:t>No</w:t>
            </w:r>
          </w:p>
        </w:tc>
      </w:tr>
      <w:tr>
        <w:tc>
          <w:tcPr>
            <w:tcW w:type="dxa" w:w="1522"/>
            <w:vAlign w:val="center"/>
          </w:tcPr>
          <w:p>
            <w:r>
              <w:rPr>
                <w:color w:val="1F2B37"/>
                <w:sz w:val="16"/>
              </w:rPr>
              <w:t>ROYA-BIG PROJECT PHASE01 (B1-4)</w:t>
            </w:r>
          </w:p>
        </w:tc>
        <w:tc>
          <w:tcPr>
            <w:tcW w:type="dxa" w:w="1522"/>
            <w:vAlign w:val="center"/>
          </w:tcPr>
          <w:p>
            <w:r>
              <w:rPr>
                <w:color w:val="1F2B37"/>
                <w:sz w:val="16"/>
              </w:rPr>
              <w:t>Buildings</w:t>
            </w:r>
          </w:p>
        </w:tc>
        <w:tc>
          <w:tcPr>
            <w:tcW w:type="dxa" w:w="1522"/>
            <w:vAlign w:val="center"/>
          </w:tcPr>
          <w:p>
            <w:r>
              <w:rPr>
                <w:color w:val="1F2B37"/>
                <w:sz w:val="16"/>
              </w:rPr>
              <w:t>Active</w:t>
            </w:r>
          </w:p>
        </w:tc>
        <w:tc>
          <w:tcPr>
            <w:tcW w:type="dxa" w:w="1522"/>
            <w:vAlign w:val="center"/>
          </w:tcPr>
          <w:p>
            <w:r>
              <w:rPr>
                <w:color w:val="1F2B37"/>
                <w:sz w:val="16"/>
              </w:rPr>
              <w:t>EGP 0</w:t>
            </w:r>
          </w:p>
        </w:tc>
        <w:tc>
          <w:tcPr>
            <w:tcW w:type="dxa" w:w="1522"/>
            <w:vAlign w:val="center"/>
          </w:tcPr>
          <w:p>
            <w:r>
              <w:rPr>
                <w:color w:val="1F2B37"/>
                <w:sz w:val="16"/>
              </w:rPr>
              <w:t>100.0%</w:t>
            </w:r>
          </w:p>
        </w:tc>
        <w:tc>
          <w:tcPr>
            <w:tcW w:type="dxa" w:w="1522"/>
            <w:vAlign w:val="center"/>
          </w:tcPr>
          <w:p>
            <w:r>
              <w:rPr>
                <w:color w:val="1F2B37"/>
                <w:sz w:val="16"/>
              </w:rPr>
              <w:t>1363</w:t>
            </w:r>
          </w:p>
        </w:tc>
        <w:tc>
          <w:tcPr>
            <w:tcW w:type="dxa" w:w="1522"/>
            <w:vAlign w:val="center"/>
          </w:tcPr>
          <w:p>
            <w:r>
              <w:rPr>
                <w:color w:val="1F2B37"/>
                <w:sz w:val="16"/>
              </w:rPr>
              <w:t>Yes</w:t>
            </w:r>
          </w:p>
        </w:tc>
      </w:tr>
      <w:tr>
        <w:tc>
          <w:tcPr>
            <w:tcW w:type="dxa" w:w="1522"/>
            <w:vAlign w:val="center"/>
          </w:tcPr>
          <w:p>
            <w:r>
              <w:rPr>
                <w:color w:val="1F2B37"/>
                <w:sz w:val="16"/>
              </w:rPr>
              <w:t>Sophia Mall Mixed-Use Development</w:t>
            </w:r>
          </w:p>
        </w:tc>
        <w:tc>
          <w:tcPr>
            <w:tcW w:type="dxa" w:w="1522"/>
            <w:vAlign w:val="center"/>
          </w:tcPr>
          <w:p>
            <w:r>
              <w:rPr>
                <w:color w:val="1F2B37"/>
                <w:sz w:val="16"/>
              </w:rPr>
              <w:t>Buildings</w:t>
            </w:r>
          </w:p>
        </w:tc>
        <w:tc>
          <w:tcPr>
            <w:tcW w:type="dxa" w:w="1522"/>
            <w:vAlign w:val="center"/>
          </w:tcPr>
          <w:p>
            <w:r>
              <w:rPr>
                <w:color w:val="1F2B37"/>
                <w:sz w:val="16"/>
              </w:rPr>
              <w:t>On Track</w:t>
            </w:r>
          </w:p>
        </w:tc>
        <w:tc>
          <w:tcPr>
            <w:tcW w:type="dxa" w:w="1522"/>
            <w:vAlign w:val="center"/>
          </w:tcPr>
          <w:p>
            <w:r>
              <w:rPr>
                <w:color w:val="1F2B37"/>
                <w:sz w:val="16"/>
              </w:rPr>
              <w:t>EGP 2,100,000,000</w:t>
            </w:r>
          </w:p>
        </w:tc>
        <w:tc>
          <w:tcPr>
            <w:tcW w:type="dxa" w:w="1522"/>
            <w:vAlign w:val="center"/>
          </w:tcPr>
          <w:p>
            <w:r>
              <w:rPr>
                <w:color w:val="1F2B37"/>
                <w:sz w:val="16"/>
              </w:rPr>
              <w:t>100.0%</w:t>
            </w:r>
          </w:p>
        </w:tc>
        <w:tc>
          <w:tcPr>
            <w:tcW w:type="dxa" w:w="1522"/>
            <w:vAlign w:val="center"/>
          </w:tcPr>
          <w:p>
            <w:r>
              <w:rPr>
                <w:color w:val="1F2B37"/>
                <w:sz w:val="16"/>
              </w:rPr>
              <w:t>17</w:t>
            </w:r>
          </w:p>
        </w:tc>
        <w:tc>
          <w:tcPr>
            <w:tcW w:type="dxa" w:w="1522"/>
            <w:vAlign w:val="center"/>
          </w:tcPr>
          <w:p>
            <w:r>
              <w:rPr>
                <w:color w:val="1F2B37"/>
                <w:sz w:val="16"/>
              </w:rPr>
              <w:t>No</w:t>
            </w:r>
          </w:p>
        </w:tc>
      </w:tr>
      <w:tr>
        <w:tc>
          <w:tcPr>
            <w:tcW w:type="dxa" w:w="1522"/>
            <w:vAlign w:val="center"/>
          </w:tcPr>
          <w:p>
            <w:r>
              <w:rPr>
                <w:color w:val="1F2B37"/>
                <w:sz w:val="16"/>
              </w:rPr>
              <w:t>Suez Tunnel Civil &amp; MEP Works</w:t>
            </w:r>
          </w:p>
        </w:tc>
        <w:tc>
          <w:tcPr>
            <w:tcW w:type="dxa" w:w="1522"/>
            <w:vAlign w:val="center"/>
          </w:tcPr>
          <w:p>
            <w:r>
              <w:rPr>
                <w:color w:val="1F2B37"/>
                <w:sz w:val="16"/>
              </w:rPr>
              <w:t>Tunnels</w:t>
            </w:r>
          </w:p>
        </w:tc>
        <w:tc>
          <w:tcPr>
            <w:tcW w:type="dxa" w:w="1522"/>
            <w:vAlign w:val="center"/>
          </w:tcPr>
          <w:p>
            <w:r>
              <w:rPr>
                <w:color w:val="1F2B37"/>
                <w:sz w:val="16"/>
              </w:rPr>
              <w:t>Delayed</w:t>
            </w:r>
          </w:p>
        </w:tc>
        <w:tc>
          <w:tcPr>
            <w:tcW w:type="dxa" w:w="1522"/>
            <w:vAlign w:val="center"/>
          </w:tcPr>
          <w:p>
            <w:r>
              <w:rPr>
                <w:color w:val="1F2B37"/>
                <w:sz w:val="16"/>
              </w:rPr>
              <w:t>EGP 1,250,000,000</w:t>
            </w:r>
          </w:p>
        </w:tc>
        <w:tc>
          <w:tcPr>
            <w:tcW w:type="dxa" w:w="1522"/>
            <w:vAlign w:val="center"/>
          </w:tcPr>
          <w:p>
            <w:r>
              <w:rPr>
                <w:color w:val="1F2B37"/>
                <w:sz w:val="16"/>
              </w:rPr>
              <w:t>100.0%</w:t>
            </w:r>
          </w:p>
        </w:tc>
        <w:tc>
          <w:tcPr>
            <w:tcW w:type="dxa" w:w="1522"/>
            <w:vAlign w:val="center"/>
          </w:tcPr>
          <w:p>
            <w:r>
              <w:rPr>
                <w:color w:val="1F2B37"/>
                <w:sz w:val="16"/>
              </w:rPr>
              <w:t>17</w:t>
            </w:r>
          </w:p>
        </w:tc>
        <w:tc>
          <w:tcPr>
            <w:tcW w:type="dxa" w:w="1522"/>
            <w:vAlign w:val="center"/>
          </w:tcPr>
          <w:p>
            <w:r>
              <w:rPr>
                <w:color w:val="1F2B37"/>
                <w:sz w:val="16"/>
              </w:rPr>
              <w:t>No</w:t>
            </w:r>
          </w:p>
        </w:tc>
      </w:tr>
    </w:tbl>
    <w:p>
      <w:pPr>
        <w:pStyle w:val="Heading1"/>
      </w:pPr>
      <w:r>
        <w:rPr>
          <w:rFonts w:ascii="Arial" w:hAnsi="Arial"/>
          <w:color w:val="051F39"/>
        </w:rPr>
        <w:t>3. Sector Structure</w:t>
      </w:r>
    </w:p>
    <w:p>
      <w:pPr>
        <w:spacing w:after="80"/>
      </w:pPr>
      <w:r>
        <w:t>Projects are grouped by sector folders under `projects`. Adding a new sector folder automatically creates a new sector in the Decision Making Dashboard after the generator runs.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center"/>
            <w:shd w:fill="ECF0F3"/>
          </w:tcPr>
          <w:p>
            <w:r>
              <w:rPr>
                <w:b/>
                <w:color w:val="051F39"/>
                <w:sz w:val="17"/>
              </w:rPr>
              <w:t>Sector</w:t>
            </w:r>
          </w:p>
        </w:tc>
        <w:tc>
          <w:tcPr>
            <w:tcW w:type="dxa" w:w="1522"/>
            <w:vAlign w:val="center"/>
            <w:shd w:fill="ECF0F3"/>
          </w:tcPr>
          <w:p>
            <w:r>
              <w:rPr>
                <w:b/>
                <w:color w:val="051F39"/>
                <w:sz w:val="17"/>
              </w:rPr>
              <w:t>Projects</w:t>
            </w:r>
          </w:p>
        </w:tc>
        <w:tc>
          <w:tcPr>
            <w:tcW w:type="dxa" w:w="1522"/>
            <w:vAlign w:val="center"/>
            <w:shd w:fill="ECF0F3"/>
          </w:tcPr>
          <w:p>
            <w:r>
              <w:rPr>
                <w:b/>
                <w:color w:val="051F39"/>
                <w:sz w:val="17"/>
              </w:rPr>
              <w:t>Contract Value</w:t>
            </w:r>
          </w:p>
        </w:tc>
        <w:tc>
          <w:tcPr>
            <w:tcW w:type="dxa" w:w="1522"/>
            <w:vAlign w:val="center"/>
            <w:shd w:fill="ECF0F3"/>
          </w:tcPr>
          <w:p>
            <w:r>
              <w:rPr>
                <w:b/>
                <w:color w:val="051F39"/>
                <w:sz w:val="17"/>
              </w:rPr>
              <w:t>Progress</w:t>
            </w:r>
          </w:p>
        </w:tc>
        <w:tc>
          <w:tcPr>
            <w:tcW w:type="dxa" w:w="1522"/>
            <w:vAlign w:val="center"/>
            <w:shd w:fill="ECF0F3"/>
          </w:tcPr>
          <w:p>
            <w:r>
              <w:rPr>
                <w:b/>
                <w:color w:val="051F39"/>
                <w:sz w:val="17"/>
              </w:rPr>
              <w:t>SPI</w:t>
            </w:r>
          </w:p>
        </w:tc>
        <w:tc>
          <w:tcPr>
            <w:tcW w:type="dxa" w:w="1522"/>
            <w:vAlign w:val="center"/>
            <w:shd w:fill="ECF0F3"/>
          </w:tcPr>
          <w:p>
            <w:r>
              <w:rPr>
                <w:b/>
                <w:color w:val="051F39"/>
                <w:sz w:val="17"/>
              </w:rPr>
              <w:t>CPI</w:t>
            </w:r>
          </w:p>
        </w:tc>
        <w:tc>
          <w:tcPr>
            <w:tcW w:type="dxa" w:w="1522"/>
            <w:vAlign w:val="center"/>
            <w:shd w:fill="ECF0F3"/>
          </w:tcPr>
          <w:p>
            <w:r>
              <w:rPr>
                <w:b/>
                <w:color w:val="051F39"/>
                <w:sz w:val="17"/>
              </w:rPr>
              <w:t>Decisions</w:t>
            </w:r>
          </w:p>
        </w:tc>
      </w:tr>
      <w:tr>
        <w:tc>
          <w:tcPr>
            <w:tcW w:type="dxa" w:w="1522"/>
            <w:vAlign w:val="center"/>
          </w:tcPr>
          <w:p>
            <w:r>
              <w:rPr>
                <w:color w:val="1F2B37"/>
                <w:sz w:val="16"/>
              </w:rPr>
              <w:t>Bridges</w:t>
            </w:r>
          </w:p>
        </w:tc>
        <w:tc>
          <w:tcPr>
            <w:tcW w:type="dxa" w:w="1522"/>
            <w:vAlign w:val="center"/>
          </w:tcPr>
          <w:p>
            <w:r>
              <w:rPr>
                <w:color w:val="1F2B37"/>
                <w:sz w:val="16"/>
              </w:rPr>
              <w:t>1</w:t>
            </w:r>
          </w:p>
        </w:tc>
        <w:tc>
          <w:tcPr>
            <w:tcW w:type="dxa" w:w="1522"/>
            <w:vAlign w:val="center"/>
          </w:tcPr>
          <w:p>
            <w:r>
              <w:rPr>
                <w:color w:val="1F2B37"/>
                <w:sz w:val="16"/>
              </w:rPr>
              <w:t>EGP 850,000,000</w:t>
            </w:r>
          </w:p>
        </w:tc>
        <w:tc>
          <w:tcPr>
            <w:tcW w:type="dxa" w:w="1522"/>
            <w:vAlign w:val="center"/>
          </w:tcPr>
          <w:p>
            <w:r>
              <w:rPr>
                <w:color w:val="1F2B37"/>
                <w:sz w:val="16"/>
              </w:rPr>
              <w:t>100.0%</w:t>
            </w:r>
          </w:p>
        </w:tc>
        <w:tc>
          <w:tcPr>
            <w:tcW w:type="dxa" w:w="1522"/>
            <w:vAlign w:val="center"/>
          </w:tcPr>
          <w:p>
            <w:r>
              <w:rPr>
                <w:color w:val="1F2B37"/>
                <w:sz w:val="16"/>
              </w:rPr>
              <w:t>1.0</w:t>
            </w:r>
          </w:p>
        </w:tc>
        <w:tc>
          <w:tcPr>
            <w:tcW w:type="dxa" w:w="1522"/>
            <w:vAlign w:val="center"/>
          </w:tcPr>
          <w:p>
            <w:r>
              <w:rPr>
                <w:color w:val="1F2B37"/>
                <w:sz w:val="16"/>
              </w:rPr>
              <w:t>78.3</w:t>
            </w:r>
          </w:p>
        </w:tc>
        <w:tc>
          <w:tcPr>
            <w:tcW w:type="dxa" w:w="1522"/>
            <w:vAlign w:val="center"/>
          </w:tcPr>
          <w:p>
            <w:r>
              <w:rPr>
                <w:color w:val="1F2B37"/>
                <w:sz w:val="16"/>
              </w:rPr>
              <w:t>0</w:t>
            </w:r>
          </w:p>
        </w:tc>
      </w:tr>
      <w:tr>
        <w:tc>
          <w:tcPr>
            <w:tcW w:type="dxa" w:w="1522"/>
            <w:vAlign w:val="center"/>
          </w:tcPr>
          <w:p>
            <w:r>
              <w:rPr>
                <w:color w:val="1F2B37"/>
                <w:sz w:val="16"/>
              </w:rPr>
              <w:t>Buildings</w:t>
            </w:r>
          </w:p>
        </w:tc>
        <w:tc>
          <w:tcPr>
            <w:tcW w:type="dxa" w:w="1522"/>
            <w:vAlign w:val="center"/>
          </w:tcPr>
          <w:p>
            <w:r>
              <w:rPr>
                <w:color w:val="1F2B37"/>
                <w:sz w:val="16"/>
              </w:rPr>
              <w:t>2</w:t>
            </w:r>
          </w:p>
        </w:tc>
        <w:tc>
          <w:tcPr>
            <w:tcW w:type="dxa" w:w="1522"/>
            <w:vAlign w:val="center"/>
          </w:tcPr>
          <w:p>
            <w:r>
              <w:rPr>
                <w:color w:val="1F2B37"/>
                <w:sz w:val="16"/>
              </w:rPr>
              <w:t>EGP 2,100,000,000</w:t>
            </w:r>
          </w:p>
        </w:tc>
        <w:tc>
          <w:tcPr>
            <w:tcW w:type="dxa" w:w="1522"/>
            <w:vAlign w:val="center"/>
          </w:tcPr>
          <w:p>
            <w:r>
              <w:rPr>
                <w:color w:val="1F2B37"/>
                <w:sz w:val="16"/>
              </w:rPr>
              <w:t>100.0%</w:t>
            </w:r>
          </w:p>
        </w:tc>
        <w:tc>
          <w:tcPr>
            <w:tcW w:type="dxa" w:w="1522"/>
            <w:vAlign w:val="center"/>
          </w:tcPr>
          <w:p>
            <w:r>
              <w:rPr>
                <w:color w:val="1F2B37"/>
                <w:sz w:val="16"/>
              </w:rPr>
              <w:t>0.5</w:t>
            </w:r>
          </w:p>
        </w:tc>
        <w:tc>
          <w:tcPr>
            <w:tcW w:type="dxa" w:w="1522"/>
            <w:vAlign w:val="center"/>
          </w:tcPr>
          <w:p>
            <w:r>
              <w:rPr>
                <w:color w:val="1F2B37"/>
                <w:sz w:val="16"/>
              </w:rPr>
              <w:t>41.92</w:t>
            </w:r>
          </w:p>
        </w:tc>
        <w:tc>
          <w:tcPr>
            <w:tcW w:type="dxa" w:w="1522"/>
            <w:vAlign w:val="center"/>
          </w:tcPr>
          <w:p>
            <w:r>
              <w:rPr>
                <w:color w:val="1F2B37"/>
                <w:sz w:val="16"/>
              </w:rPr>
              <w:t>1</w:t>
            </w:r>
          </w:p>
        </w:tc>
      </w:tr>
      <w:tr>
        <w:tc>
          <w:tcPr>
            <w:tcW w:type="dxa" w:w="1522"/>
            <w:vAlign w:val="center"/>
          </w:tcPr>
          <w:p>
            <w:r>
              <w:rPr>
                <w:color w:val="1F2B37"/>
                <w:sz w:val="16"/>
              </w:rPr>
              <w:t>Tunnels</w:t>
            </w:r>
          </w:p>
        </w:tc>
        <w:tc>
          <w:tcPr>
            <w:tcW w:type="dxa" w:w="1522"/>
            <w:vAlign w:val="center"/>
          </w:tcPr>
          <w:p>
            <w:r>
              <w:rPr>
                <w:color w:val="1F2B37"/>
                <w:sz w:val="16"/>
              </w:rPr>
              <w:t>1</w:t>
            </w:r>
          </w:p>
        </w:tc>
        <w:tc>
          <w:tcPr>
            <w:tcW w:type="dxa" w:w="1522"/>
            <w:vAlign w:val="center"/>
          </w:tcPr>
          <w:p>
            <w:r>
              <w:rPr>
                <w:color w:val="1F2B37"/>
                <w:sz w:val="16"/>
              </w:rPr>
              <w:t>EGP 1,250,000,000</w:t>
            </w:r>
          </w:p>
        </w:tc>
        <w:tc>
          <w:tcPr>
            <w:tcW w:type="dxa" w:w="1522"/>
            <w:vAlign w:val="center"/>
          </w:tcPr>
          <w:p>
            <w:r>
              <w:rPr>
                <w:color w:val="1F2B37"/>
                <w:sz w:val="16"/>
              </w:rPr>
              <w:t>100.0%</w:t>
            </w:r>
          </w:p>
        </w:tc>
        <w:tc>
          <w:tcPr>
            <w:tcW w:type="dxa" w:w="1522"/>
            <w:vAlign w:val="center"/>
          </w:tcPr>
          <w:p>
            <w:r>
              <w:rPr>
                <w:color w:val="1F2B37"/>
                <w:sz w:val="16"/>
              </w:rPr>
              <w:t>1.0</w:t>
            </w:r>
          </w:p>
        </w:tc>
        <w:tc>
          <w:tcPr>
            <w:tcW w:type="dxa" w:w="1522"/>
            <w:vAlign w:val="center"/>
          </w:tcPr>
          <w:p>
            <w:r>
              <w:rPr>
                <w:color w:val="1F2B37"/>
                <w:sz w:val="16"/>
              </w:rPr>
              <w:t>78.3</w:t>
            </w:r>
          </w:p>
        </w:tc>
        <w:tc>
          <w:tcPr>
            <w:tcW w:type="dxa" w:w="1522"/>
            <w:vAlign w:val="center"/>
          </w:tcPr>
          <w:p>
            <w:r>
              <w:rPr>
                <w:color w:val="1F2B37"/>
                <w:sz w:val="16"/>
              </w:rPr>
              <w:t>0</w:t>
            </w:r>
          </w:p>
        </w:tc>
      </w:tr>
    </w:tbl>
    <w:p>
      <w:pPr>
        <w:pStyle w:val="Heading1"/>
      </w:pPr>
      <w:r>
        <w:rPr>
          <w:rFonts w:ascii="Arial" w:hAnsi="Arial"/>
          <w:color w:val="051F39"/>
        </w:rPr>
        <w:t>4. High-Level Architecture</w:t>
      </w:r>
    </w:p>
    <w:p>
      <w:pPr>
        <w:ind w:left="288"/>
      </w:pPr>
      <w:r>
        <w:rPr>
          <w:rFonts w:ascii="Consolas" w:hAnsi="Consolas"/>
          <w:color w:val="3C4852"/>
          <w:sz w:val="16"/>
        </w:rPr>
        <w:t>flowchart LR</w:t>
        <w:br/>
        <w:t xml:space="preserve">    A["Project folders"] --&gt; B["Python data generator"]</w:t>
        <w:br/>
        <w:t xml:space="preserve">    B --&gt; C["website/public/data JSON"]</w:t>
        <w:br/>
        <w:t xml:space="preserve">    B --&gt; D["website/public/generated HTML outputs"]</w:t>
        <w:br/>
        <w:t xml:space="preserve">    C --&gt; E["Next.js website"]</w:t>
        <w:br/>
        <w:t xml:space="preserve">    D --&gt; E</w:t>
        <w:br/>
        <w:t xml:space="preserve">    E --&gt; F["Vercel public URL"]</w:t>
        <w:br/>
        <w:t xml:space="preserve">    A --&gt; G["Streamlit original app"]</w:t>
        <w:br/>
        <w:t xml:space="preserve">    G --&gt; H["Advanced reports, TIA, claims, exports"]</w:t>
        <w:br/>
        <w:t xml:space="preserve">    I["RUN_FULL_PROJECT_NO_GIT_SYNC.bat"] --&gt; J["GitHub repository"]</w:t>
        <w:br/>
        <w:t xml:space="preserve">    J --&gt; F</w:t>
      </w:r>
    </w:p>
    <w:p>
      <w:pPr>
        <w:pStyle w:val="Heading1"/>
      </w:pPr>
      <w:r>
        <w:rPr>
          <w:rFonts w:ascii="Arial" w:hAnsi="Arial"/>
          <w:color w:val="051F39"/>
        </w:rPr>
        <w:t>5. Main User Flow</w:t>
      </w:r>
    </w:p>
    <w:p>
      <w:pPr>
        <w:spacing w:after="80"/>
      </w:pPr>
      <w:r>
        <w:t>1. Open the website.</w:t>
      </w:r>
    </w:p>
    <w:p>
      <w:pPr>
        <w:spacing w:after="80"/>
      </w:pPr>
      <w:r>
        <w:t>2. Decision Making Dashboard appears first.</w:t>
      </w:r>
    </w:p>
    <w:p>
      <w:pPr>
        <w:spacing w:after="80"/>
      </w:pPr>
      <w:r>
        <w:t>3. Choose a project from the Active Project dropdown.</w:t>
      </w:r>
    </w:p>
    <w:p>
      <w:pPr>
        <w:spacing w:after="80"/>
      </w:pPr>
      <w:r>
        <w:t>4. The same page updates the Project Workspace tabs.</w:t>
      </w:r>
    </w:p>
    <w:p>
      <w:pPr>
        <w:spacing w:after="80"/>
      </w:pPr>
      <w:r>
        <w:t>5. Use the old-app-style tabs for Overview, EBS/WBS, Activities, Milestones, S-Curve, EVM, Contracts, Risk Matrix, Letters Intelligence, Delay Analysis, Contract &amp; Claims, Conference, and Output Studio.</w:t>
      </w:r>
    </w:p>
    <w:p>
      <w:pPr>
        <w:spacing w:after="80"/>
      </w:pPr>
      <w:r>
        <w:t>6. Update source files in the selected project folder.</w:t>
      </w:r>
    </w:p>
    <w:p>
      <w:pPr>
        <w:spacing w:after="80"/>
      </w:pPr>
      <w:r>
        <w:t>7. Run the website data generator and sync.</w:t>
      </w:r>
    </w:p>
    <w:p>
      <w:pPr>
        <w:spacing w:after="80"/>
      </w:pPr>
      <w:r>
        <w:t>8. Vercel updates the public dashboard from GitHub.</w:t>
      </w:r>
    </w:p>
    <w:p>
      <w:pPr>
        <w:pStyle w:val="Heading1"/>
      </w:pPr>
      <w:r>
        <w:rPr>
          <w:rFonts w:ascii="Arial" w:hAnsi="Arial"/>
          <w:color w:val="051F39"/>
        </w:rPr>
        <w:t>6. App Tabs and Features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ECF0F3"/>
          </w:tcPr>
          <w:p>
            <w:r>
              <w:rPr>
                <w:b/>
                <w:color w:val="051F39"/>
                <w:sz w:val="17"/>
              </w:rPr>
              <w:t>Tab / Page</w:t>
            </w:r>
          </w:p>
        </w:tc>
        <w:tc>
          <w:tcPr>
            <w:tcW w:type="dxa" w:w="3552"/>
            <w:vAlign w:val="center"/>
            <w:shd w:fill="ECF0F3"/>
          </w:tcPr>
          <w:p>
            <w:r>
              <w:rPr>
                <w:b/>
                <w:color w:val="051F39"/>
                <w:sz w:val="17"/>
              </w:rPr>
              <w:t>Purpose</w:t>
            </w:r>
          </w:p>
        </w:tc>
        <w:tc>
          <w:tcPr>
            <w:tcW w:type="dxa" w:w="3552"/>
            <w:vAlign w:val="center"/>
            <w:shd w:fill="ECF0F3"/>
          </w:tcPr>
          <w:p>
            <w:r>
              <w:rPr>
                <w:b/>
                <w:color w:val="051F39"/>
                <w:sz w:val="17"/>
              </w:rPr>
              <w:t>Main Data or Behavior</w:t>
            </w:r>
          </w:p>
        </w:tc>
      </w:tr>
      <w:tr>
        <w:tc>
          <w:tcPr>
            <w:tcW w:type="dxa" w:w="3552"/>
            <w:vAlign w:val="center"/>
          </w:tcPr>
          <w:p>
            <w:r>
              <w:rPr>
                <w:color w:val="1F2B37"/>
                <w:sz w:val="16"/>
              </w:rPr>
              <w:t>Decision Making Dashboard</w:t>
            </w:r>
          </w:p>
        </w:tc>
        <w:tc>
          <w:tcPr>
            <w:tcW w:type="dxa" w:w="3552"/>
            <w:vAlign w:val="center"/>
          </w:tcPr>
          <w:p>
            <w:r>
              <w:rPr>
                <w:color w:val="1F2B37"/>
                <w:sz w:val="16"/>
              </w:rPr>
              <w:t>Top-management portfolio view</w:t>
            </w:r>
          </w:p>
        </w:tc>
        <w:tc>
          <w:tcPr>
            <w:tcW w:type="dxa" w:w="3552"/>
            <w:vAlign w:val="center"/>
          </w:tcPr>
          <w:p>
            <w:r>
              <w:rPr>
                <w:color w:val="1F2B37"/>
                <w:sz w:val="16"/>
              </w:rPr>
              <w:t>Aggregates all project JSON into portfolio KPIs, sector view, project console, and report viewer.</w:t>
            </w:r>
          </w:p>
        </w:tc>
      </w:tr>
      <w:tr>
        <w:tc>
          <w:tcPr>
            <w:tcW w:type="dxa" w:w="3552"/>
            <w:vAlign w:val="center"/>
          </w:tcPr>
          <w:p>
            <w:r>
              <w:rPr>
                <w:color w:val="1F2B37"/>
                <w:sz w:val="16"/>
              </w:rPr>
              <w:t>Overview</w:t>
            </w:r>
          </w:p>
        </w:tc>
        <w:tc>
          <w:tcPr>
            <w:tcW w:type="dxa" w:w="3552"/>
            <w:vAlign w:val="center"/>
          </w:tcPr>
          <w:p>
            <w:r>
              <w:rPr>
                <w:color w:val="1F2B37"/>
                <w:sz w:val="16"/>
              </w:rPr>
              <w:t>Project executive summary</w:t>
            </w:r>
          </w:p>
        </w:tc>
        <w:tc>
          <w:tcPr>
            <w:tcW w:type="dxa" w:w="3552"/>
            <w:vAlign w:val="center"/>
          </w:tcPr>
          <w:p>
            <w:r>
              <w:rPr>
                <w:color w:val="1F2B37"/>
                <w:sz w:val="16"/>
              </w:rPr>
              <w:t>Shows project status, value, progress, remaining value, source metadata, and overview table.</w:t>
            </w:r>
          </w:p>
        </w:tc>
      </w:tr>
      <w:tr>
        <w:tc>
          <w:tcPr>
            <w:tcW w:type="dxa" w:w="3552"/>
            <w:vAlign w:val="center"/>
          </w:tcPr>
          <w:p>
            <w:r>
              <w:rPr>
                <w:color w:val="1F2B37"/>
                <w:sz w:val="16"/>
              </w:rPr>
              <w:t>EBS / WBS</w:t>
            </w:r>
          </w:p>
        </w:tc>
        <w:tc>
          <w:tcPr>
            <w:tcW w:type="dxa" w:w="3552"/>
            <w:vAlign w:val="center"/>
          </w:tcPr>
          <w:p>
            <w:r>
              <w:rPr>
                <w:color w:val="1F2B37"/>
                <w:sz w:val="16"/>
              </w:rPr>
              <w:t>Work breakdown view</w:t>
            </w:r>
          </w:p>
        </w:tc>
        <w:tc>
          <w:tcPr>
            <w:tcW w:type="dxa" w:w="3552"/>
            <w:vAlign w:val="center"/>
          </w:tcPr>
          <w:p>
            <w:r>
              <w:rPr>
                <w:color w:val="1F2B37"/>
                <w:sz w:val="16"/>
              </w:rPr>
              <w:t>Shows WBS source table and master dashboard embed for the selected project.</w:t>
            </w:r>
          </w:p>
        </w:tc>
      </w:tr>
      <w:tr>
        <w:tc>
          <w:tcPr>
            <w:tcW w:type="dxa" w:w="3552"/>
            <w:vAlign w:val="center"/>
          </w:tcPr>
          <w:p>
            <w:r>
              <w:rPr>
                <w:color w:val="1F2B37"/>
                <w:sz w:val="16"/>
              </w:rPr>
              <w:t>Activities</w:t>
            </w:r>
          </w:p>
        </w:tc>
        <w:tc>
          <w:tcPr>
            <w:tcW w:type="dxa" w:w="3552"/>
            <w:vAlign w:val="center"/>
          </w:tcPr>
          <w:p>
            <w:r>
              <w:rPr>
                <w:color w:val="1F2B37"/>
                <w:sz w:val="16"/>
              </w:rPr>
              <w:t>Activity register</w:t>
            </w:r>
          </w:p>
        </w:tc>
        <w:tc>
          <w:tcPr>
            <w:tcW w:type="dxa" w:w="3552"/>
            <w:vAlign w:val="center"/>
          </w:tcPr>
          <w:p>
            <w:r>
              <w:rPr>
                <w:color w:val="1F2B37"/>
                <w:sz w:val="16"/>
              </w:rPr>
              <w:t>Shows activity, progress, EVM, and delay event counts with source-table preview.</w:t>
            </w:r>
          </w:p>
        </w:tc>
      </w:tr>
      <w:tr>
        <w:tc>
          <w:tcPr>
            <w:tcW w:type="dxa" w:w="3552"/>
            <w:vAlign w:val="center"/>
          </w:tcPr>
          <w:p>
            <w:r>
              <w:rPr>
                <w:color w:val="1F2B37"/>
                <w:sz w:val="16"/>
              </w:rPr>
              <w:t>Milestones</w:t>
            </w:r>
          </w:p>
        </w:tc>
        <w:tc>
          <w:tcPr>
            <w:tcW w:type="dxa" w:w="3552"/>
            <w:vAlign w:val="center"/>
          </w:tcPr>
          <w:p>
            <w:r>
              <w:rPr>
                <w:color w:val="1F2B37"/>
                <w:sz w:val="16"/>
              </w:rPr>
              <w:t>Milestone tracking</w:t>
            </w:r>
          </w:p>
        </w:tc>
        <w:tc>
          <w:tcPr>
            <w:tcW w:type="dxa" w:w="3552"/>
            <w:vAlign w:val="center"/>
          </w:tcPr>
          <w:p>
            <w:r>
              <w:rPr>
                <w:color w:val="1F2B37"/>
                <w:sz w:val="16"/>
              </w:rPr>
              <w:t>Shows milestone records, SPI schedule health, delay days, and milestone source table.</w:t>
            </w:r>
          </w:p>
        </w:tc>
      </w:tr>
      <w:tr>
        <w:tc>
          <w:tcPr>
            <w:tcW w:type="dxa" w:w="3552"/>
            <w:vAlign w:val="center"/>
          </w:tcPr>
          <w:p>
            <w:r>
              <w:rPr>
                <w:color w:val="1F2B37"/>
                <w:sz w:val="16"/>
              </w:rPr>
              <w:t>S-Curve</w:t>
            </w:r>
          </w:p>
        </w:tc>
        <w:tc>
          <w:tcPr>
            <w:tcW w:type="dxa" w:w="3552"/>
            <w:vAlign w:val="center"/>
          </w:tcPr>
          <w:p>
            <w:r>
              <w:rPr>
                <w:color w:val="1F2B37"/>
                <w:sz w:val="16"/>
              </w:rPr>
              <w:t>Progress trend</w:t>
            </w:r>
          </w:p>
        </w:tc>
        <w:tc>
          <w:tcPr>
            <w:tcW w:type="dxa" w:w="3552"/>
            <w:vAlign w:val="center"/>
          </w:tcPr>
          <w:p>
            <w:r>
              <w:rPr>
                <w:color w:val="1F2B37"/>
                <w:sz w:val="16"/>
              </w:rPr>
              <w:t>Shows S-curve source status and linked executive dashboard HTML.</w:t>
            </w:r>
          </w:p>
        </w:tc>
      </w:tr>
      <w:tr>
        <w:tc>
          <w:tcPr>
            <w:tcW w:type="dxa" w:w="3552"/>
            <w:vAlign w:val="center"/>
          </w:tcPr>
          <w:p>
            <w:r>
              <w:rPr>
                <w:color w:val="1F2B37"/>
                <w:sz w:val="16"/>
              </w:rPr>
              <w:t>EVM</w:t>
            </w:r>
          </w:p>
        </w:tc>
        <w:tc>
          <w:tcPr>
            <w:tcW w:type="dxa" w:w="3552"/>
            <w:vAlign w:val="center"/>
          </w:tcPr>
          <w:p>
            <w:r>
              <w:rPr>
                <w:color w:val="1F2B37"/>
                <w:sz w:val="16"/>
              </w:rPr>
              <w:t>Earned value management</w:t>
            </w:r>
          </w:p>
        </w:tc>
        <w:tc>
          <w:tcPr>
            <w:tcW w:type="dxa" w:w="3552"/>
            <w:vAlign w:val="center"/>
          </w:tcPr>
          <w:p>
            <w:r>
              <w:rPr>
                <w:color w:val="1F2B37"/>
                <w:sz w:val="16"/>
              </w:rPr>
              <w:t>Calculates BAC, PV, EV, AC, SPI, CPI from selected project data.</w:t>
            </w:r>
          </w:p>
        </w:tc>
      </w:tr>
      <w:tr>
        <w:tc>
          <w:tcPr>
            <w:tcW w:type="dxa" w:w="3552"/>
            <w:vAlign w:val="center"/>
          </w:tcPr>
          <w:p>
            <w:r>
              <w:rPr>
                <w:color w:val="1F2B37"/>
                <w:sz w:val="16"/>
              </w:rPr>
              <w:t>Contracts</w:t>
            </w:r>
          </w:p>
        </w:tc>
        <w:tc>
          <w:tcPr>
            <w:tcW w:type="dxa" w:w="3552"/>
            <w:vAlign w:val="center"/>
          </w:tcPr>
          <w:p>
            <w:r>
              <w:rPr>
                <w:color w:val="1F2B37"/>
                <w:sz w:val="16"/>
              </w:rPr>
              <w:t>Commercial position</w:t>
            </w:r>
          </w:p>
        </w:tc>
        <w:tc>
          <w:tcPr>
            <w:tcW w:type="dxa" w:w="3552"/>
            <w:vAlign w:val="center"/>
          </w:tcPr>
          <w:p>
            <w:r>
              <w:rPr>
                <w:color w:val="1F2B37"/>
                <w:sz w:val="16"/>
              </w:rPr>
              <w:t>Shows contract value, paid, spent, remaining value, contracts and payments previews.</w:t>
            </w:r>
          </w:p>
        </w:tc>
      </w:tr>
      <w:tr>
        <w:tc>
          <w:tcPr>
            <w:tcW w:type="dxa" w:w="3552"/>
            <w:vAlign w:val="center"/>
          </w:tcPr>
          <w:p>
            <w:r>
              <w:rPr>
                <w:color w:val="1F2B37"/>
                <w:sz w:val="16"/>
              </w:rPr>
              <w:t>Risk Matrix</w:t>
            </w:r>
          </w:p>
        </w:tc>
        <w:tc>
          <w:tcPr>
            <w:tcW w:type="dxa" w:w="3552"/>
            <w:vAlign w:val="center"/>
          </w:tcPr>
          <w:p>
            <w:r>
              <w:rPr>
                <w:color w:val="1F2B37"/>
                <w:sz w:val="16"/>
              </w:rPr>
              <w:t>Risk and decision signals</w:t>
            </w:r>
          </w:p>
        </w:tc>
        <w:tc>
          <w:tcPr>
            <w:tcW w:type="dxa" w:w="3552"/>
            <w:vAlign w:val="center"/>
          </w:tcPr>
          <w:p>
            <w:r>
              <w:rPr>
                <w:color w:val="1F2B37"/>
                <w:sz w:val="16"/>
              </w:rPr>
              <w:t>Shows risk score, risk rows, decision trigger, delay exposure, and risk table.</w:t>
            </w:r>
          </w:p>
        </w:tc>
      </w:tr>
      <w:tr>
        <w:tc>
          <w:tcPr>
            <w:tcW w:type="dxa" w:w="3552"/>
            <w:vAlign w:val="center"/>
          </w:tcPr>
          <w:p>
            <w:r>
              <w:rPr>
                <w:color w:val="1F2B37"/>
                <w:sz w:val="16"/>
              </w:rPr>
              <w:t>Letters Intelligence</w:t>
            </w:r>
          </w:p>
        </w:tc>
        <w:tc>
          <w:tcPr>
            <w:tcW w:type="dxa" w:w="3552"/>
            <w:vAlign w:val="center"/>
          </w:tcPr>
          <w:p>
            <w:r>
              <w:rPr>
                <w:color w:val="1F2B37"/>
                <w:sz w:val="16"/>
              </w:rPr>
              <w:t>Correspondence intelligence</w:t>
            </w:r>
          </w:p>
        </w:tc>
        <w:tc>
          <w:tcPr>
            <w:tcW w:type="dxa" w:w="3552"/>
            <w:vAlign w:val="center"/>
          </w:tcPr>
          <w:p>
            <w:r>
              <w:rPr>
                <w:color w:val="1F2B37"/>
                <w:sz w:val="16"/>
              </w:rPr>
              <w:t>Detects inbox files and workbook, shows letter inventory and generated dashboard output.</w:t>
            </w:r>
          </w:p>
        </w:tc>
      </w:tr>
      <w:tr>
        <w:tc>
          <w:tcPr>
            <w:tcW w:type="dxa" w:w="3552"/>
            <w:vAlign w:val="center"/>
          </w:tcPr>
          <w:p>
            <w:r>
              <w:rPr>
                <w:color w:val="1F2B37"/>
                <w:sz w:val="16"/>
              </w:rPr>
              <w:t>Delay Analysis</w:t>
            </w:r>
          </w:p>
        </w:tc>
        <w:tc>
          <w:tcPr>
            <w:tcW w:type="dxa" w:w="3552"/>
            <w:vAlign w:val="center"/>
          </w:tcPr>
          <w:p>
            <w:r>
              <w:rPr>
                <w:color w:val="1F2B37"/>
                <w:sz w:val="16"/>
              </w:rPr>
              <w:t>Time Impact Analysis</w:t>
            </w:r>
          </w:p>
        </w:tc>
        <w:tc>
          <w:tcPr>
            <w:tcW w:type="dxa" w:w="3552"/>
            <w:vAlign w:val="center"/>
          </w:tcPr>
          <w:p>
            <w:r>
              <w:rPr>
                <w:color w:val="1F2B37"/>
                <w:sz w:val="16"/>
              </w:rPr>
              <w:t>Detects TIA templates, missing files, column previews, MEP schedule, BL schedule, and generated delay charts.</w:t>
            </w:r>
          </w:p>
        </w:tc>
      </w:tr>
      <w:tr>
        <w:tc>
          <w:tcPr>
            <w:tcW w:type="dxa" w:w="3552"/>
            <w:vAlign w:val="center"/>
          </w:tcPr>
          <w:p>
            <w:r>
              <w:rPr>
                <w:color w:val="1F2B37"/>
                <w:sz w:val="16"/>
              </w:rPr>
              <w:t>Contract &amp; Claims</w:t>
            </w:r>
          </w:p>
        </w:tc>
        <w:tc>
          <w:tcPr>
            <w:tcW w:type="dxa" w:w="3552"/>
            <w:vAlign w:val="center"/>
          </w:tcPr>
          <w:p>
            <w:r>
              <w:rPr>
                <w:color w:val="1F2B37"/>
                <w:sz w:val="16"/>
              </w:rPr>
              <w:t>Claims knowledge base</w:t>
            </w:r>
          </w:p>
        </w:tc>
        <w:tc>
          <w:tcPr>
            <w:tcW w:type="dxa" w:w="3552"/>
            <w:vAlign w:val="center"/>
          </w:tcPr>
          <w:p>
            <w:r>
              <w:rPr>
                <w:color w:val="1F2B37"/>
                <w:sz w:val="16"/>
              </w:rPr>
              <w:t>Detects contract files, clause library, SQLite tables, evidence, and claim exposure.</w:t>
            </w:r>
          </w:p>
        </w:tc>
      </w:tr>
      <w:tr>
        <w:tc>
          <w:tcPr>
            <w:tcW w:type="dxa" w:w="3552"/>
            <w:vAlign w:val="center"/>
          </w:tcPr>
          <w:p>
            <w:r>
              <w:rPr>
                <w:color w:val="1F2B37"/>
                <w:sz w:val="16"/>
              </w:rPr>
              <w:t>Conference</w:t>
            </w:r>
          </w:p>
        </w:tc>
        <w:tc>
          <w:tcPr>
            <w:tcW w:type="dxa" w:w="3552"/>
            <w:vAlign w:val="center"/>
          </w:tcPr>
          <w:p>
            <w:r>
              <w:rPr>
                <w:color w:val="1F2B37"/>
                <w:sz w:val="16"/>
              </w:rPr>
              <w:t>Meeting support</w:t>
            </w:r>
          </w:p>
        </w:tc>
        <w:tc>
          <w:tcPr>
            <w:tcW w:type="dxa" w:w="3552"/>
            <w:vAlign w:val="center"/>
          </w:tcPr>
          <w:p>
            <w:r>
              <w:rPr>
                <w:color w:val="1F2B37"/>
                <w:sz w:val="16"/>
              </w:rPr>
              <w:t>Reads meeting_url from project.json and provides same-page conference panel and join button.</w:t>
            </w:r>
          </w:p>
        </w:tc>
      </w:tr>
      <w:tr>
        <w:tc>
          <w:tcPr>
            <w:tcW w:type="dxa" w:w="3552"/>
            <w:vAlign w:val="center"/>
          </w:tcPr>
          <w:p>
            <w:r>
              <w:rPr>
                <w:color w:val="1F2B37"/>
                <w:sz w:val="16"/>
              </w:rPr>
              <w:t>Output Studio</w:t>
            </w:r>
          </w:p>
        </w:tc>
        <w:tc>
          <w:tcPr>
            <w:tcW w:type="dxa" w:w="3552"/>
            <w:vAlign w:val="center"/>
          </w:tcPr>
          <w:p>
            <w:r>
              <w:rPr>
                <w:color w:val="1F2B37"/>
                <w:sz w:val="16"/>
              </w:rPr>
              <w:t>Generated reports</w:t>
            </w:r>
          </w:p>
        </w:tc>
        <w:tc>
          <w:tcPr>
            <w:tcW w:type="dxa" w:w="3552"/>
            <w:vAlign w:val="center"/>
          </w:tcPr>
          <w:p>
            <w:r>
              <w:rPr>
                <w:color w:val="1F2B37"/>
                <w:sz w:val="16"/>
              </w:rPr>
              <w:t>Shows four automatic HTML outputs and watcher/sync status for the selected project.</w:t>
            </w:r>
          </w:p>
        </w:tc>
      </w:tr>
    </w:tbl>
    <w:p>
      <w:pPr>
        <w:pStyle w:val="Heading1"/>
      </w:pPr>
      <w:r>
        <w:rPr>
          <w:rFonts w:ascii="Arial" w:hAnsi="Arial"/>
          <w:color w:val="051F39"/>
        </w:rPr>
        <w:t>7. Folder Guide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ECF0F3"/>
          </w:tcPr>
          <w:p>
            <w:r>
              <w:rPr>
                <w:b/>
                <w:color w:val="051F39"/>
                <w:sz w:val="17"/>
              </w:rPr>
              <w:t>Folder / File Area</w:t>
            </w:r>
          </w:p>
        </w:tc>
        <w:tc>
          <w:tcPr>
            <w:tcW w:type="dxa" w:w="3552"/>
            <w:vAlign w:val="center"/>
            <w:shd w:fill="ECF0F3"/>
          </w:tcPr>
          <w:p>
            <w:r>
              <w:rPr>
                <w:b/>
                <w:color w:val="051F39"/>
                <w:sz w:val="17"/>
              </w:rPr>
              <w:t>Purpose</w:t>
            </w:r>
          </w:p>
        </w:tc>
        <w:tc>
          <w:tcPr>
            <w:tcW w:type="dxa" w:w="3552"/>
            <w:vAlign w:val="center"/>
            <w:shd w:fill="ECF0F3"/>
          </w:tcPr>
          <w:p>
            <w:r>
              <w:rPr>
                <w:b/>
                <w:color w:val="051F39"/>
                <w:sz w:val="17"/>
              </w:rPr>
              <w:t>How It Is Used</w:t>
            </w:r>
          </w:p>
        </w:tc>
      </w:tr>
      <w:tr>
        <w:tc>
          <w:tcPr>
            <w:tcW w:type="dxa" w:w="3552"/>
            <w:vAlign w:val="center"/>
          </w:tcPr>
          <w:p>
            <w:r>
              <w:rPr>
                <w:color w:val="1F2B37"/>
                <w:sz w:val="16"/>
              </w:rPr>
              <w:t>projects/{Sector}/{Project}</w:t>
            </w:r>
          </w:p>
        </w:tc>
        <w:tc>
          <w:tcPr>
            <w:tcW w:type="dxa" w:w="3552"/>
            <w:vAlign w:val="center"/>
          </w:tcPr>
          <w:p>
            <w:r>
              <w:rPr>
                <w:color w:val="1F2B37"/>
                <w:sz w:val="16"/>
              </w:rPr>
              <w:t>Main project workspace</w:t>
            </w:r>
          </w:p>
        </w:tc>
        <w:tc>
          <w:tcPr>
            <w:tcW w:type="dxa" w:w="3552"/>
            <w:vAlign w:val="center"/>
          </w:tcPr>
          <w:p>
            <w:r>
              <w:rPr>
                <w:color w:val="1F2B37"/>
                <w:sz w:val="16"/>
              </w:rPr>
              <w:t>Add future projects here under sector folders. The generator detects them automatically.</w:t>
            </w:r>
          </w:p>
        </w:tc>
      </w:tr>
      <w:tr>
        <w:tc>
          <w:tcPr>
            <w:tcW w:type="dxa" w:w="3552"/>
            <w:vAlign w:val="center"/>
          </w:tcPr>
          <w:p>
            <w:r>
              <w:rPr>
                <w:color w:val="1F2B37"/>
                <w:sz w:val="16"/>
              </w:rPr>
              <w:t>01-data/import_templates</w:t>
            </w:r>
          </w:p>
        </w:tc>
        <w:tc>
          <w:tcPr>
            <w:tcW w:type="dxa" w:w="3552"/>
            <w:vAlign w:val="center"/>
          </w:tcPr>
          <w:p>
            <w:r>
              <w:rPr>
                <w:color w:val="1F2B37"/>
                <w:sz w:val="16"/>
              </w:rPr>
              <w:t>Core project data</w:t>
            </w:r>
          </w:p>
        </w:tc>
        <w:tc>
          <w:tcPr>
            <w:tcW w:type="dxa" w:w="3552"/>
            <w:vAlign w:val="center"/>
          </w:tcPr>
          <w:p>
            <w:r>
              <w:rPr>
                <w:color w:val="1F2B37"/>
                <w:sz w:val="16"/>
              </w:rPr>
              <w:t>CSV files for projects, activities, progress, EVM, payments, contracts, claims, risks, milestones, WBS, S-curve.</w:t>
            </w:r>
          </w:p>
        </w:tc>
      </w:tr>
      <w:tr>
        <w:tc>
          <w:tcPr>
            <w:tcW w:type="dxa" w:w="3552"/>
            <w:vAlign w:val="center"/>
          </w:tcPr>
          <w:p>
            <w:r>
              <w:rPr>
                <w:color w:val="1F2B37"/>
                <w:sz w:val="16"/>
              </w:rPr>
              <w:t>02-delay_analysis</w:t>
            </w:r>
          </w:p>
        </w:tc>
        <w:tc>
          <w:tcPr>
            <w:tcW w:type="dxa" w:w="3552"/>
            <w:vAlign w:val="center"/>
          </w:tcPr>
          <w:p>
            <w:r>
              <w:rPr>
                <w:color w:val="1F2B37"/>
                <w:sz w:val="16"/>
              </w:rPr>
              <w:t>TIA workspace</w:t>
            </w:r>
          </w:p>
        </w:tc>
        <w:tc>
          <w:tcPr>
            <w:tcW w:type="dxa" w:w="3552"/>
            <w:vAlign w:val="center"/>
          </w:tcPr>
          <w:p>
            <w:r>
              <w:rPr>
                <w:color w:val="1F2B37"/>
                <w:sz w:val="16"/>
              </w:rPr>
              <w:t>Methodology documents and steel_delay_tia_templates CSVs used by Delay Analysis.</w:t>
            </w:r>
          </w:p>
        </w:tc>
      </w:tr>
      <w:tr>
        <w:tc>
          <w:tcPr>
            <w:tcW w:type="dxa" w:w="3552"/>
            <w:vAlign w:val="center"/>
          </w:tcPr>
          <w:p>
            <w:r>
              <w:rPr>
                <w:color w:val="1F2B37"/>
                <w:sz w:val="16"/>
              </w:rPr>
              <w:t>03-schedule</w:t>
            </w:r>
          </w:p>
        </w:tc>
        <w:tc>
          <w:tcPr>
            <w:tcW w:type="dxa" w:w="3552"/>
            <w:vAlign w:val="center"/>
          </w:tcPr>
          <w:p>
            <w:r>
              <w:rPr>
                <w:color w:val="1F2B37"/>
                <w:sz w:val="16"/>
              </w:rPr>
              <w:t>Schedule support</w:t>
            </w:r>
          </w:p>
        </w:tc>
        <w:tc>
          <w:tcPr>
            <w:tcW w:type="dxa" w:w="3552"/>
            <w:vAlign w:val="center"/>
          </w:tcPr>
          <w:p>
            <w:r>
              <w:rPr>
                <w:color w:val="1F2B37"/>
                <w:sz w:val="16"/>
              </w:rPr>
              <w:t>BL Schedule, MEP Schedule, MEP Activities, and civil logic files.</w:t>
            </w:r>
          </w:p>
        </w:tc>
      </w:tr>
      <w:tr>
        <w:tc>
          <w:tcPr>
            <w:tcW w:type="dxa" w:w="3552"/>
            <w:vAlign w:val="center"/>
          </w:tcPr>
          <w:p>
            <w:r>
              <w:rPr>
                <w:color w:val="1F2B37"/>
                <w:sz w:val="16"/>
              </w:rPr>
              <w:t>04-source_excel</w:t>
            </w:r>
          </w:p>
        </w:tc>
        <w:tc>
          <w:tcPr>
            <w:tcW w:type="dxa" w:w="3552"/>
            <w:vAlign w:val="center"/>
          </w:tcPr>
          <w:p>
            <w:r>
              <w:rPr>
                <w:color w:val="1F2B37"/>
                <w:sz w:val="16"/>
              </w:rPr>
              <w:t>Raw Excel source</w:t>
            </w:r>
          </w:p>
        </w:tc>
        <w:tc>
          <w:tcPr>
            <w:tcW w:type="dxa" w:w="3552"/>
            <w:vAlign w:val="center"/>
          </w:tcPr>
          <w:p>
            <w:r>
              <w:rPr>
                <w:color w:val="1F2B37"/>
                <w:sz w:val="16"/>
              </w:rPr>
              <w:t>Original Excel files before conversion into controlled CSV inputs.</w:t>
            </w:r>
          </w:p>
        </w:tc>
      </w:tr>
      <w:tr>
        <w:tc>
          <w:tcPr>
            <w:tcW w:type="dxa" w:w="3552"/>
            <w:vAlign w:val="center"/>
          </w:tcPr>
          <w:p>
            <w:r>
              <w:rPr>
                <w:color w:val="1F2B37"/>
                <w:sz w:val="16"/>
              </w:rPr>
              <w:t>05-contracts</w:t>
            </w:r>
          </w:p>
        </w:tc>
        <w:tc>
          <w:tcPr>
            <w:tcW w:type="dxa" w:w="3552"/>
            <w:vAlign w:val="center"/>
          </w:tcPr>
          <w:p>
            <w:r>
              <w:rPr>
                <w:color w:val="1F2B37"/>
                <w:sz w:val="16"/>
              </w:rPr>
              <w:t>Contract intelligence</w:t>
            </w:r>
          </w:p>
        </w:tc>
        <w:tc>
          <w:tcPr>
            <w:tcW w:type="dxa" w:w="3552"/>
            <w:vAlign w:val="center"/>
          </w:tcPr>
          <w:p>
            <w:r>
              <w:rPr>
                <w:color w:val="1F2B37"/>
                <w:sz w:val="16"/>
              </w:rPr>
              <w:t>Contract source PDFs, clause libraries, contract_claims.db, and clauses.</w:t>
            </w:r>
          </w:p>
        </w:tc>
      </w:tr>
      <w:tr>
        <w:tc>
          <w:tcPr>
            <w:tcW w:type="dxa" w:w="3552"/>
            <w:vAlign w:val="center"/>
          </w:tcPr>
          <w:p>
            <w:r>
              <w:rPr>
                <w:color w:val="1F2B37"/>
                <w:sz w:val="16"/>
              </w:rPr>
              <w:t>06-evidence</w:t>
            </w:r>
          </w:p>
        </w:tc>
        <w:tc>
          <w:tcPr>
            <w:tcW w:type="dxa" w:w="3552"/>
            <w:vAlign w:val="center"/>
          </w:tcPr>
          <w:p>
            <w:r>
              <w:rPr>
                <w:color w:val="1F2B37"/>
                <w:sz w:val="16"/>
              </w:rPr>
              <w:t>Evidence register</w:t>
            </w:r>
          </w:p>
        </w:tc>
        <w:tc>
          <w:tcPr>
            <w:tcW w:type="dxa" w:w="3552"/>
            <w:vAlign w:val="center"/>
          </w:tcPr>
          <w:p>
            <w:r>
              <w:rPr>
                <w:color w:val="1F2B37"/>
                <w:sz w:val="16"/>
              </w:rPr>
              <w:t>Evidence templates, photo logs, document references, and claim evidence.</w:t>
            </w:r>
          </w:p>
        </w:tc>
      </w:tr>
      <w:tr>
        <w:tc>
          <w:tcPr>
            <w:tcW w:type="dxa" w:w="3552"/>
            <w:vAlign w:val="center"/>
          </w:tcPr>
          <w:p>
            <w:r>
              <w:rPr>
                <w:color w:val="1F2B37"/>
                <w:sz w:val="16"/>
              </w:rPr>
              <w:t>07-letters_intelligence</w:t>
            </w:r>
          </w:p>
        </w:tc>
        <w:tc>
          <w:tcPr>
            <w:tcW w:type="dxa" w:w="3552"/>
            <w:vAlign w:val="center"/>
          </w:tcPr>
          <w:p>
            <w:r>
              <w:rPr>
                <w:color w:val="1F2B37"/>
                <w:sz w:val="16"/>
              </w:rPr>
              <w:t>Correspondence intelligence</w:t>
            </w:r>
          </w:p>
        </w:tc>
        <w:tc>
          <w:tcPr>
            <w:tcW w:type="dxa" w:w="3552"/>
            <w:vAlign w:val="center"/>
          </w:tcPr>
          <w:p>
            <w:r>
              <w:rPr>
                <w:color w:val="1F2B37"/>
                <w:sz w:val="16"/>
              </w:rPr>
              <w:t>letters_intelligence.xlsx plus inbox folders for new letters.</w:t>
            </w:r>
          </w:p>
        </w:tc>
      </w:tr>
      <w:tr>
        <w:tc>
          <w:tcPr>
            <w:tcW w:type="dxa" w:w="3552"/>
            <w:vAlign w:val="center"/>
          </w:tcPr>
          <w:p>
            <w:r>
              <w:rPr>
                <w:color w:val="1F2B37"/>
                <w:sz w:val="16"/>
              </w:rPr>
              <w:t>08-branding</w:t>
            </w:r>
          </w:p>
        </w:tc>
        <w:tc>
          <w:tcPr>
            <w:tcW w:type="dxa" w:w="3552"/>
            <w:vAlign w:val="center"/>
          </w:tcPr>
          <w:p>
            <w:r>
              <w:rPr>
                <w:color w:val="1F2B37"/>
                <w:sz w:val="16"/>
              </w:rPr>
              <w:t>Project branding</w:t>
            </w:r>
          </w:p>
        </w:tc>
        <w:tc>
          <w:tcPr>
            <w:tcW w:type="dxa" w:w="3552"/>
            <w:vAlign w:val="center"/>
          </w:tcPr>
          <w:p>
            <w:r>
              <w:rPr>
                <w:color w:val="1F2B37"/>
                <w:sz w:val="16"/>
              </w:rPr>
              <w:t>Logo placeholder, identity, palette, and report branding templates.</w:t>
            </w:r>
          </w:p>
        </w:tc>
      </w:tr>
      <w:tr>
        <w:tc>
          <w:tcPr>
            <w:tcW w:type="dxa" w:w="3552"/>
            <w:vAlign w:val="center"/>
          </w:tcPr>
          <w:p>
            <w:r>
              <w:rPr>
                <w:color w:val="1F2B37"/>
                <w:sz w:val="16"/>
              </w:rPr>
              <w:t>09-notes</w:t>
            </w:r>
          </w:p>
        </w:tc>
        <w:tc>
          <w:tcPr>
            <w:tcW w:type="dxa" w:w="3552"/>
            <w:vAlign w:val="center"/>
          </w:tcPr>
          <w:p>
            <w:r>
              <w:rPr>
                <w:color w:val="1F2B37"/>
                <w:sz w:val="16"/>
              </w:rPr>
              <w:t>Project notes</w:t>
            </w:r>
          </w:p>
        </w:tc>
        <w:tc>
          <w:tcPr>
            <w:tcW w:type="dxa" w:w="3552"/>
            <w:vAlign w:val="center"/>
          </w:tcPr>
          <w:p>
            <w:r>
              <w:rPr>
                <w:color w:val="1F2B37"/>
                <w:sz w:val="16"/>
              </w:rPr>
              <w:t>Meeting, engineering, and claims notes.</w:t>
            </w:r>
          </w:p>
        </w:tc>
      </w:tr>
      <w:tr>
        <w:tc>
          <w:tcPr>
            <w:tcW w:type="dxa" w:w="3552"/>
            <w:vAlign w:val="center"/>
          </w:tcPr>
          <w:p>
            <w:r>
              <w:rPr>
                <w:color w:val="1F2B37"/>
                <w:sz w:val="16"/>
              </w:rPr>
              <w:t>10-deliverables</w:t>
            </w:r>
          </w:p>
        </w:tc>
        <w:tc>
          <w:tcPr>
            <w:tcW w:type="dxa" w:w="3552"/>
            <w:vAlign w:val="center"/>
          </w:tcPr>
          <w:p>
            <w:r>
              <w:rPr>
                <w:color w:val="1F2B37"/>
                <w:sz w:val="16"/>
              </w:rPr>
              <w:t>Formal deliverables</w:t>
            </w:r>
          </w:p>
        </w:tc>
        <w:tc>
          <w:tcPr>
            <w:tcW w:type="dxa" w:w="3552"/>
            <w:vAlign w:val="center"/>
          </w:tcPr>
          <w:p>
            <w:r>
              <w:rPr>
                <w:color w:val="1F2B37"/>
                <w:sz w:val="16"/>
              </w:rPr>
              <w:t>Generated project deliverables outside the automatic website HTML output set.</w:t>
            </w:r>
          </w:p>
        </w:tc>
      </w:tr>
      <w:tr>
        <w:tc>
          <w:tcPr>
            <w:tcW w:type="dxa" w:w="3552"/>
            <w:vAlign w:val="center"/>
          </w:tcPr>
          <w:p>
            <w:r>
              <w:rPr>
                <w:color w:val="1F2B37"/>
                <w:sz w:val="16"/>
              </w:rPr>
              <w:t>11-outputs</w:t>
            </w:r>
          </w:p>
        </w:tc>
        <w:tc>
          <w:tcPr>
            <w:tcW w:type="dxa" w:w="3552"/>
            <w:vAlign w:val="center"/>
          </w:tcPr>
          <w:p>
            <w:r>
              <w:rPr>
                <w:color w:val="1F2B37"/>
                <w:sz w:val="16"/>
              </w:rPr>
              <w:t>Automatic HTML outputs</w:t>
            </w:r>
          </w:p>
        </w:tc>
        <w:tc>
          <w:tcPr>
            <w:tcW w:type="dxa" w:w="3552"/>
            <w:vAlign w:val="center"/>
          </w:tcPr>
          <w:p>
            <w:r>
              <w:rPr>
                <w:color w:val="1F2B37"/>
                <w:sz w:val="16"/>
              </w:rPr>
              <w:t>Per-project generated HTML outputs: executive, master, SVG charts, linked dashboard.</w:t>
            </w:r>
          </w:p>
        </w:tc>
      </w:tr>
      <w:tr>
        <w:tc>
          <w:tcPr>
            <w:tcW w:type="dxa" w:w="3552"/>
            <w:vAlign w:val="center"/>
          </w:tcPr>
          <w:p>
            <w:r>
              <w:rPr>
                <w:color w:val="1F2B37"/>
                <w:sz w:val="16"/>
              </w:rPr>
              <w:t>12-logs</w:t>
            </w:r>
          </w:p>
        </w:tc>
        <w:tc>
          <w:tcPr>
            <w:tcW w:type="dxa" w:w="3552"/>
            <w:vAlign w:val="center"/>
          </w:tcPr>
          <w:p>
            <w:r>
              <w:rPr>
                <w:color w:val="1F2B37"/>
                <w:sz w:val="16"/>
              </w:rPr>
              <w:t>Project logs</w:t>
            </w:r>
          </w:p>
        </w:tc>
        <w:tc>
          <w:tcPr>
            <w:tcW w:type="dxa" w:w="3552"/>
            <w:vAlign w:val="center"/>
          </w:tcPr>
          <w:p>
            <w:r>
              <w:rPr>
                <w:color w:val="1F2B37"/>
                <w:sz w:val="16"/>
              </w:rPr>
              <w:t>Project-specific operational logs.</w:t>
            </w:r>
          </w:p>
        </w:tc>
      </w:tr>
      <w:tr>
        <w:tc>
          <w:tcPr>
            <w:tcW w:type="dxa" w:w="3552"/>
            <w:vAlign w:val="center"/>
          </w:tcPr>
          <w:p>
            <w:r>
              <w:rPr>
                <w:color w:val="1F2B37"/>
                <w:sz w:val="16"/>
              </w:rPr>
              <w:t>website</w:t>
            </w:r>
          </w:p>
        </w:tc>
        <w:tc>
          <w:tcPr>
            <w:tcW w:type="dxa" w:w="3552"/>
            <w:vAlign w:val="center"/>
          </w:tcPr>
          <w:p>
            <w:r>
              <w:rPr>
                <w:color w:val="1F2B37"/>
                <w:sz w:val="16"/>
              </w:rPr>
              <w:t>Next.js public site</w:t>
            </w:r>
          </w:p>
        </w:tc>
        <w:tc>
          <w:tcPr>
            <w:tcW w:type="dxa" w:w="3552"/>
            <w:vAlign w:val="center"/>
          </w:tcPr>
          <w:p>
            <w:r>
              <w:rPr>
                <w:color w:val="1F2B37"/>
                <w:sz w:val="16"/>
              </w:rPr>
              <w:t>Vercel website source, React UI, CSS, and public data.</w:t>
            </w:r>
          </w:p>
        </w:tc>
      </w:tr>
      <w:tr>
        <w:tc>
          <w:tcPr>
            <w:tcW w:type="dxa" w:w="3552"/>
            <w:vAlign w:val="center"/>
          </w:tcPr>
          <w:p>
            <w:r>
              <w:rPr>
                <w:color w:val="1F2B37"/>
                <w:sz w:val="16"/>
              </w:rPr>
              <w:t>tools</w:t>
            </w:r>
          </w:p>
        </w:tc>
        <w:tc>
          <w:tcPr>
            <w:tcW w:type="dxa" w:w="3552"/>
            <w:vAlign w:val="center"/>
          </w:tcPr>
          <w:p>
            <w:r>
              <w:rPr>
                <w:color w:val="1F2B37"/>
                <w:sz w:val="16"/>
              </w:rPr>
              <w:t>Automation tools</w:t>
            </w:r>
          </w:p>
        </w:tc>
        <w:tc>
          <w:tcPr>
            <w:tcW w:type="dxa" w:w="3552"/>
            <w:vAlign w:val="center"/>
          </w:tcPr>
          <w:p>
            <w:r>
              <w:rPr>
                <w:color w:val="1F2B37"/>
                <w:sz w:val="16"/>
              </w:rPr>
              <w:t>Data generator, GitHub no-Git sync, validation, lineage, and package builders.</w:t>
            </w:r>
          </w:p>
        </w:tc>
      </w:tr>
      <w:tr>
        <w:tc>
          <w:tcPr>
            <w:tcW w:type="dxa" w:w="3552"/>
            <w:vAlign w:val="center"/>
          </w:tcPr>
          <w:p>
            <w:r>
              <w:rPr>
                <w:color w:val="1F2B37"/>
                <w:sz w:val="16"/>
              </w:rPr>
              <w:t>src/construction_system</w:t>
            </w:r>
          </w:p>
        </w:tc>
        <w:tc>
          <w:tcPr>
            <w:tcW w:type="dxa" w:w="3552"/>
            <w:vAlign w:val="center"/>
          </w:tcPr>
          <w:p>
            <w:r>
              <w:rPr>
                <w:color w:val="1F2B37"/>
                <w:sz w:val="16"/>
              </w:rPr>
              <w:t>Python backend logic</w:t>
            </w:r>
          </w:p>
        </w:tc>
        <w:tc>
          <w:tcPr>
            <w:tcW w:type="dxa" w:w="3552"/>
            <w:vAlign w:val="center"/>
          </w:tcPr>
          <w:p>
            <w:r>
              <w:rPr>
                <w:color w:val="1F2B37"/>
                <w:sz w:val="16"/>
              </w:rPr>
              <w:t>Streamlit support modules, project context, loaders, TIA logic, reporting, OpenAI gateway.</w:t>
            </w:r>
          </w:p>
        </w:tc>
      </w:tr>
      <w:tr>
        <w:tc>
          <w:tcPr>
            <w:tcW w:type="dxa" w:w="3552"/>
            <w:vAlign w:val="center"/>
          </w:tcPr>
          <w:p>
            <w:r>
              <w:rPr>
                <w:color w:val="1F2B37"/>
                <w:sz w:val="16"/>
              </w:rPr>
              <w:t>dashboard.py</w:t>
            </w:r>
          </w:p>
        </w:tc>
        <w:tc>
          <w:tcPr>
            <w:tcW w:type="dxa" w:w="3552"/>
            <w:vAlign w:val="center"/>
          </w:tcPr>
          <w:p>
            <w:r>
              <w:rPr>
                <w:color w:val="1F2B37"/>
                <w:sz w:val="16"/>
              </w:rPr>
              <w:t>Original Streamlit app</w:t>
            </w:r>
          </w:p>
        </w:tc>
        <w:tc>
          <w:tcPr>
            <w:tcW w:type="dxa" w:w="3552"/>
            <w:vAlign w:val="center"/>
          </w:tcPr>
          <w:p>
            <w:r>
              <w:rPr>
                <w:color w:val="1F2B37"/>
                <w:sz w:val="16"/>
              </w:rPr>
              <w:t>The full original application with Python-based calculations and advanced workflows.</w:t>
            </w:r>
          </w:p>
        </w:tc>
      </w:tr>
    </w:tbl>
    <w:p>
      <w:pPr>
        <w:pStyle w:val="Heading1"/>
      </w:pPr>
      <w:r>
        <w:rPr>
          <w:rFonts w:ascii="Arial" w:hAnsi="Arial"/>
          <w:color w:val="051F39"/>
        </w:rPr>
        <w:t>8. Project Folder Standard</w:t>
      </w:r>
    </w:p>
    <w:p>
      <w:pPr>
        <w:spacing w:after="80"/>
      </w:pPr>
      <w:r>
        <w:t>Every project should live at:</w:t>
      </w:r>
    </w:p>
    <w:p>
      <w:pPr>
        <w:spacing w:after="80"/>
      </w:pPr>
      <w:r>
        <w:t>`projects/{Sector Name}/{Project Folder Name}`</w:t>
      </w:r>
    </w:p>
    <w:p>
      <w:pPr>
        <w:spacing w:after="80"/>
      </w:pPr>
      <w:r>
        <w:t>Minimum files:</w:t>
      </w:r>
    </w:p>
    <w:p>
      <w:pPr>
        <w:ind w:left="288"/>
      </w:pPr>
      <w:r>
        <w:rPr>
          <w:color w:val="008484"/>
        </w:rPr>
        <w:t xml:space="preserve">• </w:t>
      </w:r>
      <w:r>
        <w:t>`project.json`</w:t>
      </w:r>
    </w:p>
    <w:p>
      <w:pPr>
        <w:ind w:left="288"/>
      </w:pPr>
      <w:r>
        <w:rPr>
          <w:color w:val="008484"/>
        </w:rPr>
        <w:t xml:space="preserve">• </w:t>
      </w:r>
      <w:r>
        <w:t>`project_manifest.json`</w:t>
      </w:r>
    </w:p>
    <w:p>
      <w:pPr>
        <w:ind w:left="288"/>
      </w:pPr>
      <w:r>
        <w:rPr>
          <w:color w:val="008484"/>
        </w:rPr>
        <w:t xml:space="preserve">• </w:t>
      </w:r>
      <w:r>
        <w:t>`01-data/import_templates/*.csv`</w:t>
      </w:r>
    </w:p>
    <w:p>
      <w:pPr>
        <w:ind w:left="288"/>
      </w:pPr>
      <w:r>
        <w:rPr>
          <w:color w:val="008484"/>
        </w:rPr>
        <w:t xml:space="preserve">• </w:t>
      </w:r>
      <w:r>
        <w:t>`02-delay_analysis/steel_delay_tia_templates/*.csv`</w:t>
      </w:r>
    </w:p>
    <w:p>
      <w:pPr>
        <w:ind w:left="288"/>
      </w:pPr>
      <w:r>
        <w:rPr>
          <w:color w:val="008484"/>
        </w:rPr>
        <w:t xml:space="preserve">• </w:t>
      </w:r>
      <w:r>
        <w:t>`03-schedule/*.csv`</w:t>
      </w:r>
    </w:p>
    <w:p>
      <w:pPr>
        <w:ind w:left="288"/>
      </w:pPr>
      <w:r>
        <w:rPr>
          <w:color w:val="008484"/>
        </w:rPr>
        <w:t xml:space="preserve">• </w:t>
      </w:r>
      <w:r>
        <w:t>`05-contracts/source/*`</w:t>
      </w:r>
    </w:p>
    <w:p>
      <w:pPr>
        <w:ind w:left="288"/>
      </w:pPr>
      <w:r>
        <w:rPr>
          <w:color w:val="008484"/>
        </w:rPr>
        <w:t xml:space="preserve">• </w:t>
      </w:r>
      <w:r>
        <w:t>`07-letters_intelligence/inbox/*`</w:t>
      </w:r>
    </w:p>
    <w:p>
      <w:pPr>
        <w:spacing w:after="80"/>
      </w:pPr>
      <w:r>
        <w:t>Recommended `project.json` fields:</w:t>
      </w:r>
    </w:p>
    <w:p>
      <w:pPr>
        <w:ind w:left="288"/>
      </w:pPr>
      <w:r>
        <w:rPr>
          <w:rFonts w:ascii="Consolas" w:hAnsi="Consolas"/>
          <w:color w:val="3C4852"/>
          <w:sz w:val="16"/>
        </w:rPr>
        <w:t>{</w:t>
        <w:br/>
        <w:t xml:space="preserve">  "project_id": "unique-project-id",</w:t>
        <w:br/>
        <w:t xml:space="preserve">  "project_name": "Visible Project Name",</w:t>
        <w:br/>
        <w:t xml:space="preserve">  "client_name": "Client",</w:t>
        <w:br/>
        <w:t xml:space="preserve">  "contractor": "SAMCO",</w:t>
        <w:br/>
        <w:t xml:space="preserve">  "currency": "EGP",</w:t>
        <w:br/>
        <w:t xml:space="preserve">  "status": "Active",</w:t>
        <w:br/>
        <w:t xml:space="preserve">  "meeting_url": "https://your-meeting-link"</w:t>
        <w:br/>
        <w:t>}</w:t>
      </w:r>
    </w:p>
    <w:p>
      <w:pPr>
        <w:pStyle w:val="Heading1"/>
      </w:pPr>
      <w:r>
        <w:rPr>
          <w:rFonts w:ascii="Arial" w:hAnsi="Arial"/>
          <w:color w:val="051F39"/>
        </w:rPr>
        <w:t>9. Data Pipeline</w:t>
      </w:r>
    </w:p>
    <w:p>
      <w:pPr>
        <w:spacing w:after="80"/>
      </w:pPr>
      <w:r>
        <w:t>The website data pipeline is:</w:t>
      </w:r>
    </w:p>
    <w:p>
      <w:pPr>
        <w:spacing w:after="80"/>
      </w:pPr>
      <w:r>
        <w:t>Project folders -&gt; `tools/generate_nextjs_website_data.py` -&gt; `website/public/data/portfolio.json` and `website/public/data/projects/*.json` -&gt; Next.js UI.</w:t>
      </w:r>
    </w:p>
    <w:p>
      <w:pPr>
        <w:spacing w:after="80"/>
      </w:pPr>
      <w:r>
        <w:t>The generator also copies automatic HTML outputs from root `11-outputs/{Project Folder Name}` into `website/public/generated/{Project Folder Name Slug}`.</w:t>
      </w:r>
    </w:p>
    <w:p>
      <w:pPr>
        <w:pStyle w:val="Heading1"/>
      </w:pPr>
      <w:r>
        <w:rPr>
          <w:rFonts w:ascii="Arial" w:hAnsi="Arial"/>
          <w:color w:val="051F39"/>
        </w:rPr>
        <w:t>10. Automatic HTML Outputs</w:t>
      </w:r>
    </w:p>
    <w:p>
      <w:pPr>
        <w:spacing w:after="80"/>
      </w:pPr>
      <w:r>
        <w:t>Each project should have exactly these automatic website HTML outputs: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ECF0F3"/>
          </w:tcPr>
          <w:p>
            <w:r>
              <w:rPr>
                <w:b/>
                <w:color w:val="051F39"/>
                <w:sz w:val="17"/>
              </w:rPr>
              <w:t>File</w:t>
            </w:r>
          </w:p>
        </w:tc>
        <w:tc>
          <w:tcPr>
            <w:tcW w:type="dxa" w:w="3552"/>
            <w:vAlign w:val="center"/>
            <w:shd w:fill="ECF0F3"/>
          </w:tcPr>
          <w:p>
            <w:r>
              <w:rPr>
                <w:b/>
                <w:color w:val="051F39"/>
                <w:sz w:val="17"/>
              </w:rPr>
              <w:t>Name</w:t>
            </w:r>
          </w:p>
        </w:tc>
        <w:tc>
          <w:tcPr>
            <w:tcW w:type="dxa" w:w="3552"/>
            <w:vAlign w:val="center"/>
            <w:shd w:fill="ECF0F3"/>
          </w:tcPr>
          <w:p>
            <w:r>
              <w:rPr>
                <w:b/>
                <w:color w:val="051F39"/>
                <w:sz w:val="17"/>
              </w:rPr>
              <w:t>Purpose</w:t>
            </w:r>
          </w:p>
        </w:tc>
      </w:tr>
      <w:tr>
        <w:tc>
          <w:tcPr>
            <w:tcW w:type="dxa" w:w="3552"/>
            <w:vAlign w:val="center"/>
          </w:tcPr>
          <w:p>
            <w:r>
              <w:rPr>
                <w:color w:val="1F2B37"/>
                <w:sz w:val="16"/>
              </w:rPr>
              <w:t>01_executive_dashboard.html</w:t>
            </w:r>
          </w:p>
        </w:tc>
        <w:tc>
          <w:tcPr>
            <w:tcW w:type="dxa" w:w="3552"/>
            <w:vAlign w:val="center"/>
          </w:tcPr>
          <w:p>
            <w:r>
              <w:rPr>
                <w:color w:val="1F2B37"/>
                <w:sz w:val="16"/>
              </w:rPr>
              <w:t>Executive dashboard</w:t>
            </w:r>
          </w:p>
        </w:tc>
        <w:tc>
          <w:tcPr>
            <w:tcW w:type="dxa" w:w="3552"/>
            <w:vAlign w:val="center"/>
          </w:tcPr>
          <w:p>
            <w:r>
              <w:rPr>
                <w:color w:val="1F2B37"/>
                <w:sz w:val="16"/>
              </w:rPr>
              <w:t>Project-level management dashboard HTML.</w:t>
            </w:r>
          </w:p>
        </w:tc>
      </w:tr>
      <w:tr>
        <w:tc>
          <w:tcPr>
            <w:tcW w:type="dxa" w:w="3552"/>
            <w:vAlign w:val="center"/>
          </w:tcPr>
          <w:p>
            <w:r>
              <w:rPr>
                <w:color w:val="1F2B37"/>
                <w:sz w:val="16"/>
              </w:rPr>
              <w:t>02_master_dashboard.html</w:t>
            </w:r>
          </w:p>
        </w:tc>
        <w:tc>
          <w:tcPr>
            <w:tcW w:type="dxa" w:w="3552"/>
            <w:vAlign w:val="center"/>
          </w:tcPr>
          <w:p>
            <w:r>
              <w:rPr>
                <w:color w:val="1F2B37"/>
                <w:sz w:val="16"/>
              </w:rPr>
              <w:t>Master dashboard</w:t>
            </w:r>
          </w:p>
        </w:tc>
        <w:tc>
          <w:tcPr>
            <w:tcW w:type="dxa" w:w="3552"/>
            <w:vAlign w:val="center"/>
          </w:tcPr>
          <w:p>
            <w:r>
              <w:rPr>
                <w:color w:val="1F2B37"/>
                <w:sz w:val="16"/>
              </w:rPr>
              <w:t>Detailed project dashboard by sections.</w:t>
            </w:r>
          </w:p>
        </w:tc>
      </w:tr>
      <w:tr>
        <w:tc>
          <w:tcPr>
            <w:tcW w:type="dxa" w:w="3552"/>
            <w:vAlign w:val="center"/>
          </w:tcPr>
          <w:p>
            <w:r>
              <w:rPr>
                <w:color w:val="1F2B37"/>
                <w:sz w:val="16"/>
              </w:rPr>
              <w:t>03_elite_svg_charts.html</w:t>
            </w:r>
          </w:p>
        </w:tc>
        <w:tc>
          <w:tcPr>
            <w:tcW w:type="dxa" w:w="3552"/>
            <w:vAlign w:val="center"/>
          </w:tcPr>
          <w:p>
            <w:r>
              <w:rPr>
                <w:color w:val="1F2B37"/>
                <w:sz w:val="16"/>
              </w:rPr>
              <w:t>Elite SVG charts</w:t>
            </w:r>
          </w:p>
        </w:tc>
        <w:tc>
          <w:tcPr>
            <w:tcW w:type="dxa" w:w="3552"/>
            <w:vAlign w:val="center"/>
          </w:tcPr>
          <w:p>
            <w:r>
              <w:rPr>
                <w:color w:val="1F2B37"/>
                <w:sz w:val="16"/>
              </w:rPr>
              <w:t>Tabbed SVG chart gallery generated as HTML.</w:t>
            </w:r>
          </w:p>
        </w:tc>
      </w:tr>
      <w:tr>
        <w:tc>
          <w:tcPr>
            <w:tcW w:type="dxa" w:w="3552"/>
            <w:vAlign w:val="center"/>
          </w:tcPr>
          <w:p>
            <w:r>
              <w:rPr>
                <w:color w:val="1F2B37"/>
                <w:sz w:val="16"/>
              </w:rPr>
              <w:t>04_linked_executive_dashboard.html</w:t>
            </w:r>
          </w:p>
        </w:tc>
        <w:tc>
          <w:tcPr>
            <w:tcW w:type="dxa" w:w="3552"/>
            <w:vAlign w:val="center"/>
          </w:tcPr>
          <w:p>
            <w:r>
              <w:rPr>
                <w:color w:val="1F2B37"/>
                <w:sz w:val="16"/>
              </w:rPr>
              <w:t>Linked executive dashboard</w:t>
            </w:r>
          </w:p>
        </w:tc>
        <w:tc>
          <w:tcPr>
            <w:tcW w:type="dxa" w:w="3552"/>
            <w:vAlign w:val="center"/>
          </w:tcPr>
          <w:p>
            <w:r>
              <w:rPr>
                <w:color w:val="1F2B37"/>
                <w:sz w:val="16"/>
              </w:rPr>
              <w:t>Linked A3-style executive dashboard HTML.</w:t>
            </w:r>
          </w:p>
        </w:tc>
      </w:tr>
    </w:tbl>
    <w:p>
      <w:pPr>
        <w:pStyle w:val="Heading1"/>
      </w:pPr>
      <w:r>
        <w:rPr>
          <w:rFonts w:ascii="Arial" w:hAnsi="Arial"/>
          <w:color w:val="051F39"/>
        </w:rPr>
        <w:t>11. Letters Intelligence</w:t>
      </w:r>
    </w:p>
    <w:p>
      <w:pPr>
        <w:spacing w:after="80"/>
      </w:pPr>
      <w:r>
        <w:t>Letters Intelligence is project-scoped. The website detects:</w:t>
      </w:r>
    </w:p>
    <w:p>
      <w:pPr>
        <w:ind w:left="288"/>
      </w:pPr>
      <w:r>
        <w:rPr>
          <w:color w:val="008484"/>
        </w:rPr>
        <w:t xml:space="preserve">• </w:t>
      </w:r>
      <w:r>
        <w:t>`07-letters_intelligence/letters_intelligence.xlsx`</w:t>
      </w:r>
    </w:p>
    <w:p>
      <w:pPr>
        <w:ind w:left="288"/>
      </w:pPr>
      <w:r>
        <w:rPr>
          <w:color w:val="008484"/>
        </w:rPr>
        <w:t xml:space="preserve">• </w:t>
      </w:r>
      <w:r>
        <w:t>`07-letters_intelligence/inbox/**`</w:t>
      </w:r>
    </w:p>
    <w:p>
      <w:pPr>
        <w:ind w:left="288"/>
      </w:pPr>
      <w:r>
        <w:rPr>
          <w:color w:val="008484"/>
        </w:rPr>
        <w:t xml:space="preserve">• </w:t>
      </w:r>
      <w:r>
        <w:t>letter file count, extension, size, modified date</w:t>
      </w:r>
    </w:p>
    <w:p>
      <w:pPr>
        <w:ind w:left="288"/>
      </w:pPr>
      <w:r>
        <w:rPr>
          <w:color w:val="008484"/>
        </w:rPr>
        <w:t xml:space="preserve">• </w:t>
      </w:r>
      <w:r>
        <w:t>linked claims and delay-event availability</w:t>
      </w:r>
    </w:p>
    <w:p>
      <w:pPr>
        <w:spacing w:after="80"/>
      </w:pPr>
      <w:r>
        <w:t>To add new letters, place them in the selected project inbox folder, then regenerate and sync.</w:t>
      </w:r>
    </w:p>
    <w:p>
      <w:pPr>
        <w:pStyle w:val="Heading1"/>
      </w:pPr>
      <w:r>
        <w:rPr>
          <w:rFonts w:ascii="Arial" w:hAnsi="Arial"/>
          <w:color w:val="051F39"/>
        </w:rPr>
        <w:t>12. Delay Analysis - Time Impact Analysis</w:t>
      </w:r>
    </w:p>
    <w:p>
      <w:pPr>
        <w:spacing w:after="80"/>
      </w:pPr>
      <w:r>
        <w:t>Delay Analysis reads project-specific TIA templates from:</w:t>
      </w:r>
    </w:p>
    <w:p>
      <w:pPr>
        <w:spacing w:after="80"/>
      </w:pPr>
      <w:r>
        <w:t>`02-delay_analysis/steel_delay_tia_templates`</w:t>
      </w:r>
    </w:p>
    <w:p>
      <w:pPr>
        <w:spacing w:after="80"/>
      </w:pPr>
      <w:r>
        <w:t>The website detects the file inventory, row count, column count, missing required files, MEP activities, MEP schedule, MEP civil logic, and BL schedule. The original Streamlit app remains the full calculation engine for deep TIA exports and report generation.</w:t>
      </w:r>
    </w:p>
    <w:p>
      <w:pPr>
        <w:pStyle w:val="Heading1"/>
      </w:pPr>
      <w:r>
        <w:rPr>
          <w:rFonts w:ascii="Arial" w:hAnsi="Arial"/>
          <w:color w:val="051F39"/>
        </w:rPr>
        <w:t>13. Contract &amp; Claims Intelligence</w:t>
      </w:r>
    </w:p>
    <w:p>
      <w:pPr>
        <w:spacing w:after="80"/>
      </w:pPr>
      <w:r>
        <w:t>Contract &amp; Claims uses:</w:t>
      </w:r>
    </w:p>
    <w:p>
      <w:pPr>
        <w:ind w:left="288"/>
      </w:pPr>
      <w:r>
        <w:rPr>
          <w:color w:val="008484"/>
        </w:rPr>
        <w:t xml:space="preserve">• </w:t>
      </w:r>
      <w:r>
        <w:t>`05-contracts/source`</w:t>
      </w:r>
    </w:p>
    <w:p>
      <w:pPr>
        <w:ind w:left="288"/>
      </w:pPr>
      <w:r>
        <w:rPr>
          <w:color w:val="008484"/>
        </w:rPr>
        <w:t xml:space="preserve">• </w:t>
      </w:r>
      <w:r>
        <w:t>`05-contracts/source/Overall_Contract_clause_library.xlsx`</w:t>
      </w:r>
    </w:p>
    <w:p>
      <w:pPr>
        <w:ind w:left="288"/>
      </w:pPr>
      <w:r>
        <w:rPr>
          <w:color w:val="008484"/>
        </w:rPr>
        <w:t xml:space="preserve">• </w:t>
      </w:r>
      <w:r>
        <w:t>`05-contracts/contract_claims.db`</w:t>
      </w:r>
    </w:p>
    <w:p>
      <w:pPr>
        <w:ind w:left="288"/>
      </w:pPr>
      <w:r>
        <w:rPr>
          <w:color w:val="008484"/>
        </w:rPr>
        <w:t xml:space="preserve">• </w:t>
      </w:r>
      <w:r>
        <w:t>`06-evidence`</w:t>
      </w:r>
    </w:p>
    <w:p>
      <w:pPr>
        <w:spacing w:after="80"/>
      </w:pPr>
      <w:r>
        <w:t>The website shows file inventory and knowledge-base table counts. The original Streamlit app remains the advanced claims engine for extraction, evidence mapping, rebuttal, claim drafting, and exports.</w:t>
      </w:r>
    </w:p>
    <w:p>
      <w:pPr>
        <w:pStyle w:val="Heading1"/>
      </w:pPr>
      <w:r>
        <w:rPr>
          <w:rFonts w:ascii="Arial" w:hAnsi="Arial"/>
          <w:color w:val="051F39"/>
        </w:rPr>
        <w:t>14. Conference Call</w:t>
      </w:r>
    </w:p>
    <w:p>
      <w:pPr>
        <w:spacing w:after="80"/>
      </w:pPr>
      <w:r>
        <w:t>The Conference tab reads `meeting_url` from the selected project's `project.json`.</w:t>
      </w:r>
    </w:p>
    <w:p>
      <w:pPr>
        <w:spacing w:after="80"/>
      </w:pPr>
      <w:r>
        <w:t>If the field is missing, the tab shows setup instructions. If the field exists, it shows a Join Conference button.</w:t>
      </w:r>
    </w:p>
    <w:p>
      <w:pPr>
        <w:spacing w:after="80"/>
      </w:pPr>
      <w:r>
        <w:t>Teams and Zoom usually block iframe embedding, so the meeting may open in a new tab while the dashboard remains available.</w:t>
      </w:r>
    </w:p>
    <w:p>
      <w:pPr>
        <w:pStyle w:val="Heading1"/>
      </w:pPr>
      <w:r>
        <w:rPr>
          <w:rFonts w:ascii="Arial" w:hAnsi="Arial"/>
          <w:color w:val="051F39"/>
        </w:rPr>
        <w:t>15. Output Studio</w:t>
      </w:r>
    </w:p>
    <w:p>
      <w:pPr>
        <w:spacing w:after="80"/>
      </w:pPr>
      <w:r>
        <w:t>Output Studio shows the four automatic HTML reports and sync/watch status. Manual Streamlit output features still exist in the original app. The Next.js website focuses on fast HTML report viewing and mobile-safe access.</w:t>
      </w:r>
    </w:p>
    <w:p>
      <w:pPr>
        <w:pStyle w:val="Heading1"/>
      </w:pPr>
      <w:r>
        <w:rPr>
          <w:rFonts w:ascii="Arial" w:hAnsi="Arial"/>
          <w:color w:val="051F39"/>
        </w:rPr>
        <w:t>16. Sync and GitHub</w:t>
      </w:r>
    </w:p>
    <w:p>
      <w:pPr>
        <w:spacing w:after="80"/>
      </w:pPr>
      <w:r>
        <w:t>The no-Git sync is controlled by:</w:t>
      </w:r>
    </w:p>
    <w:p>
      <w:pPr>
        <w:ind w:left="288"/>
      </w:pPr>
      <w:r>
        <w:rPr>
          <w:color w:val="008484"/>
        </w:rPr>
        <w:t xml:space="preserve">• </w:t>
      </w:r>
      <w:r>
        <w:t>`RUN_FULL_PROJECT_NO_GIT_SYNC.bat`</w:t>
      </w:r>
    </w:p>
    <w:p>
      <w:pPr>
        <w:ind w:left="288"/>
      </w:pPr>
      <w:r>
        <w:rPr>
          <w:color w:val="008484"/>
        </w:rPr>
        <w:t xml:space="preserve">• </w:t>
      </w:r>
      <w:r>
        <w:t>`tools/github_no_git_sync.ps1`</w:t>
      </w:r>
    </w:p>
    <w:p>
      <w:pPr>
        <w:ind w:left="288"/>
      </w:pPr>
      <w:r>
        <w:rPr>
          <w:color w:val="008484"/>
        </w:rPr>
        <w:t xml:space="preserve">• </w:t>
      </w:r>
      <w:r>
        <w:t>`tools/github_sync_config.json`</w:t>
      </w:r>
    </w:p>
    <w:p>
      <w:pPr>
        <w:spacing w:after="80"/>
      </w:pPr>
      <w:r>
        <w:t>Repository target:</w:t>
      </w:r>
    </w:p>
    <w:p>
      <w:pPr>
        <w:ind w:left="288"/>
      </w:pPr>
      <w:r>
        <w:rPr>
          <w:color w:val="008484"/>
        </w:rPr>
        <w:t xml:space="preserve">• </w:t>
      </w:r>
      <w:r>
        <w:t>Owner: ahmedlabib33-boop</w:t>
      </w:r>
    </w:p>
    <w:p>
      <w:pPr>
        <w:ind w:left="288"/>
      </w:pPr>
      <w:r>
        <w:rPr>
          <w:color w:val="008484"/>
        </w:rPr>
        <w:t xml:space="preserve">• </w:t>
      </w:r>
      <w:r>
        <w:t>Repository: Samco-Project-Intelegent-Hub</w:t>
      </w:r>
    </w:p>
    <w:p>
      <w:pPr>
        <w:ind w:left="288"/>
      </w:pPr>
      <w:r>
        <w:rPr>
          <w:color w:val="008484"/>
        </w:rPr>
        <w:t xml:space="preserve">• </w:t>
      </w:r>
      <w:r>
        <w:t>Branch: main</w:t>
      </w:r>
    </w:p>
    <w:p>
      <w:pPr>
        <w:ind w:left="288"/>
      </w:pPr>
      <w:r>
        <w:rPr>
          <w:color w:val="008484"/>
        </w:rPr>
        <w:t xml:space="preserve">• </w:t>
      </w:r>
      <w:r>
        <w:t>Default interval seconds: 30</w:t>
      </w:r>
    </w:p>
    <w:p>
      <w:pPr>
        <w:ind w:left="288"/>
      </w:pPr>
      <w:r>
        <w:rPr>
          <w:color w:val="008484"/>
        </w:rPr>
        <w:t xml:space="preserve">• </w:t>
      </w:r>
      <w:r>
        <w:t>Deletion sync: True</w:t>
      </w:r>
    </w:p>
    <w:p>
      <w:pPr>
        <w:spacing w:after="80"/>
      </w:pPr>
      <w:r>
        <w:t>Credentials must come from `GITHUB_TOKEN` or `GH_TOKEN` in the local Windows process.</w:t>
      </w:r>
    </w:p>
    <w:p>
      <w:pPr>
        <w:pStyle w:val="Heading1"/>
      </w:pPr>
      <w:r>
        <w:rPr>
          <w:rFonts w:ascii="Arial" w:hAnsi="Arial"/>
          <w:color w:val="051F39"/>
        </w:rPr>
        <w:t>17. Vercel Deployment</w:t>
      </w:r>
    </w:p>
    <w:p>
      <w:pPr>
        <w:spacing w:after="80"/>
      </w:pPr>
      <w:r>
        <w:t>Recommended Vercel settings:</w:t>
      </w:r>
    </w:p>
    <w:p>
      <w:pPr>
        <w:ind w:left="288"/>
      </w:pPr>
      <w:r>
        <w:rPr>
          <w:color w:val="008484"/>
        </w:rPr>
        <w:t xml:space="preserve">• </w:t>
      </w:r>
      <w:r>
        <w:t>Root directory: `website`</w:t>
      </w:r>
    </w:p>
    <w:p>
      <w:pPr>
        <w:ind w:left="288"/>
      </w:pPr>
      <w:r>
        <w:rPr>
          <w:color w:val="008484"/>
        </w:rPr>
        <w:t xml:space="preserve">• </w:t>
      </w:r>
      <w:r>
        <w:t>Framework: Next.js</w:t>
      </w:r>
    </w:p>
    <w:p>
      <w:pPr>
        <w:ind w:left="288"/>
      </w:pPr>
      <w:r>
        <w:rPr>
          <w:color w:val="008484"/>
        </w:rPr>
        <w:t xml:space="preserve">• </w:t>
      </w:r>
      <w:r>
        <w:t>Build command: `npm run build`</w:t>
      </w:r>
    </w:p>
    <w:p>
      <w:pPr>
        <w:ind w:left="288"/>
      </w:pPr>
      <w:r>
        <w:rPr>
          <w:color w:val="008484"/>
        </w:rPr>
        <w:t xml:space="preserve">• </w:t>
      </w:r>
      <w:r>
        <w:t>Install command: `npm install`</w:t>
      </w:r>
    </w:p>
    <w:p>
      <w:pPr>
        <w:ind w:left="288"/>
      </w:pPr>
      <w:r>
        <w:rPr>
          <w:color w:val="008484"/>
        </w:rPr>
        <w:t xml:space="preserve">• </w:t>
      </w:r>
      <w:r>
        <w:t>Output directory: `.next`</w:t>
      </w:r>
    </w:p>
    <w:p>
      <w:pPr>
        <w:spacing w:after="80"/>
      </w:pPr>
      <w:r>
        <w:t>Production URL:</w:t>
      </w:r>
    </w:p>
    <w:p>
      <w:pPr>
        <w:spacing w:after="80"/>
      </w:pPr>
      <w:r>
        <w:t>`https://samcoegyptdashboard.vercel.app`</w:t>
      </w:r>
    </w:p>
    <w:p>
      <w:pPr>
        <w:pStyle w:val="Heading1"/>
      </w:pPr>
      <w:r>
        <w:rPr>
          <w:rFonts w:ascii="Arial" w:hAnsi="Arial"/>
          <w:color w:val="051F39"/>
        </w:rPr>
        <w:t>18. Common Commands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ECF0F3"/>
          </w:tcPr>
          <w:p>
            <w:r>
              <w:rPr>
                <w:b/>
                <w:color w:val="051F39"/>
                <w:sz w:val="17"/>
              </w:rPr>
              <w:t>Action</w:t>
            </w:r>
          </w:p>
        </w:tc>
        <w:tc>
          <w:tcPr>
            <w:tcW w:type="dxa" w:w="5328"/>
            <w:vAlign w:val="center"/>
            <w:shd w:fill="ECF0F3"/>
          </w:tcPr>
          <w:p>
            <w:r>
              <w:rPr>
                <w:b/>
                <w:color w:val="051F39"/>
                <w:sz w:val="17"/>
              </w:rPr>
              <w:t>Command</w:t>
            </w:r>
          </w:p>
        </w:tc>
      </w:tr>
      <w:tr>
        <w:tc>
          <w:tcPr>
            <w:tcW w:type="dxa" w:w="5328"/>
            <w:vAlign w:val="center"/>
          </w:tcPr>
          <w:p>
            <w:r>
              <w:rPr>
                <w:color w:val="1F2B37"/>
                <w:sz w:val="16"/>
              </w:rPr>
              <w:t>Generate website data</w:t>
            </w:r>
          </w:p>
        </w:tc>
        <w:tc>
          <w:tcPr>
            <w:tcW w:type="dxa" w:w="5328"/>
            <w:vAlign w:val="center"/>
          </w:tcPr>
          <w:p>
            <w:r>
              <w:rPr>
                <w:color w:val="1F2B37"/>
                <w:sz w:val="16"/>
              </w:rPr>
              <w:t>cd "D:\Project Intelligence Hub NextJS" &amp;&amp; python tools\generate_nextjs_website_data.py</w:t>
            </w:r>
          </w:p>
        </w:tc>
      </w:tr>
      <w:tr>
        <w:tc>
          <w:tcPr>
            <w:tcW w:type="dxa" w:w="5328"/>
            <w:vAlign w:val="center"/>
          </w:tcPr>
          <w:p>
            <w:r>
              <w:rPr>
                <w:color w:val="1F2B37"/>
                <w:sz w:val="16"/>
              </w:rPr>
              <w:t>Run website locally</w:t>
            </w:r>
          </w:p>
        </w:tc>
        <w:tc>
          <w:tcPr>
            <w:tcW w:type="dxa" w:w="5328"/>
            <w:vAlign w:val="center"/>
          </w:tcPr>
          <w:p>
            <w:r>
              <w:rPr>
                <w:color w:val="1F2B37"/>
                <w:sz w:val="16"/>
              </w:rPr>
              <w:t>cd "D:\Project Intelligence Hub NextJS\website" &amp;&amp; npm run dev</w:t>
            </w:r>
          </w:p>
        </w:tc>
      </w:tr>
      <w:tr>
        <w:tc>
          <w:tcPr>
            <w:tcW w:type="dxa" w:w="5328"/>
            <w:vAlign w:val="center"/>
          </w:tcPr>
          <w:p>
            <w:r>
              <w:rPr>
                <w:color w:val="1F2B37"/>
                <w:sz w:val="16"/>
              </w:rPr>
              <w:t>Build website</w:t>
            </w:r>
          </w:p>
        </w:tc>
        <w:tc>
          <w:tcPr>
            <w:tcW w:type="dxa" w:w="5328"/>
            <w:vAlign w:val="center"/>
          </w:tcPr>
          <w:p>
            <w:r>
              <w:rPr>
                <w:color w:val="1F2B37"/>
                <w:sz w:val="16"/>
              </w:rPr>
              <w:t>cd "D:\Project Intelligence Hub NextJS\website" &amp;&amp; npm run build</w:t>
            </w:r>
          </w:p>
        </w:tc>
      </w:tr>
      <w:tr>
        <w:tc>
          <w:tcPr>
            <w:tcW w:type="dxa" w:w="5328"/>
            <w:vAlign w:val="center"/>
          </w:tcPr>
          <w:p>
            <w:r>
              <w:rPr>
                <w:color w:val="1F2B37"/>
                <w:sz w:val="16"/>
              </w:rPr>
              <w:t>Deploy to Vercel</w:t>
            </w:r>
          </w:p>
        </w:tc>
        <w:tc>
          <w:tcPr>
            <w:tcW w:type="dxa" w:w="5328"/>
            <w:vAlign w:val="center"/>
          </w:tcPr>
          <w:p>
            <w:r>
              <w:rPr>
                <w:color w:val="1F2B37"/>
                <w:sz w:val="16"/>
              </w:rPr>
              <w:t>cd "D:\Project Intelligence Hub NextJS\website" &amp;&amp; npx vercel@latest deploy --prod --yes --project samcoegyptdashboard</w:t>
            </w:r>
          </w:p>
        </w:tc>
      </w:tr>
      <w:tr>
        <w:tc>
          <w:tcPr>
            <w:tcW w:type="dxa" w:w="5328"/>
            <w:vAlign w:val="center"/>
          </w:tcPr>
          <w:p>
            <w:r>
              <w:rPr>
                <w:color w:val="1F2B37"/>
                <w:sz w:val="16"/>
              </w:rPr>
              <w:t>Sync to GitHub once</w:t>
            </w:r>
          </w:p>
        </w:tc>
        <w:tc>
          <w:tcPr>
            <w:tcW w:type="dxa" w:w="5328"/>
            <w:vAlign w:val="center"/>
          </w:tcPr>
          <w:p>
            <w:r>
              <w:rPr>
                <w:color w:val="1F2B37"/>
                <w:sz w:val="16"/>
              </w:rPr>
              <w:t>cd "D:\Project Intelligence Hub NextJS" &amp;&amp; cmd /c RUN_FULL_PROJECT_NO_GIT_SYNC.bat Once 30</w:t>
            </w:r>
          </w:p>
        </w:tc>
      </w:tr>
      <w:tr>
        <w:tc>
          <w:tcPr>
            <w:tcW w:type="dxa" w:w="5328"/>
            <w:vAlign w:val="center"/>
          </w:tcPr>
          <w:p>
            <w:r>
              <w:rPr>
                <w:color w:val="1F2B37"/>
                <w:sz w:val="16"/>
              </w:rPr>
              <w:t>Start sync watcher</w:t>
            </w:r>
          </w:p>
        </w:tc>
        <w:tc>
          <w:tcPr>
            <w:tcW w:type="dxa" w:w="5328"/>
            <w:vAlign w:val="center"/>
          </w:tcPr>
          <w:p>
            <w:r>
              <w:rPr>
                <w:color w:val="1F2B37"/>
                <w:sz w:val="16"/>
              </w:rPr>
              <w:t>cd "D:\Project Intelligence Hub NextJS" &amp;&amp; cmd /c RUN_FULL_PROJECT_NO_GIT_SYNC.bat Watch 30</w:t>
            </w:r>
          </w:p>
        </w:tc>
      </w:tr>
    </w:tbl>
    <w:p>
      <w:pPr>
        <w:pStyle w:val="Heading1"/>
      </w:pPr>
      <w:r>
        <w:rPr>
          <w:rFonts w:ascii="Arial" w:hAnsi="Arial"/>
          <w:color w:val="051F39"/>
        </w:rPr>
        <w:t>19. Adding a New Project</w:t>
      </w:r>
    </w:p>
    <w:p>
      <w:pPr>
        <w:spacing w:after="80"/>
      </w:pPr>
      <w:r>
        <w:t>1. Create a sector folder under `projects` if needed.</w:t>
      </w:r>
    </w:p>
    <w:p>
      <w:pPr>
        <w:spacing w:after="80"/>
      </w:pPr>
      <w:r>
        <w:t>2. Copy `_PROJECT_TEMPLATE` into the sector folder.</w:t>
      </w:r>
    </w:p>
    <w:p>
      <w:pPr>
        <w:spacing w:after="80"/>
      </w:pPr>
      <w:r>
        <w:t>3. Rename the copied folder to the project name.</w:t>
      </w:r>
    </w:p>
    <w:p>
      <w:pPr>
        <w:spacing w:after="80"/>
      </w:pPr>
      <w:r>
        <w:t>4. Edit `project.json` and `project_manifest.json`.</w:t>
      </w:r>
    </w:p>
    <w:p>
      <w:pPr>
        <w:spacing w:after="80"/>
      </w:pPr>
      <w:r>
        <w:t>5. Add project CSVs under `01-data/import_templates`.</w:t>
      </w:r>
    </w:p>
    <w:p>
      <w:pPr>
        <w:spacing w:after="80"/>
      </w:pPr>
      <w:r>
        <w:t>6. Add TIA files under `02-delay_analysis/steel_delay_tia_templates`.</w:t>
      </w:r>
    </w:p>
    <w:p>
      <w:pPr>
        <w:spacing w:after="80"/>
      </w:pPr>
      <w:r>
        <w:t>7. Add schedule support under `03-schedule`.</w:t>
      </w:r>
    </w:p>
    <w:p>
      <w:pPr>
        <w:spacing w:after="80"/>
      </w:pPr>
      <w:r>
        <w:t>8. Add contracts under `05-contracts/source`.</w:t>
      </w:r>
    </w:p>
    <w:p>
      <w:pPr>
        <w:spacing w:after="80"/>
      </w:pPr>
      <w:r>
        <w:t>9. Add letters under `07-letters_intelligence/inbox`.</w:t>
      </w:r>
    </w:p>
    <w:p>
      <w:pPr>
        <w:spacing w:after="80"/>
      </w:pPr>
      <w:r>
        <w:t>10. Run the generator.</w:t>
      </w:r>
    </w:p>
    <w:p>
      <w:pPr>
        <w:spacing w:after="80"/>
      </w:pPr>
      <w:r>
        <w:t>11. Build and sync.</w:t>
      </w:r>
    </w:p>
    <w:p>
      <w:pPr>
        <w:pStyle w:val="Heading1"/>
      </w:pPr>
      <w:r>
        <w:rPr>
          <w:rFonts w:ascii="Arial" w:hAnsi="Arial"/>
          <w:color w:val="051F39"/>
        </w:rPr>
        <w:t>20. Update Workflow</w:t>
      </w:r>
    </w:p>
    <w:p>
      <w:pPr>
        <w:spacing w:after="80"/>
      </w:pPr>
      <w:r>
        <w:t>When project files change:</w:t>
      </w:r>
    </w:p>
    <w:p>
      <w:pPr>
        <w:spacing w:after="80"/>
      </w:pPr>
      <w:r>
        <w:t>1. Update the files in the correct project folder.</w:t>
      </w:r>
    </w:p>
    <w:p>
      <w:pPr>
        <w:spacing w:after="80"/>
      </w:pPr>
      <w:r>
        <w:t>2. Run `python tools\generate_nextjs_website_data.py`.</w:t>
      </w:r>
    </w:p>
    <w:p>
      <w:pPr>
        <w:spacing w:after="80"/>
      </w:pPr>
      <w:r>
        <w:t>3. Run `npm run build` from `website`.</w:t>
      </w:r>
    </w:p>
    <w:p>
      <w:pPr>
        <w:spacing w:after="80"/>
      </w:pPr>
      <w:r>
        <w:t>4. Run `RUN_FULL_PROJECT_NO_GIT_SYNC.bat Once 30`.</w:t>
      </w:r>
    </w:p>
    <w:p>
      <w:pPr>
        <w:spacing w:after="80"/>
      </w:pPr>
      <w:r>
        <w:t>5. Vercel rebuilds from GitHub.</w:t>
      </w:r>
    </w:p>
    <w:p>
      <w:pPr>
        <w:pStyle w:val="Heading1"/>
      </w:pPr>
      <w:r>
        <w:rPr>
          <w:rFonts w:ascii="Arial" w:hAnsi="Arial"/>
          <w:color w:val="051F39"/>
        </w:rPr>
        <w:t>21. Troubleshooting</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ECF0F3"/>
          </w:tcPr>
          <w:p>
            <w:r>
              <w:rPr>
                <w:b/>
                <w:color w:val="051F39"/>
                <w:sz w:val="17"/>
              </w:rPr>
              <w:t>Issue</w:t>
            </w:r>
          </w:p>
        </w:tc>
        <w:tc>
          <w:tcPr>
            <w:tcW w:type="dxa" w:w="3552"/>
            <w:vAlign w:val="center"/>
            <w:shd w:fill="ECF0F3"/>
          </w:tcPr>
          <w:p>
            <w:r>
              <w:rPr>
                <w:b/>
                <w:color w:val="051F39"/>
                <w:sz w:val="17"/>
              </w:rPr>
              <w:t>Likely Cause</w:t>
            </w:r>
          </w:p>
        </w:tc>
        <w:tc>
          <w:tcPr>
            <w:tcW w:type="dxa" w:w="3552"/>
            <w:vAlign w:val="center"/>
            <w:shd w:fill="ECF0F3"/>
          </w:tcPr>
          <w:p>
            <w:r>
              <w:rPr>
                <w:b/>
                <w:color w:val="051F39"/>
                <w:sz w:val="17"/>
              </w:rPr>
              <w:t>Fix</w:t>
            </w:r>
          </w:p>
        </w:tc>
      </w:tr>
      <w:tr>
        <w:tc>
          <w:tcPr>
            <w:tcW w:type="dxa" w:w="3552"/>
            <w:vAlign w:val="center"/>
          </w:tcPr>
          <w:p>
            <w:r>
              <w:rPr>
                <w:color w:val="1F2B37"/>
                <w:sz w:val="16"/>
              </w:rPr>
              <w:t>Project not visible</w:t>
            </w:r>
          </w:p>
        </w:tc>
        <w:tc>
          <w:tcPr>
            <w:tcW w:type="dxa" w:w="3552"/>
            <w:vAlign w:val="center"/>
          </w:tcPr>
          <w:p>
            <w:r>
              <w:rPr>
                <w:color w:val="1F2B37"/>
                <w:sz w:val="16"/>
              </w:rPr>
              <w:t>Folder not under sector folder or generator not run</w:t>
            </w:r>
          </w:p>
        </w:tc>
        <w:tc>
          <w:tcPr>
            <w:tcW w:type="dxa" w:w="3552"/>
            <w:vAlign w:val="center"/>
          </w:tcPr>
          <w:p>
            <w:r>
              <w:rPr>
                <w:color w:val="1F2B37"/>
                <w:sz w:val="16"/>
              </w:rPr>
              <w:t>Place folder under `projects/{Sector}` and rerun generator</w:t>
            </w:r>
          </w:p>
        </w:tc>
      </w:tr>
      <w:tr>
        <w:tc>
          <w:tcPr>
            <w:tcW w:type="dxa" w:w="3552"/>
            <w:vAlign w:val="center"/>
          </w:tcPr>
          <w:p>
            <w:r>
              <w:rPr>
                <w:color w:val="1F2B37"/>
                <w:sz w:val="16"/>
              </w:rPr>
              <w:t>Website shows old data</w:t>
            </w:r>
          </w:p>
        </w:tc>
        <w:tc>
          <w:tcPr>
            <w:tcW w:type="dxa" w:w="3552"/>
            <w:vAlign w:val="center"/>
          </w:tcPr>
          <w:p>
            <w:r>
              <w:rPr>
                <w:color w:val="1F2B37"/>
                <w:sz w:val="16"/>
              </w:rPr>
              <w:t>JSON not regenerated or GitHub/Vercel not updated</w:t>
            </w:r>
          </w:p>
        </w:tc>
        <w:tc>
          <w:tcPr>
            <w:tcW w:type="dxa" w:w="3552"/>
            <w:vAlign w:val="center"/>
          </w:tcPr>
          <w:p>
            <w:r>
              <w:rPr>
                <w:color w:val="1F2B37"/>
                <w:sz w:val="16"/>
              </w:rPr>
              <w:t>Run generator, sync, redeploy</w:t>
            </w:r>
          </w:p>
        </w:tc>
      </w:tr>
      <w:tr>
        <w:tc>
          <w:tcPr>
            <w:tcW w:type="dxa" w:w="3552"/>
            <w:vAlign w:val="center"/>
          </w:tcPr>
          <w:p>
            <w:r>
              <w:rPr>
                <w:color w:val="1F2B37"/>
                <w:sz w:val="16"/>
              </w:rPr>
              <w:t>Conference button missing</w:t>
            </w:r>
          </w:p>
        </w:tc>
        <w:tc>
          <w:tcPr>
            <w:tcW w:type="dxa" w:w="3552"/>
            <w:vAlign w:val="center"/>
          </w:tcPr>
          <w:p>
            <w:r>
              <w:rPr>
                <w:color w:val="1F2B37"/>
                <w:sz w:val="16"/>
              </w:rPr>
              <w:t>`meeting_url` missing in `project.json`</w:t>
            </w:r>
          </w:p>
        </w:tc>
        <w:tc>
          <w:tcPr>
            <w:tcW w:type="dxa" w:w="3552"/>
            <w:vAlign w:val="center"/>
          </w:tcPr>
          <w:p>
            <w:r>
              <w:rPr>
                <w:color w:val="1F2B37"/>
                <w:sz w:val="16"/>
              </w:rPr>
              <w:t>Add meeting URL and regenerate</w:t>
            </w:r>
          </w:p>
        </w:tc>
      </w:tr>
      <w:tr>
        <w:tc>
          <w:tcPr>
            <w:tcW w:type="dxa" w:w="3552"/>
            <w:vAlign w:val="center"/>
          </w:tcPr>
          <w:p>
            <w:r>
              <w:rPr>
                <w:color w:val="1F2B37"/>
                <w:sz w:val="16"/>
              </w:rPr>
              <w:t>Letters not detected</w:t>
            </w:r>
          </w:p>
        </w:tc>
        <w:tc>
          <w:tcPr>
            <w:tcW w:type="dxa" w:w="3552"/>
            <w:vAlign w:val="center"/>
          </w:tcPr>
          <w:p>
            <w:r>
              <w:rPr>
                <w:color w:val="1F2B37"/>
                <w:sz w:val="16"/>
              </w:rPr>
              <w:t>Files not in project inbox</w:t>
            </w:r>
          </w:p>
        </w:tc>
        <w:tc>
          <w:tcPr>
            <w:tcW w:type="dxa" w:w="3552"/>
            <w:vAlign w:val="center"/>
          </w:tcPr>
          <w:p>
            <w:r>
              <w:rPr>
                <w:color w:val="1F2B37"/>
                <w:sz w:val="16"/>
              </w:rPr>
              <w:t>Add files under `07-letters_intelligence/inbox`</w:t>
            </w:r>
          </w:p>
        </w:tc>
      </w:tr>
      <w:tr>
        <w:tc>
          <w:tcPr>
            <w:tcW w:type="dxa" w:w="3552"/>
            <w:vAlign w:val="center"/>
          </w:tcPr>
          <w:p>
            <w:r>
              <w:rPr>
                <w:color w:val="1F2B37"/>
                <w:sz w:val="16"/>
              </w:rPr>
              <w:t>Delay tab missing files</w:t>
            </w:r>
          </w:p>
        </w:tc>
        <w:tc>
          <w:tcPr>
            <w:tcW w:type="dxa" w:w="3552"/>
            <w:vAlign w:val="center"/>
          </w:tcPr>
          <w:p>
            <w:r>
              <w:rPr>
                <w:color w:val="1F2B37"/>
                <w:sz w:val="16"/>
              </w:rPr>
              <w:t>Required TIA CSVs absent or named differently</w:t>
            </w:r>
          </w:p>
        </w:tc>
        <w:tc>
          <w:tcPr>
            <w:tcW w:type="dxa" w:w="3552"/>
            <w:vAlign w:val="center"/>
          </w:tcPr>
          <w:p>
            <w:r>
              <w:rPr>
                <w:color w:val="1F2B37"/>
                <w:sz w:val="16"/>
              </w:rPr>
              <w:t>Add files to `02-delay_analysis/steel_delay_tia_templates`</w:t>
            </w:r>
          </w:p>
        </w:tc>
      </w:tr>
      <w:tr>
        <w:tc>
          <w:tcPr>
            <w:tcW w:type="dxa" w:w="3552"/>
            <w:vAlign w:val="center"/>
          </w:tcPr>
          <w:p>
            <w:r>
              <w:rPr>
                <w:color w:val="1F2B37"/>
                <w:sz w:val="16"/>
              </w:rPr>
              <w:t>Claims data looks empty</w:t>
            </w:r>
          </w:p>
        </w:tc>
        <w:tc>
          <w:tcPr>
            <w:tcW w:type="dxa" w:w="3552"/>
            <w:vAlign w:val="center"/>
          </w:tcPr>
          <w:p>
            <w:r>
              <w:rPr>
                <w:color w:val="1F2B37"/>
                <w:sz w:val="16"/>
              </w:rPr>
              <w:t>Contract source or DB missing</w:t>
            </w:r>
          </w:p>
        </w:tc>
        <w:tc>
          <w:tcPr>
            <w:tcW w:type="dxa" w:w="3552"/>
            <w:vAlign w:val="center"/>
          </w:tcPr>
          <w:p>
            <w:r>
              <w:rPr>
                <w:color w:val="1F2B37"/>
                <w:sz w:val="16"/>
              </w:rPr>
              <w:t>Add contract source files and rebuild contract library in Streamlit</w:t>
            </w:r>
          </w:p>
        </w:tc>
      </w:tr>
      <w:tr>
        <w:tc>
          <w:tcPr>
            <w:tcW w:type="dxa" w:w="3552"/>
            <w:vAlign w:val="center"/>
          </w:tcPr>
          <w:p>
            <w:r>
              <w:rPr>
                <w:color w:val="1F2B37"/>
                <w:sz w:val="16"/>
              </w:rPr>
              <w:t>Sync fails 401</w:t>
            </w:r>
          </w:p>
        </w:tc>
        <w:tc>
          <w:tcPr>
            <w:tcW w:type="dxa" w:w="3552"/>
            <w:vAlign w:val="center"/>
          </w:tcPr>
          <w:p>
            <w:r>
              <w:rPr>
                <w:color w:val="1F2B37"/>
                <w:sz w:val="16"/>
              </w:rPr>
              <w:t>Token not available in process scope</w:t>
            </w:r>
          </w:p>
        </w:tc>
        <w:tc>
          <w:tcPr>
            <w:tcW w:type="dxa" w:w="3552"/>
            <w:vAlign w:val="center"/>
          </w:tcPr>
          <w:p>
            <w:r>
              <w:rPr>
                <w:color w:val="1F2B37"/>
                <w:sz w:val="16"/>
              </w:rPr>
              <w:t>Set `GITHUB_TOKEN` or `GH_TOKEN` in the active Windows environment</w:t>
            </w:r>
          </w:p>
        </w:tc>
      </w:tr>
      <w:tr>
        <w:tc>
          <w:tcPr>
            <w:tcW w:type="dxa" w:w="3552"/>
            <w:vAlign w:val="center"/>
          </w:tcPr>
          <w:p>
            <w:r>
              <w:rPr>
                <w:color w:val="1F2B37"/>
                <w:sz w:val="16"/>
              </w:rPr>
              <w:t>Vercel build warning about audit</w:t>
            </w:r>
          </w:p>
        </w:tc>
        <w:tc>
          <w:tcPr>
            <w:tcW w:type="dxa" w:w="3552"/>
            <w:vAlign w:val="center"/>
          </w:tcPr>
          <w:p>
            <w:r>
              <w:rPr>
                <w:color w:val="1F2B37"/>
                <w:sz w:val="16"/>
              </w:rPr>
              <w:t>Dev-package audit noise</w:t>
            </w:r>
          </w:p>
        </w:tc>
        <w:tc>
          <w:tcPr>
            <w:tcW w:type="dxa" w:w="3552"/>
            <w:vAlign w:val="center"/>
          </w:tcPr>
          <w:p>
            <w:r>
              <w:rPr>
                <w:color w:val="1F2B37"/>
                <w:sz w:val="16"/>
              </w:rPr>
              <w:t>Check production audit with `npm audit --omit=dev`</w:t>
            </w:r>
          </w:p>
        </w:tc>
      </w:tr>
    </w:tbl>
    <w:p>
      <w:pPr>
        <w:pStyle w:val="Heading1"/>
      </w:pPr>
      <w:r>
        <w:rPr>
          <w:rFonts w:ascii="Arial" w:hAnsi="Arial"/>
          <w:color w:val="051F39"/>
        </w:rPr>
        <w:t>22. Maintenance Rules</w:t>
      </w:r>
    </w:p>
    <w:p>
      <w:pPr>
        <w:ind w:left="288"/>
      </w:pPr>
      <w:r>
        <w:rPr>
          <w:color w:val="008484"/>
        </w:rPr>
        <w:t xml:space="preserve">• </w:t>
      </w:r>
      <w:r>
        <w:t>Do not mix project data between folders.</w:t>
      </w:r>
    </w:p>
    <w:p>
      <w:pPr>
        <w:ind w:left="288"/>
      </w:pPr>
      <w:r>
        <w:rPr>
          <w:color w:val="008484"/>
        </w:rPr>
        <w:t xml:space="preserve">• </w:t>
      </w:r>
      <w:r>
        <w:t>Do not hardcode project names in the website UI.</w:t>
      </w:r>
    </w:p>
    <w:p>
      <w:pPr>
        <w:ind w:left="288"/>
      </w:pPr>
      <w:r>
        <w:rPr>
          <w:color w:val="008484"/>
        </w:rPr>
        <w:t xml:space="preserve">• </w:t>
      </w:r>
      <w:r>
        <w:t>Use `project.json` for project identity and meeting links.</w:t>
      </w:r>
    </w:p>
    <w:p>
      <w:pPr>
        <w:ind w:left="288"/>
      </w:pPr>
      <w:r>
        <w:rPr>
          <w:color w:val="008484"/>
        </w:rPr>
        <w:t xml:space="preserve">• </w:t>
      </w:r>
      <w:r>
        <w:t>Use CSV files as the source of visible project data.</w:t>
      </w:r>
    </w:p>
    <w:p>
      <w:pPr>
        <w:ind w:left="288"/>
      </w:pPr>
      <w:r>
        <w:rPr>
          <w:color w:val="008484"/>
        </w:rPr>
        <w:t xml:space="preserve">• </w:t>
      </w:r>
      <w:r>
        <w:t>Regenerate website JSON after source changes.</w:t>
      </w:r>
    </w:p>
    <w:p>
      <w:pPr>
        <w:ind w:left="288"/>
      </w:pPr>
      <w:r>
        <w:rPr>
          <w:color w:val="008484"/>
        </w:rPr>
        <w:t xml:space="preserve">• </w:t>
      </w:r>
      <w:r>
        <w:t>Keep automatic outputs as HTML in per-project output folders.</w:t>
      </w:r>
    </w:p>
    <w:p>
      <w:pPr>
        <w:ind w:left="288"/>
      </w:pPr>
      <w:r>
        <w:rPr>
          <w:color w:val="008484"/>
        </w:rPr>
        <w:t xml:space="preserve">• </w:t>
      </w:r>
      <w:r>
        <w:t>Keep credentials outside the repository.</w:t>
      </w:r>
    </w:p>
    <w:p>
      <w:pPr>
        <w:ind w:left="288"/>
      </w:pPr>
      <w:r>
        <w:rPr>
          <w:color w:val="008484"/>
        </w:rPr>
        <w:t xml:space="preserve">• </w:t>
      </w:r>
      <w:r>
        <w:t>Use the Streamlit app for deep Python workflows and the Next.js site for public/mobile viewing.</w:t>
      </w:r>
    </w:p>
    <w:p>
      <w:pPr>
        <w:pStyle w:val="Heading1"/>
      </w:pPr>
      <w:r>
        <w:rPr>
          <w:rFonts w:ascii="Arial" w:hAnsi="Arial"/>
          <w:color w:val="051F39"/>
        </w:rPr>
        <w:t>23. Roadmap</w:t>
      </w:r>
    </w:p>
    <w:p>
      <w:pPr>
        <w:spacing w:after="80"/>
      </w:pPr>
      <w:r>
        <w:t>Recommended next improvements:</w:t>
      </w:r>
    </w:p>
    <w:p>
      <w:pPr>
        <w:spacing w:after="80"/>
      </w:pPr>
      <w:r>
        <w:t>1. Add a backend API if live online uploads and AI extraction are required on Vercel.</w:t>
      </w:r>
    </w:p>
    <w:p>
      <w:pPr>
        <w:spacing w:after="80"/>
      </w:pPr>
      <w:r>
        <w:t>2. Add project-level authentication if dashboard access must be private.</w:t>
      </w:r>
    </w:p>
    <w:p>
      <w:pPr>
        <w:spacing w:after="80"/>
      </w:pPr>
      <w:r>
        <w:t>3. Add scheduled GitHub/Vercel automation for automatic rebuilds.</w:t>
      </w:r>
    </w:p>
    <w:p>
      <w:pPr>
        <w:spacing w:after="80"/>
      </w:pPr>
      <w:r>
        <w:t>4. Add Playwright tests for tab clicks and mobile rendering.</w:t>
      </w:r>
    </w:p>
    <w:p>
      <w:pPr>
        <w:spacing w:after="80"/>
      </w:pPr>
      <w:r>
        <w:t>5. Add a small admin page to edit `project.json` safely.</w:t>
      </w:r>
    </w:p>
    <w:p>
      <w:pPr>
        <w:spacing w:after="80"/>
      </w:pPr>
      <w:r>
        <w:t>6. Add export status badges for each generated report.</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Project Intelligence Hub | Comprehensive App Guide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B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