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88"/>
        <w:gridCol w:w="4032"/>
      </w:tblGrid>
      <w:tr>
        <w:tc>
          <w:tcPr>
            <w:tcW w:type="dxa" w:w="7726"/>
            <w:shd w:fill="0B1F35"/>
            <w:tcBorders>
              <w:top w:val="single" w:sz="4" w:space="0" w:color="0B1F35"/>
              <w:left w:val="single" w:sz="4" w:space="0" w:color="0B1F35"/>
              <w:bottom w:val="single" w:sz="4" w:space="0" w:color="0B1F35"/>
              <w:right w:val="single" w:sz="4" w:space="0" w:color="0B1F35"/>
            </w:tcBorders>
            <w:vAlign w:val="center"/>
          </w:tcPr>
          <w:p>
            <w:pPr>
              <w:jc w:val="left"/>
            </w:pPr>
            <w:r/>
            <w:r>
              <w:rPr>
                <w:rFonts w:ascii="Segoe UI Semibold" w:hAnsi="Segoe UI Semibold"/>
                <w:b/>
                <w:color w:val="FFFFFF"/>
                <w:sz w:val="42"/>
              </w:rPr>
              <w:t>Project Intelligence Hub - Feature Brief</w:t>
            </w:r>
          </w:p>
          <w:p>
            <w:pPr>
              <w:spacing w:before="60" w:after="0"/>
            </w:pPr>
            <w:r>
              <w:rPr>
                <w:rFonts w:ascii="Segoe UI" w:hAnsi="Segoe UI"/>
                <w:color w:val="C8D7E3"/>
                <w:sz w:val="20"/>
              </w:rPr>
              <w:t>Clear executive summary of program capabilities for top management review</w:t>
            </w:r>
          </w:p>
        </w:tc>
        <w:tc>
          <w:tcPr>
            <w:tcW w:type="dxa" w:w="7726"/>
            <w:shd w:fill="0B1F35"/>
            <w:tcBorders>
              <w:top w:val="single" w:sz="4" w:space="0" w:color="0B1F35"/>
              <w:left w:val="single" w:sz="4" w:space="0" w:color="0B1F35"/>
              <w:bottom w:val="single" w:sz="4" w:space="0" w:color="0B1F35"/>
              <w:right w:val="single" w:sz="4" w:space="0" w:color="0B1F35"/>
            </w:tcBorders>
            <w:vAlign w:val="center"/>
          </w:tcPr>
          <w:p>
            <w:pPr>
              <w:jc w:val="right"/>
            </w:pPr>
            <w:r/>
            <w:r>
              <w:rPr>
                <w:rFonts w:ascii="Segoe UI Semibold" w:hAnsi="Segoe UI Semibold"/>
                <w:b/>
                <w:color w:val="C79A2B"/>
                <w:sz w:val="24"/>
              </w:rPr>
              <w:t>Management View</w:t>
            </w:r>
          </w:p>
          <w:p>
            <w:pPr>
              <w:jc w:val="right"/>
            </w:pPr>
            <w:r>
              <w:rPr>
                <w:color w:val="C8D7E3"/>
                <w:sz w:val="17"/>
              </w:rPr>
              <w:t>Aligned | Simple | Actionable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  <w:gridCol w:w="4536"/>
      </w:tblGrid>
      <w:tr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</w:tcPr>
          <w:p>
            <w:r/>
            <w:r>
              <w:rPr>
                <w:rFonts w:ascii="Segoe UI Semibold" w:hAnsi="Segoe UI Semibold"/>
                <w:b/>
                <w:color w:val="173B63"/>
                <w:sz w:val="17"/>
              </w:rPr>
              <w:t>PURPOSE</w:t>
            </w:r>
          </w:p>
          <w:p>
            <w:r>
              <w:rPr>
                <w:rFonts w:ascii="Segoe UI" w:hAnsi="Segoe UI"/>
                <w:color w:val="526276"/>
                <w:sz w:val="18"/>
              </w:rPr>
              <w:t>One-page guide to what each program feature does.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</w:tcPr>
          <w:p>
            <w:r/>
            <w:r>
              <w:rPr>
                <w:rFonts w:ascii="Segoe UI Semibold" w:hAnsi="Segoe UI Semibold"/>
                <w:b/>
                <w:color w:val="173B63"/>
                <w:sz w:val="17"/>
              </w:rPr>
              <w:t>AUDIENCE</w:t>
            </w:r>
          </w:p>
          <w:p>
            <w:r>
              <w:rPr>
                <w:rFonts w:ascii="Segoe UI" w:hAnsi="Segoe UI"/>
                <w:color w:val="526276"/>
                <w:sz w:val="18"/>
              </w:rPr>
              <w:t>Executive directors, PMO, project controls, and claims leadership.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</w:tcPr>
          <w:p>
            <w:r/>
            <w:r>
              <w:rPr>
                <w:rFonts w:ascii="Segoe UI Semibold" w:hAnsi="Segoe UI Semibold"/>
                <w:b/>
                <w:color w:val="173B63"/>
                <w:sz w:val="17"/>
              </w:rPr>
              <w:t>USE</w:t>
            </w:r>
          </w:p>
          <w:p>
            <w:r>
              <w:rPr>
                <w:rFonts w:ascii="Segoe UI" w:hAnsi="Segoe UI"/>
                <w:color w:val="526276"/>
                <w:sz w:val="18"/>
              </w:rPr>
              <w:t>Fast orientation before dashboard, report, or project-review meetings.</w:t>
            </w:r>
          </w:p>
        </w:tc>
      </w:tr>
    </w:tbl>
    <w:p>
      <w:pPr>
        <w:spacing w:before="200" w:after="120"/>
      </w:pPr>
      <w:r>
        <w:rPr>
          <w:rFonts w:ascii="Segoe UI Semibold" w:hAnsi="Segoe UI Semibold"/>
          <w:b/>
          <w:color w:val="173B63"/>
          <w:sz w:val="28"/>
        </w:rPr>
        <w:t>Feature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672"/>
        <w:gridCol w:w="10080"/>
      </w:tblGrid>
      <w:tr>
        <w:tc>
          <w:tcPr>
            <w:tcW w:type="dxa" w:w="5151"/>
            <w:shd w:fill="173B63"/>
            <w:tcBorders>
              <w:top w:val="single" w:sz="8" w:space="0" w:color="173B63"/>
              <w:left w:val="single" w:sz="8" w:space="0" w:color="173B63"/>
              <w:bottom w:val="single" w:sz="8" w:space="0" w:color="173B63"/>
              <w:right w:val="single" w:sz="8" w:space="0" w:color="173B63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No.</w:t>
            </w:r>
          </w:p>
        </w:tc>
        <w:tc>
          <w:tcPr>
            <w:tcW w:type="dxa" w:w="5151"/>
            <w:shd w:fill="173B63"/>
            <w:tcBorders>
              <w:top w:val="single" w:sz="8" w:space="0" w:color="173B63"/>
              <w:left w:val="single" w:sz="8" w:space="0" w:color="173B63"/>
              <w:bottom w:val="single" w:sz="8" w:space="0" w:color="173B63"/>
              <w:right w:val="single" w:sz="8" w:space="0" w:color="173B63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151"/>
            <w:shd w:fill="173B63"/>
            <w:tcBorders>
              <w:top w:val="single" w:sz="8" w:space="0" w:color="173B63"/>
              <w:left w:val="single" w:sz="8" w:space="0" w:color="173B63"/>
              <w:bottom w:val="single" w:sz="8" w:space="0" w:color="173B63"/>
              <w:right w:val="single" w:sz="8" w:space="0" w:color="173B63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FFFFFF"/>
                <w:sz w:val="18"/>
              </w:rPr>
              <w:t>Simple Explanation</w:t>
            </w:r>
          </w:p>
        </w:tc>
      </w:tr>
      <w:tr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01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Decision Making Dashboard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Portfolio command view for top management, aggregating all projects by sector, value, progress, risk, SPI/CPI, and decisions required.</w:t>
            </w:r>
          </w:p>
        </w:tc>
      </w:tr>
      <w:tr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02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Overview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Project identity, contract value, duration, progress, and key executive indicators for the selected project.</w:t>
            </w:r>
          </w:p>
        </w:tc>
      </w:tr>
      <w:tr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03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WBS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Work breakdown structure view showing project scope organization, WBS progress, budget, and actual cost alignment.</w:t>
            </w:r>
          </w:p>
        </w:tc>
      </w:tr>
      <w:tr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04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Activities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Activity register and schedule-control view for planned, actual, forecast, critical, deviated, and responsible-party tracking.</w:t>
            </w:r>
          </w:p>
        </w:tc>
      </w:tr>
      <w:tr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05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Milestones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Milestone and change-order control view showing key dates, forecast movement, variance, and management status.</w:t>
            </w:r>
          </w:p>
        </w:tc>
      </w:tr>
      <w:tr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06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S-Curve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Planned, actual, and invoiced trend view for progress and cash-flow comparison over time.</w:t>
            </w:r>
          </w:p>
        </w:tc>
      </w:tr>
      <w:tr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07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EVM Analysis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Earned value control panel for BAC, PV, EV, AC, SV, CV, SPI, CPI, EAC, and performance interpretation.</w:t>
            </w:r>
          </w:p>
        </w:tc>
      </w:tr>
      <w:tr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08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Contracts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Contract and payment position view showing active contracts, certified value, paid value, and commercial exposure.</w:t>
            </w:r>
          </w:p>
        </w:tc>
      </w:tr>
      <w:tr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09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Letters Intelligence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Correspondence intelligence view that organizes letters, issues, references, delays, claims signals, and response tracking.</w:t>
            </w:r>
          </w:p>
        </w:tc>
      </w:tr>
      <w:tr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10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Delays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Delay event register showing causes, responsibility, status, affected activities, estimated days, and EOT potential.</w:t>
            </w:r>
          </w:p>
        </w:tc>
      </w:tr>
      <w:tr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11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Time Impact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Schedule-impact view connecting delays, risks, activities, contracts, and letters to support time-impact reasoning.</w:t>
            </w:r>
          </w:p>
        </w:tc>
      </w:tr>
      <w:tr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12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Risks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Risk dashboard for open risks, steel issues, RFIs, IFC conflicts, probability, impact, ownership, and mitigation status.</w:t>
            </w:r>
          </w:p>
        </w:tc>
      </w:tr>
      <w:tr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13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Delay Analysis - Time Impact Analysis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TIA module for uploads, methodology, data tables, MEP activities, question answering, fragnets, concurrency, and entitlement outputs.</w:t>
            </w:r>
          </w:p>
        </w:tc>
      </w:tr>
      <w:tr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14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Contract &amp; Claims Intelligence Center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Project-specific claims workspace for contract clauses, evidence mapping, entitlement review, rebuttals, and claim export support.</w:t>
            </w:r>
          </w:p>
        </w:tc>
      </w:tr>
      <w:tr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15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Output Studio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Report and dashboard generation center producing executive HTML outputs, Master Dashboard, Elite SVG charts, and linked dashboards.</w:t>
            </w:r>
          </w:p>
        </w:tc>
      </w:tr>
      <w:tr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16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Automatic Project Outputs</w:t>
            </w:r>
          </w:p>
        </w:tc>
        <w:tc>
          <w:tcPr>
            <w:tcW w:type="dxa" w:w="5151"/>
            <w:shd w:fill="EEF3F7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Creates four HTML reports automatically for each project under root 11-outputs, refreshing only changed project folders.</w:t>
            </w:r>
          </w:p>
        </w:tc>
      </w:tr>
      <w:tr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C79A2B"/>
                <w:sz w:val="17"/>
              </w:rPr>
              <w:t>17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/>
                <w:color w:val="173B63"/>
                <w:sz w:val="18"/>
              </w:rPr>
              <w:t>Repository Sync</w:t>
            </w:r>
          </w:p>
        </w:tc>
        <w:tc>
          <w:tcPr>
            <w:tcW w:type="dxa" w:w="5151"/>
            <w:shd w:fill="FFFFFF"/>
            <w:tcBorders>
              <w:top w:val="single" w:sz="8" w:space="0" w:color="D9E4EC"/>
              <w:left w:val="single" w:sz="8" w:space="0" w:color="D9E4EC"/>
              <w:bottom w:val="single" w:sz="8" w:space="0" w:color="D9E4EC"/>
              <w:right w:val="single" w:sz="8" w:space="0" w:color="D9E4EC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Segoe UI" w:hAnsi="Segoe UI"/>
                <w:b w:val="0"/>
                <w:color w:val="172033"/>
                <w:sz w:val="18"/>
              </w:rPr>
              <w:t>No-Git synchronization pushes code, project data, generated HTML outputs, folder changes, and new projects to GitHub.</w:t>
            </w:r>
          </w:p>
        </w:tc>
      </w:tr>
    </w:tbl>
    <w:p>
      <w:pPr>
        <w:spacing w:before="200"/>
        <w:jc w:val="center"/>
      </w:pPr>
      <w:r>
        <w:rPr>
          <w:rFonts w:ascii="Segoe UI" w:hAnsi="Segoe UI"/>
          <w:color w:val="526276"/>
          <w:sz w:val="17"/>
        </w:rPr>
        <w:t>Generated from the current Project Intelligence Hub feature structure | Designed for concise top-management orientation</w:t>
      </w:r>
    </w:p>
    <w:sectPr w:rsidR="00FC693F" w:rsidRPr="0006063C" w:rsidSect="00034616">
      <w:footerReference w:type="default" r:id="rId9"/>
      <w:pgSz w:w="16834" w:h="11909" w:orient="landscape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26276"/>
        <w:sz w:val="16"/>
      </w:rPr>
      <w:t>Project Intelligence Hub | Feature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