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F3B"/>
          <w:sz w:val="48"/>
        </w:rPr>
        <w:t>SAMCO Project Intelligence Hub</w:t>
      </w:r>
    </w:p>
    <w:p>
      <w:pPr>
        <w:jc w:val="center"/>
      </w:pPr>
      <w:r>
        <w:rPr>
          <w:color w:val="1F4E79"/>
          <w:sz w:val="24"/>
        </w:rPr>
        <w:t>Board Report: Planning, Controls, Automation, AI Decision Intelligence, and Full Control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FF4D6"/>
          </w:tcPr>
          <w:p>
            <w:r>
              <w:rPr>
                <w:b/>
                <w:color w:val="BF9000"/>
                <w:sz w:val="18"/>
              </w:rPr>
              <w:t>EXECUTIVE POSITION</w:t>
              <w:br/>
            </w:r>
            <w:r>
              <w:rPr>
                <w:color w:val="162333"/>
                <w:sz w:val="20"/>
              </w:rPr>
              <w:t>The app has moved from a dashboard into an integrated project-control intelligence platform. It now combines portfolio command, project workspaces, Delay/TIA logic, claims intelligence, technical knowledge, AI-assisted search, generated HTML outputs, and project-isolated data pipelines. The next strategic step is to convert it from a powerful internal system into a governed enterprise control system with validated data ownership, cloud authentication, persistent actions, and connected document control.</w:t>
            </w:r>
          </w:p>
        </w:tc>
      </w:tr>
    </w:tbl>
    <w:p/>
    <w:p>
      <w:pPr>
        <w:spacing w:before="200" w:after="80"/>
      </w:pPr>
      <w:r>
        <w:rPr>
          <w:b/>
          <w:color w:val="071F3B"/>
          <w:sz w:val="32"/>
        </w:rPr>
        <w:t>1. What Was Newly Implemented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456"/>
            <w:shd w:fill="071F3B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10656"/>
            <w:shd w:fill="071F3B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Implementation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Next.js executive website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Same-page Decision Making Dashboard plus Project Workspace with dropdown-driven project selection.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Executive decision intelligence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Portfolio decision brief, predictive warnings, confidence badges, scenario planner, and action tracker.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Unified AI search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Searches portfolio/project JSON, technical bank, letters metadata, contracts, Delay/TIA, outputs, and source indicators.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Technical Knowledge Advisor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Company-level question bank is shared; portfolio mode aggregates projects, project mode stays isolated.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Submitted TIA logic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The BIG Delay Analysis follows Level 1-4 gates: contract, evidence, schedule, concurrency, mitigation, determination.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Project isolation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Each project reads generated JSON from its own folder and keeps reports, letters, evidence, contracts, and outputs separated.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Mobile safety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Responsive layout and Executive Light Mode reduce heavy embeds and prevent horizontal overflow.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Generated outputs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Automatic project HTML output structure supports executive dashboard, master dashboard, SVG charts, and linked dashboard.</w:t>
            </w:r>
          </w:p>
        </w:tc>
      </w:tr>
    </w:tbl>
    <w:p/>
    <w:p>
      <w:pPr>
        <w:spacing w:before="200" w:after="80"/>
      </w:pPr>
      <w:r>
        <w:rPr>
          <w:b/>
          <w:color w:val="071F3B"/>
          <w:sz w:val="32"/>
        </w:rPr>
        <w:t>2. Current Portfolio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4320"/>
            <w:shd w:fill="071F3B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9792"/>
            <w:shd w:fill="071F3B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Current value from generated portfolio JSON</w:t>
            </w:r>
          </w:p>
        </w:tc>
      </w:tr>
      <w:tr>
        <w:tc>
          <w:tcPr>
            <w:tcW w:type="dxa" w:w="4320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Recognized projects</w:t>
            </w:r>
          </w:p>
        </w:tc>
        <w:tc>
          <w:tcPr>
            <w:tcW w:type="dxa" w:w="9792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4</w:t>
            </w:r>
          </w:p>
        </w:tc>
      </w:tr>
      <w:tr>
        <w:tc>
          <w:tcPr>
            <w:tcW w:type="dxa" w:w="4320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Recognized sectors</w:t>
            </w:r>
          </w:p>
        </w:tc>
        <w:tc>
          <w:tcPr>
            <w:tcW w:type="dxa" w:w="9792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3</w:t>
            </w:r>
          </w:p>
        </w:tc>
      </w:tr>
      <w:tr>
        <w:tc>
          <w:tcPr>
            <w:tcW w:type="dxa" w:w="4320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Total contract value</w:t>
            </w:r>
          </w:p>
        </w:tc>
        <w:tc>
          <w:tcPr>
            <w:tcW w:type="dxa" w:w="9792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EGP 4,200,000,000</w:t>
            </w:r>
          </w:p>
        </w:tc>
      </w:tr>
      <w:tr>
        <w:tc>
          <w:tcPr>
            <w:tcW w:type="dxa" w:w="4320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Total spent</w:t>
            </w:r>
          </w:p>
        </w:tc>
        <w:tc>
          <w:tcPr>
            <w:tcW w:type="dxa" w:w="9792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EGP 51,867,470</w:t>
            </w:r>
          </w:p>
        </w:tc>
      </w:tr>
      <w:tr>
        <w:tc>
          <w:tcPr>
            <w:tcW w:type="dxa" w:w="4320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Remaining value</w:t>
            </w:r>
          </w:p>
        </w:tc>
        <w:tc>
          <w:tcPr>
            <w:tcW w:type="dxa" w:w="9792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EGP 4,148,132,530</w:t>
            </w:r>
          </w:p>
        </w:tc>
      </w:tr>
      <w:tr>
        <w:tc>
          <w:tcPr>
            <w:tcW w:type="dxa" w:w="4320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Average progress</w:t>
            </w:r>
          </w:p>
        </w:tc>
        <w:tc>
          <w:tcPr>
            <w:tcW w:type="dxa" w:w="9792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100.0%</w:t>
            </w:r>
          </w:p>
        </w:tc>
      </w:tr>
      <w:tr>
        <w:tc>
          <w:tcPr>
            <w:tcW w:type="dxa" w:w="4320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Average SPI</w:t>
            </w:r>
          </w:p>
        </w:tc>
        <w:tc>
          <w:tcPr>
            <w:tcW w:type="dxa" w:w="9792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0.75</w:t>
            </w:r>
          </w:p>
        </w:tc>
      </w:tr>
      <w:tr>
        <w:tc>
          <w:tcPr>
            <w:tcW w:type="dxa" w:w="4320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Average CPI</w:t>
            </w:r>
          </w:p>
        </w:tc>
        <w:tc>
          <w:tcPr>
            <w:tcW w:type="dxa" w:w="9792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60.11</w:t>
            </w:r>
          </w:p>
        </w:tc>
      </w:tr>
      <w:tr>
        <w:tc>
          <w:tcPr>
            <w:tcW w:type="dxa" w:w="4320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Average data quality</w:t>
            </w:r>
          </w:p>
        </w:tc>
        <w:tc>
          <w:tcPr>
            <w:tcW w:type="dxa" w:w="9792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71.4%</w:t>
            </w:r>
          </w:p>
        </w:tc>
      </w:tr>
      <w:tr>
        <w:tc>
          <w:tcPr>
            <w:tcW w:type="dxa" w:w="4320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High-priority decisions</w:t>
            </w:r>
          </w:p>
        </w:tc>
        <w:tc>
          <w:tcPr>
            <w:tcW w:type="dxa" w:w="9792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1</w:t>
            </w:r>
          </w:p>
        </w:tc>
      </w:tr>
    </w:tbl>
    <w:p/>
    <w:p>
      <w:pPr>
        <w:spacing w:before="200" w:after="80"/>
      </w:pPr>
      <w:r>
        <w:rPr>
          <w:b/>
          <w:color w:val="071F3B"/>
          <w:sz w:val="32"/>
        </w:rPr>
        <w:t>3. Most Powerful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456"/>
            <w:shd w:fill="071F3B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0656"/>
            <w:shd w:fill="071F3B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Why it is powerful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Project-isolated intelligence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Separates project folders, JSON payloads, evidence, letters, contracts, outputs and reports for scalable governance.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Decision Making Dashboard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Top management sees portfolio warnings, decision cards, risk signals, and cross-project controls without opening raw spreadsheets.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Submitted TIA assessment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Separates schedule movement, entitlement, evidence sufficiency, concurrency, mitigation, and Engineer determination.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Technical Knowledge Advisor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Users can ask natural questions; the advisor matches related knowledge items and combines them with project data.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Unified AI search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One search layer interrogates portfolio facts, selected project records, letters, claims, delay metadata, and technical knowledge.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Output automation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HTML deliverables can be regenerated per project for reporting and management distribution.</w:t>
            </w:r>
          </w:p>
        </w:tc>
      </w:tr>
    </w:tbl>
    <w:p/>
    <w:p>
      <w:pPr>
        <w:spacing w:before="200" w:after="80"/>
      </w:pPr>
      <w:r>
        <w:rPr>
          <w:b/>
          <w:color w:val="071F3B"/>
          <w:sz w:val="32"/>
        </w:rPr>
        <w:t>4. Weakest Points and Main Failures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4032"/>
            <w:shd w:fill="071F3B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Weakness / failure</w:t>
            </w:r>
          </w:p>
        </w:tc>
        <w:tc>
          <w:tcPr>
            <w:tcW w:type="dxa" w:w="10080"/>
            <w:shd w:fill="071F3B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Impact</w:t>
            </w:r>
          </w:p>
        </w:tc>
      </w:tr>
      <w:tr>
        <w:tc>
          <w:tcPr>
            <w:tcW w:type="dxa" w:w="4032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Data confidence is not yet enterprise-grade</w:t>
            </w:r>
          </w:p>
        </w:tc>
        <w:tc>
          <w:tcPr>
            <w:tcW w:type="dxa" w:w="10080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Average data quality is around 71.4%; incomplete sheets weaken executive reliability.</w:t>
            </w:r>
          </w:p>
        </w:tc>
      </w:tr>
      <w:tr>
        <w:tc>
          <w:tcPr>
            <w:tcW w:type="dxa" w:w="4032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AI is optional and currently fallback-based</w:t>
            </w:r>
          </w:p>
        </w:tc>
        <w:tc>
          <w:tcPr>
            <w:tcW w:type="dxa" w:w="10080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Without a provider key, the app returns deterministic evidence matching, not full AI synthesis.</w:t>
            </w:r>
          </w:p>
        </w:tc>
      </w:tr>
      <w:tr>
        <w:tc>
          <w:tcPr>
            <w:tcW w:type="dxa" w:w="4032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No formal user authentication in local mode</w:t>
            </w:r>
          </w:p>
        </w:tc>
        <w:tc>
          <w:tcPr>
            <w:tcW w:type="dxa" w:w="10080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Access depends on hosting/security setup rather than built-in enterprise identity.</w:t>
            </w:r>
          </w:p>
        </w:tc>
      </w:tr>
      <w:tr>
        <w:tc>
          <w:tcPr>
            <w:tcW w:type="dxa" w:w="4032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Action tracker is frontend/local first</w:t>
            </w:r>
          </w:p>
        </w:tc>
        <w:tc>
          <w:tcPr>
            <w:tcW w:type="dxa" w:w="10080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Useful workflow, but not yet a central audited database with approvals and reminders.</w:t>
            </w:r>
          </w:p>
        </w:tc>
      </w:tr>
      <w:tr>
        <w:tc>
          <w:tcPr>
            <w:tcW w:type="dxa" w:w="4032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No direct P6 calculation engine</w:t>
            </w:r>
          </w:p>
        </w:tc>
        <w:tc>
          <w:tcPr>
            <w:tcW w:type="dxa" w:w="10080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Delay/TIA can interpret submitted evidence; final entitlement still needs native schedule audit.</w:t>
            </w:r>
          </w:p>
        </w:tc>
      </w:tr>
      <w:tr>
        <w:tc>
          <w:tcPr>
            <w:tcW w:type="dxa" w:w="4032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Sync and deployment need governance</w:t>
            </w:r>
          </w:p>
        </w:tc>
        <w:tc>
          <w:tcPr>
            <w:tcW w:type="dxa" w:w="10080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Enterprise release control needs versioning, approvals, backups, and credential management.</w:t>
            </w:r>
          </w:p>
        </w:tc>
      </w:tr>
      <w:tr>
        <w:tc>
          <w:tcPr>
            <w:tcW w:type="dxa" w:w="4032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Mobile limits for heavy reports</w:t>
            </w:r>
          </w:p>
        </w:tc>
        <w:tc>
          <w:tcPr>
            <w:tcW w:type="dxa" w:w="10080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Large HTML/iframe reports can still affect low-end mobile devices.</w:t>
            </w:r>
          </w:p>
        </w:tc>
      </w:tr>
    </w:tbl>
    <w:p/>
    <w:p>
      <w:pPr>
        <w:spacing w:before="200" w:after="80"/>
      </w:pPr>
      <w:r>
        <w:rPr>
          <w:b/>
          <w:color w:val="071F3B"/>
          <w:sz w:val="32"/>
        </w:rPr>
        <w:t>5. How to Fix Failures for Free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456"/>
            <w:shd w:fill="071F3B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Free fix</w:t>
            </w:r>
          </w:p>
        </w:tc>
        <w:tc>
          <w:tcPr>
            <w:tcW w:type="dxa" w:w="10656"/>
            <w:shd w:fill="071F3B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Practical action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Data validation discipline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Create mandatory templates, reject bad rows, show missing-field dashboards, assign owners per sheet.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Local backup and restore points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Keep timestamped backups, output manifests, change logs, and rollback steps.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Free GitHub governance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Use branches, releases, issue templates, PRs, and protected main branch where possible.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Local SQLite actions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Persist decisions/actions locally by project_id with audit timestamps before paying for cloud database.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Static HTML optimization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Lazy-load reports, compress images/SVGs, and keep mobile default views light.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Manual P6 audit checklist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Require native XER validation, same data-date pairing, calendar review, and non-fragnet checks.</w:t>
            </w:r>
          </w:p>
        </w:tc>
      </w:tr>
    </w:tbl>
    <w:p/>
    <w:p>
      <w:pPr>
        <w:spacing w:before="200" w:after="80"/>
      </w:pPr>
      <w:r>
        <w:rPr>
          <w:b/>
          <w:color w:val="071F3B"/>
          <w:sz w:val="32"/>
        </w:rPr>
        <w:t>6. Subscription Fixes and Value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456"/>
            <w:shd w:fill="071F3B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Subscription</w:t>
            </w:r>
          </w:p>
        </w:tc>
        <w:tc>
          <w:tcPr>
            <w:tcW w:type="dxa" w:w="10656"/>
            <w:shd w:fill="071F3B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Usefulness if activated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Vercel Pro / hosting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Useful for reliable public access, deployment controls, and team workflows once the app is a formal portal.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Groq/OpenAI API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Useful for real synthesis across evidence, claims, letters, and technical bank if source-cited and reviewed.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Supabase / managed database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High value for central action tracker, audit log, users, permissions, and persistent decisions.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SharePoint / Google Drive / document control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Very high value if SAMCO stores letters, contracts, drawings, and evidence there.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Power BI Pro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Strong for board dashboards and scheduled refresh; less useful for detailed TIA logic alone.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Primavera P6 integration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Highest value for Delay/TIA credibility and schedule audit depth.</w:t>
            </w:r>
          </w:p>
        </w:tc>
      </w:tr>
    </w:tbl>
    <w:p/>
    <w:p>
      <w:pPr>
        <w:spacing w:before="200" w:after="80"/>
      </w:pPr>
      <w:r>
        <w:rPr>
          <w:b/>
          <w:color w:val="071F3B"/>
          <w:sz w:val="32"/>
        </w:rPr>
        <w:t>7. Subscription Features With Biggest Improvement</w:t>
      </w:r>
    </w:p>
    <w:p>
      <w:pPr>
        <w:spacing w:after="60"/>
        <w:ind w:left="317" w:hanging="173"/>
      </w:pPr>
      <w:r>
        <w:rPr>
          <w:b/>
          <w:color w:val="BF9000"/>
        </w:rPr>
        <w:t xml:space="preserve">? </w:t>
      </w:r>
      <w:r>
        <w:rPr>
          <w:color w:val="162333"/>
          <w:sz w:val="19"/>
        </w:rPr>
        <w:t>Managed database with project_id isolation, action workflow, audit log, and approvals.</w:t>
      </w:r>
    </w:p>
    <w:p>
      <w:pPr>
        <w:spacing w:after="60"/>
        <w:ind w:left="317" w:hanging="173"/>
      </w:pPr>
      <w:r>
        <w:rPr>
          <w:b/>
          <w:color w:val="BF9000"/>
        </w:rPr>
        <w:t xml:space="preserve">? </w:t>
      </w:r>
      <w:r>
        <w:rPr>
          <w:color w:val="162333"/>
          <w:sz w:val="19"/>
        </w:rPr>
        <w:t>AI provider with retrieval controls, source citations, and Arabic/English executive drafting.</w:t>
      </w:r>
    </w:p>
    <w:p>
      <w:pPr>
        <w:spacing w:after="60"/>
        <w:ind w:left="317" w:hanging="173"/>
      </w:pPr>
      <w:r>
        <w:rPr>
          <w:b/>
          <w:color w:val="BF9000"/>
        </w:rPr>
        <w:t xml:space="preserve">? </w:t>
      </w:r>
      <w:r>
        <w:rPr>
          <w:color w:val="162333"/>
          <w:sz w:val="19"/>
        </w:rPr>
        <w:t>Document-control connector for automatic ingestion of letters, RFIs, contracts, drawings, and evidence.</w:t>
      </w:r>
    </w:p>
    <w:p>
      <w:pPr>
        <w:spacing w:after="60"/>
        <w:ind w:left="317" w:hanging="173"/>
      </w:pPr>
      <w:r>
        <w:rPr>
          <w:b/>
          <w:color w:val="BF9000"/>
        </w:rPr>
        <w:t xml:space="preserve">? </w:t>
      </w:r>
      <w:r>
        <w:rPr>
          <w:color w:val="162333"/>
          <w:sz w:val="19"/>
        </w:rPr>
        <w:t>P6/XER integration for real critical path, fragnet, calendar, float, concurrency, and finish-movement checks.</w:t>
      </w:r>
    </w:p>
    <w:p>
      <w:pPr>
        <w:spacing w:after="60"/>
        <w:ind w:left="317" w:hanging="173"/>
      </w:pPr>
      <w:r>
        <w:rPr>
          <w:b/>
          <w:color w:val="BF9000"/>
        </w:rPr>
        <w:t xml:space="preserve">? </w:t>
      </w:r>
      <w:r>
        <w:rPr>
          <w:color w:val="162333"/>
          <w:sz w:val="19"/>
        </w:rPr>
        <w:t>Role-based access control for board, project managers, planners, claims team, and document control.</w:t>
      </w:r>
    </w:p>
    <w:p>
      <w:pPr>
        <w:spacing w:after="60"/>
        <w:ind w:left="317" w:hanging="173"/>
      </w:pPr>
      <w:r>
        <w:rPr>
          <w:b/>
          <w:color w:val="BF9000"/>
        </w:rPr>
        <w:t xml:space="preserve">? </w:t>
      </w:r>
      <w:r>
        <w:rPr>
          <w:color w:val="162333"/>
          <w:sz w:val="19"/>
        </w:rPr>
        <w:t>Automated notification system for overdue decisions, missing evidence, delayed replies, and high-risk trends.</w:t>
      </w:r>
    </w:p>
    <w:p>
      <w:pPr>
        <w:spacing w:before="200" w:after="80"/>
      </w:pPr>
      <w:r>
        <w:rPr>
          <w:b/>
          <w:color w:val="071F3B"/>
          <w:sz w:val="32"/>
        </w:rPr>
        <w:t>8. Advantages of the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456"/>
            <w:shd w:fill="071F3B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Advantage</w:t>
            </w:r>
          </w:p>
        </w:tc>
        <w:tc>
          <w:tcPr>
            <w:tcW w:type="dxa" w:w="10656"/>
            <w:shd w:fill="071F3B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Meaning for SAMCO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One control room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Portfolio, project controls, letters, Delay/TIA, claims, outputs, and technical guidance sit in one page.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Project-specific governance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Prevents mixing data between projects, essential for claims and executive decisions.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Fast executive visibility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Board users see decisions required, warnings, and project health without opening spreadsheets.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Evidence-first culture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Teams prove facts from source files instead of relying on verbal explanations.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Scalable structure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New projects can be onboarded through folders and generated data rather than rewriting the app.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Strong SAMCO branding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Positions SAMCO as digitally mature, controlled, and technically disciplined.</w:t>
            </w:r>
          </w:p>
        </w:tc>
      </w:tr>
    </w:tbl>
    <w:p/>
    <w:p>
      <w:pPr>
        <w:spacing w:before="200" w:after="80"/>
      </w:pPr>
      <w:r>
        <w:rPr>
          <w:b/>
          <w:color w:val="071F3B"/>
          <w:sz w:val="32"/>
        </w:rPr>
        <w:t>9. Disadvantages and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456"/>
            <w:shd w:fill="071F3B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Disadvantage</w:t>
            </w:r>
          </w:p>
        </w:tc>
        <w:tc>
          <w:tcPr>
            <w:tcW w:type="dxa" w:w="10656"/>
            <w:shd w:fill="071F3B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Control needed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Complexity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Strong ownership, documentation, and QA are needed to prevent maintenance drift.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Data dependency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Bad source sheets create weak analytics; the app cannot replace disciplined data entry.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AI governance risk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AI must be source-backed and reviewed for claims, contract positions, and EOT submissions.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Deployment risk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Local and cloud environments must stay aligned to avoid stale outputs.</w:t>
            </w:r>
          </w:p>
        </w:tc>
      </w:tr>
      <w:tr>
        <w:tc>
          <w:tcPr>
            <w:tcW w:type="dxa" w:w="3456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Performance risk</w:t>
            </w:r>
          </w:p>
        </w:tc>
        <w:tc>
          <w:tcPr>
            <w:tcW w:type="dxa" w:w="10656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Large reports, SVGs, and embeds require optimization for low-end devices.</w:t>
            </w:r>
          </w:p>
        </w:tc>
      </w:tr>
    </w:tbl>
    <w:p/>
    <w:p>
      <w:pPr>
        <w:spacing w:before="200" w:after="80"/>
      </w:pPr>
      <w:r>
        <w:rPr>
          <w:b/>
          <w:color w:val="071F3B"/>
          <w:sz w:val="32"/>
        </w:rPr>
        <w:t>10. How the App Improves SAMCO Performance</w:t>
      </w:r>
    </w:p>
    <w:p>
      <w:pPr>
        <w:spacing w:after="60"/>
        <w:ind w:left="317" w:hanging="173"/>
      </w:pPr>
      <w:r>
        <w:rPr>
          <w:b/>
          <w:color w:val="BF9000"/>
        </w:rPr>
        <w:t xml:space="preserve">? </w:t>
      </w:r>
      <w:r>
        <w:rPr>
          <w:color w:val="162333"/>
          <w:sz w:val="19"/>
        </w:rPr>
        <w:t>Reduces decision latency by showing which project needs intervention, why, and who owns the next action.</w:t>
      </w:r>
    </w:p>
    <w:p>
      <w:pPr>
        <w:spacing w:after="60"/>
        <w:ind w:left="317" w:hanging="173"/>
      </w:pPr>
      <w:r>
        <w:rPr>
          <w:b/>
          <w:color w:val="BF9000"/>
        </w:rPr>
        <w:t xml:space="preserve">? </w:t>
      </w:r>
      <w:r>
        <w:rPr>
          <w:color w:val="162333"/>
          <w:sz w:val="19"/>
        </w:rPr>
        <w:t>Improves planning control through SPI/CPI, delay exposure, critical project alerts, and source visibility.</w:t>
      </w:r>
    </w:p>
    <w:p>
      <w:pPr>
        <w:spacing w:after="60"/>
        <w:ind w:left="317" w:hanging="173"/>
      </w:pPr>
      <w:r>
        <w:rPr>
          <w:b/>
          <w:color w:val="BF9000"/>
        </w:rPr>
        <w:t xml:space="preserve">? </w:t>
      </w:r>
      <w:r>
        <w:rPr>
          <w:color w:val="162333"/>
          <w:sz w:val="19"/>
        </w:rPr>
        <w:t>Improves claims quality by separating entitlement, evidence, concurrency, mitigation, and schedule movement.</w:t>
      </w:r>
    </w:p>
    <w:p>
      <w:pPr>
        <w:spacing w:after="60"/>
        <w:ind w:left="317" w:hanging="173"/>
      </w:pPr>
      <w:r>
        <w:rPr>
          <w:b/>
          <w:color w:val="BF9000"/>
        </w:rPr>
        <w:t xml:space="preserve">? </w:t>
      </w:r>
      <w:r>
        <w:rPr>
          <w:color w:val="162333"/>
          <w:sz w:val="19"/>
        </w:rPr>
        <w:t>Improves document discipline because letters, contracts, evidence and reports become visible parts of the pipeline.</w:t>
      </w:r>
    </w:p>
    <w:p>
      <w:pPr>
        <w:spacing w:after="60"/>
        <w:ind w:left="317" w:hanging="173"/>
      </w:pPr>
      <w:r>
        <w:rPr>
          <w:b/>
          <w:color w:val="BF9000"/>
        </w:rPr>
        <w:t xml:space="preserve">? </w:t>
      </w:r>
      <w:r>
        <w:rPr>
          <w:color w:val="162333"/>
          <w:sz w:val="19"/>
        </w:rPr>
        <w:t>Improves management communication through standardized board reports, executive dashboards, and HTML outputs.</w:t>
      </w:r>
    </w:p>
    <w:p>
      <w:pPr>
        <w:spacing w:after="60"/>
        <w:ind w:left="317" w:hanging="173"/>
      </w:pPr>
      <w:r>
        <w:rPr>
          <w:b/>
          <w:color w:val="BF9000"/>
        </w:rPr>
        <w:t xml:space="preserve">? </w:t>
      </w:r>
      <w:r>
        <w:rPr>
          <w:color w:val="162333"/>
          <w:sz w:val="19"/>
        </w:rPr>
        <w:t>Improves scalability because future projects follow the same folder and generated-output pattern.</w:t>
      </w:r>
    </w:p>
    <w:p>
      <w:pPr>
        <w:spacing w:before="200" w:after="80"/>
      </w:pPr>
      <w:r>
        <w:rPr>
          <w:b/>
          <w:color w:val="071F3B"/>
          <w:sz w:val="32"/>
        </w:rPr>
        <w:t>11. Next Move for Complete SAMCO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168"/>
            <w:shd w:fill="071F3B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Roadmap phase</w:t>
            </w:r>
          </w:p>
        </w:tc>
        <w:tc>
          <w:tcPr>
            <w:tcW w:type="dxa" w:w="10944"/>
            <w:shd w:fill="071F3B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Management action</w:t>
            </w:r>
          </w:p>
        </w:tc>
      </w:tr>
      <w:tr>
        <w:tc>
          <w:tcPr>
            <w:tcW w:type="dxa" w:w="3168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Phase 1 - Stabilize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Freeze templates, confirm project_id in all data, validate folders, and assign data-quality owners.</w:t>
            </w:r>
          </w:p>
        </w:tc>
      </w:tr>
      <w:tr>
        <w:tc>
          <w:tcPr>
            <w:tcW w:type="dxa" w:w="3168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Phase 2 - Govern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Create role-based access, database-backed action log, approval workflow, and evidence register.</w:t>
            </w:r>
          </w:p>
        </w:tc>
      </w:tr>
      <w:tr>
        <w:tc>
          <w:tcPr>
            <w:tcW w:type="dxa" w:w="3168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Phase 3 - Connect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Connect document control, SharePoint/Drive, P6 exports, and Power BI where needed.</w:t>
            </w:r>
          </w:p>
        </w:tc>
      </w:tr>
      <w:tr>
        <w:tc>
          <w:tcPr>
            <w:tcW w:type="dxa" w:w="3168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Phase 4 - Automate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Automate alerts for SPI/CPI, missing evidence, delayed replies, claim windows, TIA warnings, and overdue actions.</w:t>
            </w:r>
          </w:p>
        </w:tc>
      </w:tr>
      <w:tr>
        <w:tc>
          <w:tcPr>
            <w:tcW w:type="dxa" w:w="3168"/>
            <w:vAlign w:val="center"/>
            <w:shd w:fill="F2F4F7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Phase 5 - Institutionalize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Calibri" w:hAnsi="Calibri"/>
                <w:b w:val="0"/>
                <w:color w:val="162333"/>
                <w:sz w:val="17"/>
              </w:rPr>
              <w:t>Make this the standard SAMCO project control system for all sectors and projects.</w:t>
            </w:r>
          </w:p>
        </w:tc>
      </w:tr>
    </w:tbl>
    <w:p/>
    <w:p>
      <w:pPr>
        <w:spacing w:before="200" w:after="80"/>
      </w:pPr>
      <w:r>
        <w:rPr>
          <w:b/>
          <w:color w:val="071F3B"/>
          <w:sz w:val="32"/>
        </w:rPr>
        <w:t>12. Additional Points to Add</w:t>
      </w:r>
    </w:p>
    <w:p>
      <w:pPr>
        <w:spacing w:after="60"/>
        <w:ind w:left="317" w:hanging="173"/>
      </w:pPr>
      <w:r>
        <w:rPr>
          <w:b/>
          <w:color w:val="BF9000"/>
        </w:rPr>
        <w:t xml:space="preserve">? </w:t>
      </w:r>
      <w:r>
        <w:rPr>
          <w:color w:val="162333"/>
          <w:sz w:val="19"/>
        </w:rPr>
        <w:t>Create a data-owner matrix for planning, contracts, commercial, document control, site, technical office, and management.</w:t>
      </w:r>
    </w:p>
    <w:p>
      <w:pPr>
        <w:spacing w:after="60"/>
        <w:ind w:left="317" w:hanging="173"/>
      </w:pPr>
      <w:r>
        <w:rPr>
          <w:b/>
          <w:color w:val="BF9000"/>
        </w:rPr>
        <w:t xml:space="preserve">? </w:t>
      </w:r>
      <w:r>
        <w:rPr>
          <w:color w:val="162333"/>
          <w:sz w:val="19"/>
        </w:rPr>
        <w:t>Create an acceptance score for every project before it appears in executive reporting.</w:t>
      </w:r>
    </w:p>
    <w:p>
      <w:pPr>
        <w:spacing w:after="60"/>
        <w:ind w:left="317" w:hanging="173"/>
      </w:pPr>
      <w:r>
        <w:rPr>
          <w:b/>
          <w:color w:val="BF9000"/>
        </w:rPr>
        <w:t xml:space="preserve">? </w:t>
      </w:r>
      <w:r>
        <w:rPr>
          <w:color w:val="162333"/>
          <w:sz w:val="19"/>
        </w:rPr>
        <w:t>Create a monthly management pack generated from the app, not manually assembled.</w:t>
      </w:r>
    </w:p>
    <w:p>
      <w:pPr>
        <w:spacing w:after="60"/>
        <w:ind w:left="317" w:hanging="173"/>
      </w:pPr>
      <w:r>
        <w:rPr>
          <w:b/>
          <w:color w:val="BF9000"/>
        </w:rPr>
        <w:t xml:space="preserve">? </w:t>
      </w:r>
      <w:r>
        <w:rPr>
          <w:color w:val="162333"/>
          <w:sz w:val="19"/>
        </w:rPr>
        <w:t>Define AI answer policy: guidance only, source-cited, human-approved before external use.</w:t>
      </w:r>
    </w:p>
    <w:p>
      <w:pPr>
        <w:spacing w:after="60"/>
        <w:ind w:left="317" w:hanging="173"/>
      </w:pPr>
      <w:r>
        <w:rPr>
          <w:b/>
          <w:color w:val="BF9000"/>
        </w:rPr>
        <w:t xml:space="preserve">? </w:t>
      </w:r>
      <w:r>
        <w:rPr>
          <w:color w:val="162333"/>
          <w:sz w:val="19"/>
        </w:rPr>
        <w:t>Define project onboarding checklist so every new project is structured correctly from day one.</w:t>
      </w:r>
    </w:p>
    <w:p>
      <w:pPr>
        <w:spacing w:after="60"/>
        <w:ind w:left="317" w:hanging="173"/>
      </w:pPr>
      <w:r>
        <w:rPr>
          <w:b/>
          <w:color w:val="BF9000"/>
        </w:rPr>
        <w:t xml:space="preserve">? </w:t>
      </w:r>
      <w:r>
        <w:rPr>
          <w:color w:val="162333"/>
          <w:sz w:val="19"/>
        </w:rPr>
        <w:t>Add disaster recovery: backups, restore test, change log, and deployment rollback.</w:t>
      </w:r>
    </w:p>
    <w:p>
      <w:pPr>
        <w:spacing w:before="200" w:after="80"/>
      </w:pPr>
      <w:r>
        <w:rPr>
          <w:b/>
          <w:color w:val="071F3B"/>
          <w:sz w:val="32"/>
        </w:rPr>
        <w:t>13. Board Presentation Core Message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FF4D6"/>
          </w:tcPr>
          <w:p>
            <w:r>
              <w:rPr>
                <w:b/>
                <w:color w:val="BF9000"/>
                <w:sz w:val="18"/>
              </w:rPr>
              <w:t>POSITIONING STATEMENT</w:t>
              <w:br/>
            </w:r>
            <w:r>
              <w:rPr>
                <w:color w:val="162333"/>
                <w:sz w:val="20"/>
              </w:rPr>
              <w:t>This platform is not only a dashboard. It is SAMCO's project intelligence control layer: it converts fragmented project data, documents, delay evidence, claims records, and technical knowledge into management decisions, accountable actions, and auditable outputs.</w:t>
            </w:r>
          </w:p>
        </w:tc>
      </w:tr>
    </w:tbl>
    <w:p/>
    <w:p>
      <w:pPr>
        <w:spacing w:before="200" w:after="80"/>
      </w:pPr>
      <w:r>
        <w:rPr>
          <w:b/>
          <w:color w:val="071F3B"/>
          <w:sz w:val="32"/>
        </w:rPr>
        <w:t>14. Final Recommendation</w:t>
      </w:r>
    </w:p>
    <w:p>
      <w:pPr>
        <w:spacing w:after="100" w:line="259" w:lineRule="auto"/>
      </w:pPr>
      <w:r>
        <w:rPr>
          <w:color w:val="162333"/>
          <w:sz w:val="20"/>
        </w:rPr>
        <w:t>SAMCO should treat the app as a strategic control platform and not as a one-time dashboard. The immediate priority is to harden data quality, action ownership, authentication, and project onboarding. The next paid investment should be a managed database and document-control integration, followed by AI synthesis and Primavera/P6 validation. This sequence gives the highest operational benefit with the lowest risk of paying for features before the data foundation is ready.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SAMCO Project Intelligence Hub | Board Report | Confidential | Generated 28 Jul 2026 03:40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