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bidi w:val="1"/>
      </w:pPr>
      <w:r>
        <w:rPr>
          <w:rFonts w:ascii="Noto Naskh Arabic" w:hAnsi="Noto Naskh Arabic" w:eastAsia="Noto Naskh Arabic" w:cs="Noto Naskh Arabic"/>
          <w:b/>
          <w:color w:val="1F4E79"/>
          <w:sz w:val="48"/>
          <w:rtl w:val="1"/>
        </w:rPr>
        <w:t>آدم عليه السلام</w:t>
      </w:r>
    </w:p>
    <w:p>
      <w:pPr>
        <w:spacing w:after="200"/>
        <w:jc w:val="center"/>
        <w:bidi w:val="1"/>
      </w:pPr>
      <w:r>
        <w:rPr>
          <w:rFonts w:ascii="Noto Naskh Arabic" w:hAnsi="Noto Naskh Arabic" w:eastAsia="Noto Naskh Arabic" w:cs="Noto Naskh Arabic"/>
          <w:b/>
          <w:color w:val="946C1F"/>
          <w:sz w:val="30"/>
          <w:rtl w:val="1"/>
        </w:rPr>
        <w:t>التوبة والتعلّم من الخطأ وتصحيح المسار</w:t>
      </w:r>
    </w:p>
    <w:p>
      <w:pPr>
        <w:spacing w:after="100"/>
        <w:jc w:val="right"/>
        <w:bidi w:val="1"/>
      </w:pPr>
      <w:r>
        <w:rPr>
          <w:rFonts w:ascii="Noto Naskh Arabic" w:hAnsi="Noto Naskh Arabic" w:eastAsia="Noto Naskh Arabic" w:cs="Noto Naskh Arabic"/>
          <w:b/>
          <w:color w:val="1F4E79"/>
          <w:sz w:val="34"/>
          <w:rtl w:val="1"/>
        </w:rPr>
        <w:t>الآيات + الشرح:</w:t>
      </w:r>
    </w:p>
    <w:tbl>
      <w:tblPr>
        <w:tblW w:type="auto" w:w="0"/>
        <w:jc w:val="center"/>
        <w:tblLayout w:type="autofit"/>
        <w:tblLook w:firstColumn="1" w:firstRow="1" w:lastColumn="0" w:lastRow="0" w:noHBand="0" w:noVBand="1" w:val="04A0"/>
      </w:tblPr>
      <w:tblGrid>
        <w:gridCol w:w="10656"/>
      </w:tblGrid>
      <w:tr>
        <w:tc>
          <w:tcPr>
            <w:tcW w:type="dxa" w:w="10656"/>
            <w:tcMar>
              <w:top w:w="150" w:type="dxa"/>
              <w:start w:w="170" w:type="dxa"/>
              <w:bottom w:w="150" w:type="dxa"/>
              <w:end w:w="170" w:type="dxa"/>
            </w:tcMar>
            <w:shd w:fill="DCE6F1"/>
          </w:tcPr>
          <w:p>
            <w:pPr>
              <w:spacing w:after="100" w:line="300" w:lineRule="auto"/>
              <w:jc w:val="right"/>
              <w:bidi w:val="1"/>
            </w:pPr>
            <w:r>
              <w:rPr>
                <w:rFonts w:ascii="Noto Naskh Arabic" w:hAnsi="Noto Naskh Arabic" w:eastAsia="Noto Naskh Arabic" w:cs="Noto Naskh Arabic"/>
                <w:b/>
                <w:color w:val="1F4E79"/>
                <w:sz w:val="30"/>
                <w:rtl w:val="1"/>
              </w:rPr>
              <w:t>سورة البقرة – الآيات 30–39</w:t>
            </w:r>
          </w:p>
          <w:p>
            <w:pPr>
              <w:spacing w:after="140" w:line="324" w:lineRule="auto"/>
              <w:jc w:val="right"/>
              <w:bidi w:val="1"/>
            </w:pPr>
            <w:r>
              <w:rPr>
                <w:rFonts w:ascii="Amiri Quran" w:hAnsi="Amiri Quran" w:eastAsia="Amiri Quran" w:cs="Amiri Quran"/>
                <w:b w:val="0"/>
                <w:color w:val="192D41"/>
                <w:sz w:val="26"/>
                <w:rtl w:val="1"/>
              </w:rPr>
              <w:t>وَإِذْ قَالَ رَبُّكَ لِلْمَلَائِكَةِ إِنِّي جَاعِلٌ فِي الْأَرْضِ خَلِيفَةً ۖ قَالُوا أَتَجْعَلُ فِيهَا مَنْ يُفْسِدُ فِيهَا وَيَسْفِكُ الدِّمَاءَ وَنَحْنُ نُسَبِّحُ بِحَمْدِكَ وَنُقَدِّسُ لَكَ ۖ قَالَ إِنِّي أَعْلَمُ مَا لَا تَعْلَمُونَ (30) وَعَلَّمَ آدَمَ الْأَسْمَاءَ كُلَّهَا ثُمَّ عَرَضَهُمْ عَلَى الْمَلَائِكَةِ فَقَالَ أَنْبِئُونِي بِأَسْمَاءِ هَؤُلَاءِ إِنْ كُنْتُمْ صَادِقِينَ (31) قَالُوا سُبْحَانَكَ لَا عِلْمَ لَنَا إِلَّا مَا عَلَّمْتَنَا إِنَّكَ أَنْتَ الْعَلِيمُ الْحَكِيمُ (32) قَالَ يَا آدَمُ أَنْبِئْهُمْ بِأَسْمَائِهِمْ ۖ فَلَمَّا أَنْبَأَهُمْ بِأَسْمَائِهِمْ قَالَ أَلَمْ أَقُلْ لَكُمْ إِنِّي أَعْلَمُ غَيْبَ السَّمَاوَاتِ وَالْأَرْضِ وَأَعْلَمُ مَا تُبْدُونَ وَمَا كُنْتُمْ تَكْتُمُونَ (33) وَإِذْ قُلْنَا لِلْمَلَائِكَةِ اسْجُدُوا لِآدَمَ فَسَجَدُوا إِلَّا إِبْلِيسَ أَبَى وَاسْتَكْبَرَ وَكَانَ مِنَ الْكَافِرِينَ (34) وَقُلْنَا يَا آدَمُ اسْكُنْ أَنْتَ وَزَوْجُكَ الْجَنَّةَ وَكُلَا مِنْهَا رَغَدًا حَيْثُ شِئْتُمَا وَلَا تَقْرَبَا هَذِهِ الشَّجَرَةَ فَتَكُونَا مِنَ الظَّالِمِينَ (35) فَأَزَلَّهُمَا الشَّيْطَانُ عَنْهَا فَأَخْرَجَهُمَا مِمَّا كَانَا فِيهِ ۖ وَقُلْنَا اهْبِطُوا بَعْضُكُمْ لِبَعْضٍ عَدُوٌّ ۖ وَلَكُمْ فِي الْأَرْضِ مُسْتَقَرٌّ وَمَتَاعٌ إِلَى حِينٍ (36) فَتَلَقَّى آدَمُ مِنْ رَبِّهِ كَلِمَاتٍ فَتَابَ عَلَيْهِ ۚ إِنَّهُ هُوَ التَّوَّابُ الرَّحِيمُ (37) قُلْنَا اهْبِطُوا مِنْهَا جَمِيعًا ۖ فَإِمَّا يَأْتِيَنَّكُمْ مِنِّي هُدًى فَمَنْ تَبِعَ هُدَايَ فَلَا خَوْفٌ عَلَيْهِمْ وَلَا هُمْ يَحْزَنُونَ (38) وَالَّذِينَ كَفَرُوا وَكَذَّبُوا بِآيَاتِنَا أُولَئِكَ أَصْحَابُ النَّارِ هُمْ فِيهَا خَالِدُونَ (39)</w:t>
            </w:r>
          </w:p>
          <w:p>
            <w:pPr>
              <w:spacing w:after="40" w:line="312" w:lineRule="auto"/>
              <w:jc w:val="right"/>
              <w:bidi w:val="1"/>
            </w:pPr>
            <w:r>
              <w:rPr>
                <w:rFonts w:ascii="Noto Naskh Arabic" w:hAnsi="Noto Naskh Arabic" w:eastAsia="Noto Naskh Arabic" w:cs="Noto Naskh Arabic"/>
                <w:b w:val="0"/>
                <w:color w:val="192D41"/>
                <w:sz w:val="25"/>
                <w:rtl w:val="1"/>
              </w:rPr>
              <w:t>30 بداية المهمة: وجود الإنسان في الأرض لم يبدأ بلا غاية، بل بدأ بتكليف ومسؤولية، والله يعلم من إمكانات الإنسان ما لا تدركه المخلوقات من ظاهر احتمالاته.</w:t>
              <w:br/>
              <w:t>31 أداة الإنسان الأولى هي القدرة على التعلّم والتسمية والفهم؛ فالقيمة ليست في القوة وحدها، بل في المعرفة التي تمكّنه من التعامل مع الواقع.</w:t>
              <w:br/>
              <w:t>32 موقف الملائكة يعلّم أن العلم الحقيقي يبدأ بالاعتراف بحدوده، وأن قول «لا أعلم» ليس ضعفًا بل أمانة.</w:t>
              <w:br/>
              <w:t>33 ظهور علم آدم يبين أن كل إنسان يملك قابلية للنمو، لكن هذه القابلية لا تعمل من غير تعليم وتوجيه.</w:t>
              <w:br/>
              <w:t>34 تكريم آدم كشف نوعين من الاستجابة: طاعة تقبل الحق، وكبر يرفضه. قيمة الإنسان لا تُفهم من مادته وحدها، بل من التكليف والعلم والاستعداد.</w:t>
              <w:br/>
              <w:t>35 النعمة كانت واسعة، والمنع كان محددًا؛ لذلك لم يكن الاختبار حرمانًا، بل اختبارًا للقدرة على ضبط الرغبة عند حد واضح.</w:t>
              <w:br/>
              <w:t>36 الخطأ لم يبق فكرة داخلية؛ بل نقل الإنسان من حال إلى حال، مما يوضح أن القرار الصغير قد يغيّر البيئة والنتائج.</w:t>
              <w:br/>
              <w:t>37 الفارق بين آدم وإبليس ظهر بعد الخطأ: آدم تلقى كلمات ورجع، فلم يجعل الخطأ تعريفًا دائمًا لنفسه.</w:t>
              <w:br/>
              <w:t>38 بعد التوبة لم تنتهِ المسؤولية، بل بدأ طريق الأرض تحت قاعدة واضحة: الهداية موجودة، والاختيار هو الذي يحدد الاتجاه.</w:t>
              <w:br/>
              <w:t>39 المشكلة ليست مجرد وقوع الإنسان، بل رفض الآيات والاستمرار في التكذيب بعد وضوح الطريق.</w:t>
            </w:r>
          </w:p>
        </w:tc>
      </w:tr>
      <w:tr>
        <w:tc>
          <w:tcPr>
            <w:tcW w:type="dxa" w:w="10656"/>
            <w:tcMar>
              <w:top w:w="150" w:type="dxa"/>
              <w:start w:w="170" w:type="dxa"/>
              <w:bottom w:w="150" w:type="dxa"/>
              <w:end w:w="170" w:type="dxa"/>
            </w:tcMar>
            <w:shd w:fill="EEF3F8"/>
          </w:tcPr>
          <w:p>
            <w:pPr>
              <w:spacing w:after="100" w:line="300" w:lineRule="auto"/>
              <w:jc w:val="right"/>
              <w:bidi w:val="1"/>
            </w:pPr>
            <w:r>
              <w:rPr>
                <w:rFonts w:ascii="Noto Naskh Arabic" w:hAnsi="Noto Naskh Arabic" w:eastAsia="Noto Naskh Arabic" w:cs="Noto Naskh Arabic"/>
                <w:b/>
                <w:color w:val="1F4E79"/>
                <w:sz w:val="30"/>
                <w:rtl w:val="1"/>
              </w:rPr>
              <w:t>سورة الأعراف – الآيات 19–25</w:t>
            </w:r>
          </w:p>
          <w:p>
            <w:pPr>
              <w:spacing w:after="140" w:line="324" w:lineRule="auto"/>
              <w:jc w:val="right"/>
              <w:bidi w:val="1"/>
            </w:pPr>
            <w:r>
              <w:rPr>
                <w:rFonts w:ascii="Amiri Quran" w:hAnsi="Amiri Quran" w:eastAsia="Amiri Quran" w:cs="Amiri Quran"/>
                <w:b w:val="0"/>
                <w:color w:val="192D41"/>
                <w:sz w:val="26"/>
                <w:rtl w:val="1"/>
              </w:rPr>
              <w:t>وَيَا آدَمُ اسْكُنْ أَنْتَ وَزَوْجُكَ الْجَنَّةَ فَكُلَا مِنْ حَيْثُ شِئْتُمَا وَلَا تَقْرَبَا هَذِهِ الشَّجَرَةَ فَتَكُونَا مِنَ الظَّالِمِينَ (19) فَوَسْوَسَ لَهُمَا الشَّيْطَانُ لِيُبْدِيَ لَهُمَا مَا وُورِيَ عَنْهُمَا مِنْ سَوْآتِهِمَا وَقَالَ مَا نَهَاكُمَا رَبُّكُمَا عَنْ هَذِهِ الشَّجَرَةِ إِلَّا أَنْ تَكُونَا مَلَكَيْنِ أَوْ تَكُونَا مِنَ الْخَالِدِينَ (20) وَقَاسَمَهُمَا إِنِّي لَكُمَا لَمِنَ النَّاصِحِينَ (21) فَدَلَّاهُمَا بِغُرُورٍ ۚ فَلَمَّا ذَاقَا الشَّجَرَةَ بَدَتْ لَهُمَا سَوْآتُهُمَا وَطَفِقَا يَخْصِفَانِ عَلَيْهِمَا مِنْ وَرَقِ الْجَنَّةِ ۖ وَنَادَاهُمَا رَبُّهُمَا أَلَمْ أَنْهَكُمَا عَنْ تِلْكُمَا الشَّجَرَةِ وَأَقُلْ لَكُمَا إِنَّ الشَّيْطَانَ لَكُمَا عَدُوٌّ مُبِينٌ (22) قَالَا رَبَّنَا ظَلَمْنَا أَنْفُسَنَا وَإِنْ لَمْ تَغْفِرْ لَنَا وَتَرْحَمْنَا لَنَكُونَنَّ مِنَ الْخَاسِرِينَ (23) قَالَ اهْبِطُوا بَعْضُكُمْ لِبَعْضٍ عَدُوٌّ ۖ وَلَكُمْ فِي الْأَرْضِ مُسْتَقَرٌّ وَمَتَاعٌ إِلَى حِينٍ (24) قَالَ فِيهَا تَحْيَوْنَ وَفِيهَا تَمُوتُونَ وَمِنْهَا تُخْرَجُونَ (25)</w:t>
            </w:r>
          </w:p>
          <w:p>
            <w:pPr>
              <w:spacing w:after="40" w:line="312" w:lineRule="auto"/>
              <w:jc w:val="right"/>
              <w:bidi w:val="1"/>
            </w:pPr>
            <w:r>
              <w:rPr>
                <w:rFonts w:ascii="Noto Naskh Arabic" w:hAnsi="Noto Naskh Arabic" w:eastAsia="Noto Naskh Arabic" w:cs="Noto Naskh Arabic"/>
                <w:b w:val="0"/>
                <w:color w:val="192D41"/>
                <w:sz w:val="25"/>
                <w:rtl w:val="1"/>
              </w:rPr>
              <w:t>19 اتساع المباح يعلّم أن الإنسان لا يحتاج إلى تجاوز الحدود كي يعيش حياة كاملة؛ أحيانًا ينشغل بالممنوع وينسى كل ما أُتيح له.</w:t>
              <w:br/>
              <w:t>20 الشيطان لم يعرض المعصية باسمها، بل ربطها بمكسب جذاب: الارتقاء والخلود. الخطأ غالبًا يدخل من بوابة هدف يبدو نافعًا.</w:t>
              <w:br/>
              <w:t>21 استخدام القسم والنصيحة الظاهرة يبين أن صدق النبرة لا يساوي صدق المقصد، وأن الإنسان يحتاج إلى فحص الكلام لا التأثر بطريقة تقديمه فقط.</w:t>
              <w:br/>
              <w:t>22 بعد الفعل ظهر الأثر فورًا؛ فالغرور يؤجل رؤية النتيجة إلى ما بعد القرار، ثم يترك الإنسان أمام واقع لم يكن يراه أثناء الإغراء.</w:t>
              <w:br/>
              <w:t>23 أول خطوة في التصحيح كانت بلا تبرير: «ظلمنا أنفسنا». الاعتراف الواضح يعيد الإنسان إلى الحقيقة ويوقف توسع الخطأ.</w:t>
              <w:br/>
              <w:t>24 الانتقال إلى الأرض لم يلغِ الرحمة، لكنه نقل الإنسان إلى ميدان مسؤولية وصراع واختيار.</w:t>
              <w:br/>
              <w:t>25 الحياة الأرضية محدودة، وهذا يمنع تضخيم الخطأ أو النجاح؛ كلاهما مرحلة داخل طريق ينتهي بالرجوع إلى الله.</w:t>
            </w:r>
          </w:p>
        </w:tc>
      </w:tr>
      <w:tr>
        <w:tc>
          <w:tcPr>
            <w:tcW w:type="dxa" w:w="10656"/>
            <w:tcMar>
              <w:top w:w="150" w:type="dxa"/>
              <w:start w:w="170" w:type="dxa"/>
              <w:bottom w:w="150" w:type="dxa"/>
              <w:end w:w="170" w:type="dxa"/>
            </w:tcMar>
            <w:shd w:fill="DCE6F1"/>
          </w:tcPr>
          <w:p>
            <w:pPr>
              <w:spacing w:after="100" w:line="300" w:lineRule="auto"/>
              <w:jc w:val="right"/>
              <w:bidi w:val="1"/>
            </w:pPr>
            <w:r>
              <w:rPr>
                <w:rFonts w:ascii="Noto Naskh Arabic" w:hAnsi="Noto Naskh Arabic" w:eastAsia="Noto Naskh Arabic" w:cs="Noto Naskh Arabic"/>
                <w:b/>
                <w:color w:val="1F4E79"/>
                <w:sz w:val="30"/>
                <w:rtl w:val="1"/>
              </w:rPr>
              <w:t>سورة طه – الآيات 115–123</w:t>
            </w:r>
          </w:p>
          <w:p>
            <w:pPr>
              <w:spacing w:after="140" w:line="324" w:lineRule="auto"/>
              <w:jc w:val="right"/>
              <w:bidi w:val="1"/>
            </w:pPr>
            <w:r>
              <w:rPr>
                <w:rFonts w:ascii="Amiri Quran" w:hAnsi="Amiri Quran" w:eastAsia="Amiri Quran" w:cs="Amiri Quran"/>
                <w:b w:val="0"/>
                <w:color w:val="192D41"/>
                <w:sz w:val="26"/>
                <w:rtl w:val="1"/>
              </w:rPr>
              <w:t>وَلَقَدْ عَهِدْنَا إِلَى آدَمَ مِنْ قَبْلُ فَنَسِيَ وَلَمْ نَجِدْ لَهُ عَزْمًا (115) وَإِذْ قُلْنَا لِلْمَلَائِكَةِ اسْجُدُوا لِآدَمَ فَسَجَدُوا إِلَّا إِبْلِيسَ أَبَى (116) فَقُلْنَا يَا آدَمُ إِنَّ هَذَا عَدُوٌّ لَكَ وَلِزَوْجِكَ فَلَا يُخْرِجَنَّكُمَا مِنَ الْجَنَّةِ فَتَشْقَى (117) إِنَّ لَكَ أَلَّا تَجُوعَ فِيهَا وَلَا تَعْرَى (118) وَأَنَّكَ لَا تَظْمَأُ فِيهَا وَلَا تَضْحَى (119) فَوَسْوَسَ إِلَيْهِ الشَّيْطَانُ قَالَ يَا آدَمُ هَلْ أَدُلُّكَ عَلَى شَجَرَةِ الْخُلْدِ وَمُلْكٍ لَا يَبْلَى (120) فَأَكَلَا مِنْهَا فَبَدَتْ لَهُمَا سَوْآتُهُمَا وَطَفِقَا يَخْصِفَانِ عَلَيْهِمَا مِنْ وَرَقِ الْجَنَّةِ ۚ وَعَصَى آدَمُ رَبَّهُ فَغَوَى (121) ثُمَّ اجْتَبَاهُ رَبُّهُ فَتَابَ عَلَيْهِ وَهَدَى (122) قَالَ اهْبِطَا مِنْهَا جَمِيعًا بَعْضُكُمْ لِبَعْضٍ عَدُوٌّ ۖ فَإِمَّا يَأْتِيَنَّكُمْ مِنِّي هُدًى فَمَنِ اتَّبَعَ هُدَايَ فَلَا يَضِلُّ وَلَا يَشْقَى (123)</w:t>
            </w:r>
          </w:p>
          <w:p>
            <w:pPr>
              <w:spacing w:after="40" w:line="312" w:lineRule="auto"/>
              <w:jc w:val="right"/>
              <w:bidi w:val="1"/>
            </w:pPr>
            <w:r>
              <w:rPr>
                <w:rFonts w:ascii="Noto Naskh Arabic" w:hAnsi="Noto Naskh Arabic" w:eastAsia="Noto Naskh Arabic" w:cs="Noto Naskh Arabic"/>
                <w:b w:val="0"/>
                <w:color w:val="192D41"/>
                <w:sz w:val="25"/>
                <w:rtl w:val="1"/>
              </w:rPr>
              <w:t>115 نقطة الضعف لم تكن إنكار الحق، بل ضعف العزم أمام النسيان؛ ولذلك يحتاج الإنسان إلى وسائل تذكير تحمي قراراته وقت الإغراء.</w:t>
              <w:br/>
              <w:t>116 التكريم لا يمنع الاختبار، بل يحمّل الإنسان مسؤولية أعلى تجاه ما أُعطي له.</w:t>
              <w:br/>
              <w:t>117 التحذير كان واضحًا قبل التجربة، ما يعني أن كثيرًا من الأخطاء لا تقع بسبب غياب المعرفة، بل بسبب ضعف حضورها لحظة القرار.</w:t>
              <w:br/>
              <w:t>118–119 كان الاحتياج كله متوفرًا؛ فالوسوسة لم تعالج نقصًا حقيقيًا، بل صنعت شعورًا بنقص غير موجود.</w:t>
              <w:br/>
              <w:t>120 ربط الشيطان الشجرة بالخلود والملك، فحوّل الرغبة الطبيعية في الأمان والاستمرار إلى مدخل لتجاوز الحد.</w:t>
              <w:br/>
              <w:t>121 حين غاب العزم وقع الفعل وظهر أثره؛ لذلك لا يكفي أن يعرف الإنسان الصواب، بل يحتاج إلى قرار ثابت يحمي المعرفة.</w:t>
              <w:br/>
              <w:t>122 الاجتباء جاء بعد التوبة لا بعد العصمة من الخطأ؛ فالإنسان يمكن أن يستعيد اتجاهه ويصبح أفضل حين يتعلم ويعود بصدق.</w:t>
              <w:br/>
              <w:t>123 معيار النجاة في الأرض ليس ألا يخطئ الإنسان أبدًا، بل أن يبقى مرتبطًا بالهداية كلما تعرض للضلال والشقاء.</w:t>
            </w:r>
          </w:p>
        </w:tc>
      </w:tr>
      <w:tr>
        <w:tc>
          <w:tcPr>
            <w:tcW w:type="dxa" w:w="10656"/>
            <w:tcMar>
              <w:top w:w="150" w:type="dxa"/>
              <w:start w:w="170" w:type="dxa"/>
              <w:bottom w:w="150" w:type="dxa"/>
              <w:end w:w="170" w:type="dxa"/>
            </w:tcMar>
            <w:shd w:fill="EEF3F8"/>
          </w:tcPr>
          <w:p>
            <w:pPr>
              <w:spacing w:after="100" w:line="300" w:lineRule="auto"/>
              <w:jc w:val="right"/>
              <w:bidi w:val="1"/>
            </w:pPr>
            <w:r>
              <w:rPr>
                <w:rFonts w:ascii="Noto Naskh Arabic" w:hAnsi="Noto Naskh Arabic" w:eastAsia="Noto Naskh Arabic" w:cs="Noto Naskh Arabic"/>
                <w:b/>
                <w:color w:val="1F4E79"/>
                <w:sz w:val="30"/>
                <w:rtl w:val="1"/>
              </w:rPr>
              <w:t>سورة الحجر وسورة ص – أصل التكوين والتكريم</w:t>
            </w:r>
          </w:p>
          <w:p>
            <w:pPr>
              <w:spacing w:after="140" w:line="324" w:lineRule="auto"/>
              <w:jc w:val="right"/>
              <w:bidi w:val="1"/>
            </w:pPr>
            <w:r>
              <w:rPr>
                <w:rFonts w:ascii="Amiri Quran" w:hAnsi="Amiri Quran" w:eastAsia="Amiri Quran" w:cs="Amiri Quran"/>
                <w:b w:val="0"/>
                <w:color w:val="192D41"/>
                <w:sz w:val="26"/>
                <w:rtl w:val="1"/>
              </w:rPr>
              <w:t>وَلَقَدْ خَلَقْنَا الْإِنْسَانَ مِنْ صَلْصَالٍ مِنْ حَمَإٍ مَسْنُونٍ (الحجر: 26) ... فَإِذَا سَوَّيْتُهُ وَنَفَخْتُ فِيهِ مِنْ رُوحِي فَقَعُوا لَهُ سَاجِدِينَ (الحجر: 29) — إِذْ قَالَ رَبُّكَ لِلْمَلَائِكَةِ إِنِّي خَالِقٌ بَشَرًا مِنْ طِينٍ (ص: 71) فَإِذَا سَوَّيْتُهُ وَنَفَخْتُ فِيهِ مِنْ رُوحِي فَقَعُوا لَهُ سَاجِدِينَ (ص: 72)</w:t>
            </w:r>
          </w:p>
          <w:p>
            <w:pPr>
              <w:spacing w:after="40" w:line="312" w:lineRule="auto"/>
              <w:jc w:val="right"/>
              <w:bidi w:val="1"/>
            </w:pPr>
            <w:r>
              <w:rPr>
                <w:rFonts w:ascii="Noto Naskh Arabic" w:hAnsi="Noto Naskh Arabic" w:eastAsia="Noto Naskh Arabic" w:cs="Noto Naskh Arabic"/>
                <w:b w:val="0"/>
                <w:color w:val="192D41"/>
                <w:sz w:val="25"/>
                <w:rtl w:val="1"/>
              </w:rPr>
              <w:t>26 و71 الأصل المادي البسيط يمنع الإنسان من الغرور، ويذكره أن التفوق ليس في مادة الخلق.</w:t>
              <w:br/>
              <w:t>29 و72 التسوية والنفخة والتكريم تربط قيمة الإنسان بما أُودع فيه من قابلية للوعي والتكليف، لا بمجرد صورته أو أصله.</w:t>
              <w:br/>
              <w:t>القصة تجمع بين حقيقتين يجب ألا تنفصلا: تواضع الأصل وعظمة المسؤولية. إذا نسي الإنسان الأولى تكبر، وإذا نسي الثانية أهمل نفسه.</w:t>
            </w:r>
          </w:p>
        </w:tc>
      </w:tr>
    </w:tbl>
    <w:p>
      <w:pPr>
        <w:spacing w:after="160" w:line="300" w:lineRule="auto"/>
        <w:jc w:val="right"/>
        <w:bidi w:val="1"/>
      </w:pPr>
      <w:r>
        <w:rPr>
          <w:rFonts w:ascii="Noto Naskh Arabic" w:hAnsi="Noto Naskh Arabic" w:eastAsia="Noto Naskh Arabic" w:cs="Noto Naskh Arabic"/>
          <w:b/>
          <w:color w:val="1F4E79"/>
          <w:sz w:val="34"/>
          <w:rtl w:val="1"/>
        </w:rPr>
        <w:t>الخلاصة:</w:t>
      </w:r>
    </w:p>
    <w:p>
      <w:pPr>
        <w:spacing w:after="200" w:line="300" w:lineRule="auto"/>
        <w:jc w:val="right"/>
        <w:bidi w:val="1"/>
      </w:pPr>
      <w:r>
        <w:rPr>
          <w:rFonts w:ascii="Noto Naskh Arabic" w:hAnsi="Noto Naskh Arabic" w:eastAsia="Noto Naskh Arabic" w:cs="Noto Naskh Arabic"/>
          <w:b w:val="0"/>
          <w:color w:val="192D41"/>
          <w:sz w:val="26"/>
          <w:rtl w:val="1"/>
        </w:rPr>
        <w:t>آدم عليه السلام لم تبدأ قصته بالخطيئة، بل بدأت بالتكليف والتعليم والتكريم. ثم جاء الاختبار في مساحة واسعة من النعمة وحد واحد واضح. دخل الشيطان من رغبة تبدو مفهومة: الخلود والملك، فضعف العزم ووقع الخطأ وظهر أثره. لكن آدم لم يحوّل الخطأ إلى تبرير، ولم يجعل سقوطه هوية دائمة؛ اعترف بظلم نفسه، وتلقى كلمات من ربه، ورجع، فتاب الله عليه وهداه. وهنا يظهر جوهر القصة: قيمة الإنسان ليست في أنه لا يخطئ، بل في قدرته على أن يتعلم من الخطأ، ويتحمل مسؤوليته، ويعود إلى الهدى، ثم يبدأ مهمته في الأرض بوعي أكبر.</w:t>
      </w:r>
    </w:p>
    <w:p>
      <w:pPr>
        <w:spacing w:after="120" w:line="300" w:lineRule="auto"/>
        <w:jc w:val="right"/>
        <w:bidi w:val="1"/>
      </w:pPr>
      <w:r>
        <w:rPr>
          <w:rFonts w:ascii="Noto Naskh Arabic" w:hAnsi="Noto Naskh Arabic" w:eastAsia="Noto Naskh Arabic" w:cs="Noto Naskh Arabic"/>
          <w:b/>
          <w:color w:val="1F4E79"/>
          <w:sz w:val="34"/>
          <w:rtl w:val="1"/>
        </w:rPr>
        <w:t>المرحلة | النص | التطبيق على الإنسان</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vAlign w:val="center"/>
          </w:tcPr>
          <w:p>
            <w:pPr>
              <w:jc w:val="center"/>
              <w:bidi w:val="1"/>
            </w:pPr>
            <w:r/>
            <w:r>
              <w:rPr>
                <w:rFonts w:ascii="Noto Naskh Arabic" w:hAnsi="Noto Naskh Arabic" w:eastAsia="Noto Naskh Arabic" w:cs="Noto Naskh Arabic"/>
                <w:b/>
                <w:color w:val="FFFFFF"/>
                <w:sz w:val="25"/>
                <w:rtl w:val="1"/>
              </w:rPr>
              <w:t>المرحلة</w:t>
            </w:r>
          </w:p>
        </w:tc>
        <w:tc>
          <w:tcPr>
            <w:tcW w:type="dxa" w:w="3552"/>
            <w:shd w:fill="1F4E79"/>
            <w:vAlign w:val="center"/>
          </w:tcPr>
          <w:p>
            <w:pPr>
              <w:jc w:val="center"/>
              <w:bidi w:val="1"/>
            </w:pPr>
            <w:r/>
            <w:r>
              <w:rPr>
                <w:rFonts w:ascii="Noto Naskh Arabic" w:hAnsi="Noto Naskh Arabic" w:eastAsia="Noto Naskh Arabic" w:cs="Noto Naskh Arabic"/>
                <w:b/>
                <w:color w:val="FFFFFF"/>
                <w:sz w:val="25"/>
                <w:rtl w:val="1"/>
              </w:rPr>
              <w:t>النص</w:t>
            </w:r>
          </w:p>
        </w:tc>
        <w:tc>
          <w:tcPr>
            <w:tcW w:type="dxa" w:w="3552"/>
            <w:shd w:fill="1F4E79"/>
            <w:vAlign w:val="center"/>
          </w:tcPr>
          <w:p>
            <w:pPr>
              <w:jc w:val="center"/>
              <w:bidi w:val="1"/>
            </w:pPr>
            <w:r/>
            <w:r>
              <w:rPr>
                <w:rFonts w:ascii="Noto Naskh Arabic" w:hAnsi="Noto Naskh Arabic" w:eastAsia="Noto Naskh Arabic" w:cs="Noto Naskh Arabic"/>
                <w:b/>
                <w:color w:val="FFFFFF"/>
                <w:sz w:val="25"/>
                <w:rtl w:val="1"/>
              </w:rPr>
              <w:t>التطبيق على الإنسان</w:t>
            </w:r>
          </w:p>
        </w:tc>
      </w:tr>
      <w:tr>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color w:val="1F4E79"/>
                <w:sz w:val="23"/>
                <w:rtl w:val="1"/>
              </w:rPr>
              <w:t>التكليف قبل التجربة</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إني جاعل في الأرض خليفة</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الإنسان لا يعيش بلا غاية؛ كل قدرة لديه تقابلها مسؤولية في الواقع.</w:t>
            </w:r>
          </w:p>
        </w:tc>
      </w:tr>
      <w:tr>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color w:val="1F4E79"/>
                <w:sz w:val="23"/>
                <w:rtl w:val="1"/>
              </w:rPr>
              <w:t>التعلم وبناء القدرة</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وعلّم آدم الأسماء كلها</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الاستعداد لا يكفي وحده؛ المعرفة والتعلم هما ما يحولان الإمكان إلى عمل.</w:t>
            </w:r>
          </w:p>
        </w:tc>
      </w:tr>
      <w:tr>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color w:val="1F4E79"/>
                <w:sz w:val="23"/>
                <w:rtl w:val="1"/>
              </w:rPr>
              <w:t>اتساع النعمة وحدّ الاختبار</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وكلا منها رغدًا حيث شئتما ولا تقربا هذه الشجرة</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الحد الواحد لا يلغي الحرية، لكنه يكشف قدرة الإنسان على الانضباط.</w:t>
            </w:r>
          </w:p>
        </w:tc>
      </w:tr>
      <w:tr>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color w:val="1F4E79"/>
                <w:sz w:val="23"/>
                <w:rtl w:val="1"/>
              </w:rPr>
              <w:t>صناعة نقص غير موجود</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هل أدلك على شجرة الخلد وملك لا يبلى</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الإغراء يجعل الإنسان يشعر أن ما لديه غير كافٍ، ثم يقدم المخالفة كحل.</w:t>
            </w:r>
          </w:p>
        </w:tc>
      </w:tr>
      <w:tr>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color w:val="1F4E79"/>
                <w:sz w:val="23"/>
                <w:rtl w:val="1"/>
              </w:rPr>
              <w:t>ضعف العزم</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فنسي ولم نجد له عزمًا</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معرفة الصواب تحتاج إلى تذكير وعزم وخطة تحمي القرار عند الضغط.</w:t>
            </w:r>
          </w:p>
        </w:tc>
      </w:tr>
      <w:tr>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color w:val="1F4E79"/>
                <w:sz w:val="23"/>
                <w:rtl w:val="1"/>
              </w:rPr>
              <w:t>ظهور أثر القرار</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فلما ذاقا الشجرة بدت لهما سوآتهما</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النتيجة التي يخفيها الإغراء تظهر بعد الفعل، حين يصبح الرجوع أصعب لكنه ممكن.</w:t>
            </w:r>
          </w:p>
        </w:tc>
      </w:tr>
      <w:tr>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color w:val="1F4E79"/>
                <w:sz w:val="23"/>
                <w:rtl w:val="1"/>
              </w:rPr>
              <w:t>الاعتراف بلا تبرير</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ربنا ظلمنا أنفسنا</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التصحيح يبدأ عندما يسمي الإنسان خطأه باسمه ولا ينقله إلى الآخرين.</w:t>
            </w:r>
          </w:p>
        </w:tc>
      </w:tr>
      <w:tr>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color w:val="1F4E79"/>
                <w:sz w:val="23"/>
                <w:rtl w:val="1"/>
              </w:rPr>
              <w:t>التوبة واستعادة الاتجاه</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فتاب عليه وهدى</w:t>
            </w:r>
          </w:p>
        </w:tc>
        <w:tc>
          <w:tcPr>
            <w:tcW w:type="dxa" w:w="3552"/>
            <w:tcMar>
              <w:top w:w="100" w:type="dxa"/>
              <w:start w:w="110" w:type="dxa"/>
              <w:bottom w:w="100" w:type="dxa"/>
              <w:end w:w="110" w:type="dxa"/>
            </w:tcMar>
            <w:shd w:fill="FFFFFF"/>
          </w:tcPr>
          <w:p>
            <w:pPr>
              <w:jc w:val="right"/>
              <w:bidi w:val="1"/>
            </w:pPr>
            <w:r>
              <w:rPr>
                <w:rFonts w:ascii="Noto Naskh Arabic" w:hAnsi="Noto Naskh Arabic" w:eastAsia="Noto Naskh Arabic" w:cs="Noto Naskh Arabic"/>
                <w:b w:val="0"/>
                <w:color w:val="192D41"/>
                <w:sz w:val="23"/>
                <w:rtl w:val="1"/>
              </w:rPr>
              <w:t>الخطأ لا ينهي قيمة الإنسان؛ الصدق في الرجوع يمكن أن يفتح مرحلة أنضج.</w:t>
            </w:r>
          </w:p>
        </w:tc>
      </w:tr>
      <w:tr>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color w:val="1F4E79"/>
                <w:sz w:val="23"/>
                <w:rtl w:val="1"/>
              </w:rPr>
              <w:t>الحياة تحت الهداية</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فمن اتبع هداي فلا يضل ولا يشقى</w:t>
            </w:r>
          </w:p>
        </w:tc>
        <w:tc>
          <w:tcPr>
            <w:tcW w:type="dxa" w:w="3552"/>
            <w:tcMar>
              <w:top w:w="100" w:type="dxa"/>
              <w:start w:w="110" w:type="dxa"/>
              <w:bottom w:w="100" w:type="dxa"/>
              <w:end w:w="110" w:type="dxa"/>
            </w:tcMar>
            <w:shd w:fill="EEF3F8"/>
          </w:tcPr>
          <w:p>
            <w:pPr>
              <w:jc w:val="right"/>
              <w:bidi w:val="1"/>
            </w:pPr>
            <w:r>
              <w:rPr>
                <w:rFonts w:ascii="Noto Naskh Arabic" w:hAnsi="Noto Naskh Arabic" w:eastAsia="Noto Naskh Arabic" w:cs="Noto Naskh Arabic"/>
                <w:b w:val="0"/>
                <w:color w:val="192D41"/>
                <w:sz w:val="23"/>
                <w:rtl w:val="1"/>
              </w:rPr>
              <w:t>النجاح ليس غياب الاختبار، بل وجود مرجع يعود إليه الإنسان كلما اضطرب الطريق.</w:t>
            </w:r>
          </w:p>
        </w:tc>
      </w:tr>
    </w:tbl>
    <w:p>
      <w:pPr>
        <w:spacing w:before="160"/>
        <w:jc w:val="center"/>
        <w:bidi w:val="1"/>
      </w:pPr>
      <w:r>
        <w:rPr>
          <w:rFonts w:ascii="Noto Naskh Arabic" w:hAnsi="Noto Naskh Arabic" w:eastAsia="Noto Naskh Arabic" w:cs="Noto Naskh Arabic"/>
          <w:b w:val="0"/>
          <w:color w:val="646464"/>
          <w:sz w:val="20"/>
          <w:rtl w:val="1"/>
        </w:rPr>
        <w:t>إعداد وتحليل | أحمد لبيب</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