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Noto Kufi Arabic" w:hAnsi="Noto Kufi Arabic" w:cs="Noto Kufi Arabic"/>
          <w:b/>
          <w:color w:val="B8860B"/>
          <w:sz w:val="22"/>
        </w:rPr>
        <w:t>008</w:t>
      </w:r>
    </w:p>
    <w:p>
      <w:pPr>
        <w:jc w:val="center"/>
        <w:bidi w:val="1"/>
      </w:pPr>
      <w:r>
        <w:rPr>
          <w:rFonts w:ascii="Noto Kufi Arabic" w:hAnsi="Noto Kufi Arabic" w:cs="Noto Kufi Arabic"/>
          <w:b/>
          <w:color w:val="1F4E79"/>
          <w:sz w:val="48"/>
        </w:rPr>
        <w:t>لوط عليه السلام</w:t>
      </w:r>
    </w:p>
    <w:p>
      <w:pPr>
        <w:jc w:val="center"/>
        <w:bidi w:val="1"/>
      </w:pPr>
      <w:r>
        <w:rPr>
          <w:rFonts w:ascii="Noto Naskh Arabic" w:hAnsi="Noto Naskh Arabic" w:cs="Noto Naskh Arabic"/>
          <w:b/>
          <w:color w:val="B8860B"/>
          <w:sz w:val="28"/>
        </w:rPr>
        <w:t>الثبات على الفطرة والقيم عندما يصبح الانحراف ثقافة عامة</w:t>
      </w:r>
    </w:p>
    <w:p>
      <w:pPr>
        <w:jc w:val="center"/>
        <w:bidi w:val="1"/>
      </w:pPr>
      <w:r>
        <w:rPr>
          <w:rFonts w:ascii="Noto Naskh Arabic" w:hAnsi="Noto Naskh Arabic" w:cs="Noto Naskh Arabic"/>
          <w:b w:val="0"/>
          <w:color w:val="1F2937"/>
          <w:sz w:val="21"/>
        </w:rPr>
        <w:t>القيمة المحورية: حماية القيم وعدم التطبيع مع الفاحشة  |  التصنيف: الأخلاق</w:t>
      </w:r>
    </w:p>
    <w:tbl>
      <w:tblPr>
        <w:tblW w:type="auto" w:w="0"/>
        <w:jc w:val="center"/>
        <w:tblLayout w:type="fixed"/>
        <w:tblLook w:firstColumn="1" w:firstRow="1" w:lastColumn="0" w:lastRow="0" w:noHBand="0" w:noVBand="1" w:val="04A0"/>
      </w:tblPr>
      <w:tblGrid>
        <w:gridCol w:w="9354"/>
      </w:tblGrid>
      <w:tr>
        <w:tc>
          <w:tcPr>
            <w:tcW w:type="dxa" w:w="10262"/>
            <w:shd w:fill="FFF7E3"/>
            <w:tcBorders>
              <w:top w:val="single" w:sz="8" w:color="D6B656"/>
              <w:left w:val="single" w:sz="8" w:color="D6B656"/>
              <w:bottom w:val="single" w:sz="8" w:color="D6B656"/>
              <w:right w:val="single" w:sz="8" w:color="D6B656"/>
            </w:tcBorders>
          </w:tcPr>
          <w:p>
            <w:pPr>
              <w:jc w:val="right"/>
              <w:bidi w:val="1"/>
            </w:pPr>
            <w:r>
              <w:rPr>
                <w:rFonts w:ascii="Noto Naskh Arabic" w:hAnsi="Noto Naskh Arabic" w:cs="Noto Naskh Arabic"/>
                <w:b w:val="0"/>
                <w:color w:val="1F2937"/>
                <w:sz w:val="19"/>
              </w:rPr>
              <w:t>منهج العمل: القرآن الكريم أصل النص، وفي ظلال القرآن المرجع التفسيري الرئيس، مع مراجعة المعنى العام في التفاسير المعتبرة عند الحاجة. الصياغة والتحليل والتطبيقات أصلية ومبنية على قالب قصة إبليس.</w:t>
            </w:r>
          </w:p>
        </w:tc>
      </w:tr>
    </w:tbl>
    <w:p>
      <w:pPr>
        <w:jc w:val="center"/>
        <w:bidi w:val="1"/>
      </w:pPr>
      <w:r>
        <w:rPr>
          <w:rFonts w:ascii="Noto Naskh Arabic" w:hAnsi="Noto Naskh Arabic" w:cs="Noto Naskh Arabic"/>
          <w:b w:val="0"/>
          <w:color w:val="6B7280"/>
          <w:sz w:val="18"/>
        </w:rPr>
        <w:t>مواضع القصة: الأعراف: من الآية 80 إلى الآية 84 | هود: من الآية 77 إلى الآية 83 | الحجر: من الآية 57 إلى الآية 77 | الأنبياء: من الآية 74 إلى الآية 75 | الشعراء: من الآية 160 إلى الآية 175 | النمل: من الآية 54 إلى الآية 58 | العنكبوت: من الآية 28 إلى الآية 35 | الصافات: من الآية 133 إلى الآية 138 | القمر: من الآية 33 إلى الآية 39</w:t>
      </w:r>
    </w:p>
    <w:p>
      <w:r>
        <w:br w:type="page"/>
      </w:r>
    </w:p>
    <w:p>
      <w:pPr>
        <w:spacing w:before="160" w:after="100"/>
        <w:jc w:val="right"/>
        <w:bidi w:val="1"/>
      </w:pPr>
      <w:r>
        <w:rPr>
          <w:rFonts w:ascii="Noto Kufi Arabic" w:hAnsi="Noto Kufi Arabic" w:cs="Noto Kufi Arabic"/>
          <w:b/>
          <w:color w:val="1F4E79"/>
          <w:sz w:val="28"/>
        </w:rPr>
        <w:t>مدخل القصة ومحورها</w:t>
      </w:r>
    </w:p>
    <w:tbl>
      <w:tblPr>
        <w:tblW w:type="auto" w:w="0"/>
        <w:jc w:val="center"/>
        <w:tblLayout w:type="fixed"/>
        <w:tblLook w:firstColumn="1" w:firstRow="1" w:lastColumn="0" w:lastRow="0" w:noHBand="0" w:noVBand="1" w:val="04A0"/>
      </w:tblPr>
      <w:tblGrid>
        <w:gridCol w:w="5131"/>
        <w:gridCol w:w="5131"/>
      </w:tblGrid>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المحور المركزي</w:t>
            </w:r>
          </w:p>
        </w:tc>
        <w:tc>
          <w:tcPr>
            <w:tcW w:type="dxa" w:w="7483"/>
            <w:vAlign w:val="center"/>
            <w:shd w:fill="F8FBFE"/>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عندما يصبح الانحراف معيارًا عامًا، تتحول الطهارة إلى تهمة ويحتاج الثبات إلى وضوح وحدود وخروج من البيئة المدمرة.</w:t>
            </w:r>
          </w:p>
        </w:tc>
      </w:tr>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السؤال الإنساني</w:t>
            </w:r>
          </w:p>
        </w:tc>
        <w:tc>
          <w:tcPr>
            <w:tcW w:type="dxa" w:w="7483"/>
            <w:vAlign w:val="center"/>
            <w:shd w:fill="FFFFFF"/>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كيف يحافظ الإنسان على قيمه عندما تعكس الجماعة أسماء الخير والشر؟</w:t>
            </w:r>
          </w:p>
        </w:tc>
      </w:tr>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الحركة الكبرى</w:t>
            </w:r>
          </w:p>
        </w:tc>
        <w:tc>
          <w:tcPr>
            <w:tcW w:type="dxa" w:w="7483"/>
            <w:vAlign w:val="center"/>
            <w:shd w:fill="F8FBFE"/>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انحراف فردي → تعارف وعلانية → حماية اجتماعية للمنكر → استهداف أهل الطهارة → تهديد الضيف والأمان → خروج المؤمنين → سقوط البيئة.</w:t>
            </w:r>
          </w:p>
        </w:tc>
      </w:tr>
    </w:tbl>
    <w:p>
      <w:pPr>
        <w:spacing w:before="160" w:after="100"/>
        <w:jc w:val="right"/>
        <w:bidi w:val="1"/>
      </w:pPr>
      <w:r>
        <w:rPr>
          <w:rFonts w:ascii="Noto Kufi Arabic" w:hAnsi="Noto Kufi Arabic" w:cs="Noto Kufi Arabic"/>
          <w:b/>
          <w:color w:val="1F4E79"/>
          <w:sz w:val="28"/>
        </w:rPr>
        <w:t>الآيات + الشرح</w:t>
      </w: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1. سورة الأعراف - الآيات من 80 إلى 84</w:t>
            </w:r>
          </w:p>
          <w:p>
            <w:pPr>
              <w:jc w:val="both"/>
              <w:bidi w:val="1"/>
            </w:pPr>
            <w:r>
              <w:rPr>
                <w:rFonts w:ascii="Amiri Quran" w:hAnsi="Amiri Quran" w:cs="Amiri Quran"/>
                <w:b w:val="0"/>
                <w:color w:val="1F2937"/>
                <w:sz w:val="20"/>
              </w:rPr>
              <w:t>وَلوطًا إِذ قالَ لِقَومِهِ أَتَأتونَ الفاحِشَةَ ما سَبَقَكُم بِها مِن أَحَدٍ مِنَ العالَمينَ ﴿٨٠﴾ إِنَّكُم لَتَأتونَ الرِّجالَ شَهوَةً مِن دونِ النِّساءِ ۚ بَل أَنتُم قَومٌ مُسرِفونَ ﴿٨١﴾ وَما كانَ جَوابَ قَومِهِ إِلّا أَن قالوا أَخرِجوهُم مِن قَريَتِكُم ۖ إِنَّهُم أُناسٌ يَتَطَهَّرونَ ﴿٨٢﴾ فَأَنجَيناهُ وَأَهلَهُ إِلَّا امرَأَتَهُ كانَت مِنَ الغابِرينَ ﴿٨٣﴾ وَأَمطَرنا عَلَيهِم مَطَرًا ۖ فَانظُر كَيفَ كانَ عاقِبَةُ المُجرِمينَ ﴿٨٤﴾</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وصف الفاحشة بأنها لم يسبقهم بها أحد يبرز انتقال الانحراف من خطأ فردي إلى نمط معلن مبتكر.</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كان جواب المجتمع إقصاء أهل الطهارة، فعندما تنقلب المعايير تصبح الاستقامة تهمة.</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2. سورة هود - الآيات من 77 إلى 83</w:t>
            </w:r>
          </w:p>
          <w:p>
            <w:pPr>
              <w:jc w:val="both"/>
              <w:bidi w:val="1"/>
            </w:pPr>
            <w:r>
              <w:rPr>
                <w:rFonts w:ascii="Amiri Quran" w:hAnsi="Amiri Quran" w:cs="Amiri Quran"/>
                <w:b w:val="0"/>
                <w:color w:val="1F2937"/>
                <w:sz w:val="20"/>
              </w:rPr>
              <w:t>وَلَمّا جاءَت رُسُلُنا لوطًا سيءَ بِهِم وَضاقَ بِهِم ذَرعًا وَقالَ هـٰذا يَومٌ عَصيبٌ ﴿٧٧﴾ وَجاءَهُ قَومُهُ يُهرَعونَ إِلَيهِ وَمِن قَبلُ كانوا يَعمَلونَ السَّيِّئَاتِ ۚ قالَ يا قَومِ هـٰؤُلاءِ بَناتي هُنَّ أَطهَرُ لَكُم ۖ فَاتَّقُوا اللَّهَ وَلا تُخزونِ في ضَيفي ۖ أَلَيسَ مِنكُم رَجُلٌ رَشيدٌ ﴿٧٨﴾ قالوا لَقَد عَلِمتَ ما لَنا في بَناتِكَ مِن حَقٍّ وَإِنَّكَ لَتَعلَمُ ما نُريدُ ﴿٧٩﴾ قالَ لَو أَنَّ لي بِكُم قُوَّةً أَو آوي إِلىٰ رُكنٍ شَديدٍ ﴿٨٠﴾ قالوا يا لوطُ إِنّا رُسُلُ رَبِّكَ لَن يَصِلوا إِلَيكَ ۖ فَأَسرِ بِأَهلِكَ بِقِطعٍ مِنَ اللَّيلِ وَلا يَلتَفِت مِنكُم أَحَدٌ إِلَّا امرَأَتَكَ ۖ إِنَّهُ مُصيبُها ما أَصابَهُم ۚ إِنَّ مَوعِدَهُمُ الصُّبحُ ۚ أَلَيسَ الصُّبحُ بِقَريبٍ ﴿٨١﴾ فَلَمّا جاءَ أَمرُنا جَعَلنا عالِيَها سافِلَها وَأَمطَرنا عَلَيها حِجارَةً مِن سِجّيلٍ مَنضودٍ ﴿٨٢﴾ مُسَوَّمَةً عِندَ رَبِّكَ ۖ وَما هِيَ مِنَ الظّالِمينَ بِبَعيدٍ ﴿٨٣﴾</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ضاق لوط بالضيوف خوفًا عليهم، وظهر ضغط المجتمع بصورة جماعية علنية.</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عرض الطريق المشروع لم يواجه برغبة في الإصلاح، لأن المشكلة صارت في الإرادة لا في غياب البديل.</w:t>
            </w:r>
          </w:p>
          <w:p>
            <w:pPr>
              <w:jc w:val="right"/>
              <w:bidi w:val="1"/>
            </w:pPr>
            <w:r>
              <w:rPr>
                <w:rFonts w:ascii="Noto Naskh Arabic" w:hAnsi="Noto Naskh Arabic" w:cs="Noto Naskh Arabic"/>
                <w:b/>
                <w:color w:val="B8860B"/>
                <w:sz w:val="20"/>
              </w:rPr>
              <w:t xml:space="preserve">3. </w:t>
            </w:r>
            <w:r>
              <w:rPr>
                <w:rFonts w:ascii="Noto Naskh Arabic" w:hAnsi="Noto Naskh Arabic" w:cs="Noto Naskh Arabic"/>
                <w:b w:val="0"/>
                <w:color w:val="1F2937"/>
                <w:sz w:val="20"/>
              </w:rPr>
              <w:t>نجاة الأسرة استثنت الزوجة، لتؤكد استقلال المسؤولية داخل البيت نفسه.</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3. سورة الحجر - الآيات من 57 إلى 77</w:t>
            </w:r>
          </w:p>
          <w:p>
            <w:pPr>
              <w:jc w:val="both"/>
              <w:bidi w:val="1"/>
            </w:pPr>
            <w:r>
              <w:rPr>
                <w:rFonts w:ascii="Amiri Quran" w:hAnsi="Amiri Quran" w:cs="Amiri Quran"/>
                <w:b w:val="0"/>
                <w:color w:val="1F2937"/>
                <w:sz w:val="20"/>
              </w:rPr>
              <w:t>قالَ فَما خَطبُكُم أَيُّهَا المُرسَلونَ ﴿٥٧﴾ قالوا إِنّا أُرسِلنا إِلىٰ قَومٍ مُجرِمينَ ﴿٥٨﴾ إِلّا آلَ لوطٍ إِنّا لَمُنَجّوهُم أَجمَعينَ ﴿٥٩﴾ إِلَّا امرَأَتَهُ قَدَّرنا ۙ إِنَّها لَمِنَ الغابِرينَ ﴿٦٠﴾ فَلَمّا جاءَ آلَ لوطٍ المُرسَلونَ ﴿٦١﴾ قالَ إِنَّكُم قَومٌ مُنكَرونَ ﴿٦٢﴾ قالوا بَل جِئناكَ بِما كانوا فيهِ يَمتَرونَ ﴿٦٣﴾ وَأَتَيناكَ بِالحَقِّ وَإِنّا لَصادِقونَ ﴿٦٤﴾ فَأَسرِ بِأَهلِكَ بِقِطعٍ مِنَ اللَّيلِ وَاتَّبِع أَدبارَهُم وَلا يَلتَفِت مِنكُم أَحَدٌ وَامضوا حَيثُ تُؤمَرونَ ﴿٦٥﴾ وَقَضَينا إِلَيهِ ذٰلِكَ الأَمرَ أَنَّ دابِرَ هـٰؤُلاءِ مَقطوعٌ مُصبِحينَ ﴿٦٦﴾ وَجاءَ أَهلُ المَدينَةِ يَستَبشِرونَ ﴿٦٧﴾ قالَ إِنَّ هـٰؤُلاءِ ضَيفي فَلا تَفضَحونِ ﴿٦٨﴾ وَاتَّقُوا اللَّهَ وَلا تُخزونِ ﴿٦٩﴾ قالوا أَوَلَم نَنهَكَ عَنِ العالَمينَ ﴿٧٠﴾ قالَ هـٰؤُلاءِ بَناتي إِن كُنتُم فاعِلينَ ﴿٧١﴾ لَعَمرُكَ إِنَّهُم لَفي سَكرَتِهِم يَعمَهونَ ﴿٧٢﴾ فَأَخَذَتهُمُ الصَّيحَةُ مُشرِقينَ ﴿٧٣﴾ فَجَعَلنا عالِيَها سافِلَها وَأَمطَرنا عَلَيهِم حِجارَةً مِن سِجّيلٍ ﴿٧٤﴾ إِنَّ في ذٰلِكَ لَآياتٍ لِلمُتَوَسِّمينَ ﴿٧٥﴾ وَإِنَّها لَبِسَبيلٍ مُقيمٍ ﴿٧٦﴾ إِنَّ في ذٰلِكَ لَآيَةً لِلمُؤمِنينَ ﴿٧٧﴾</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الملائكة نقلت لوطًا من القلق إلى اليقين بالأمر، وحددت له خطة خروج واضحة وتوقيتًا محددًا.</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إصرار القوم على اقتحام الضيوف كشف سقوط الحياء والحدود العامة.</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4. سورة الأنبياء - الآيات من 74 إلى 75</w:t>
            </w:r>
          </w:p>
          <w:p>
            <w:pPr>
              <w:jc w:val="both"/>
              <w:bidi w:val="1"/>
            </w:pPr>
            <w:r>
              <w:rPr>
                <w:rFonts w:ascii="Amiri Quran" w:hAnsi="Amiri Quran" w:cs="Amiri Quran"/>
                <w:b w:val="0"/>
                <w:color w:val="1F2937"/>
                <w:sz w:val="20"/>
              </w:rPr>
              <w:t>وَلوطًا آتَيناهُ حُكمًا وَعِلمًا وَنَجَّيناهُ مِنَ القَريَةِ الَّتي كانَت تَعمَلُ الخَبائِثَ ۗ إِنَّهُم كانوا قَومَ سَوءٍ فاسِقينَ ﴿٧٤﴾ وَأَدخَلناهُ في رَحمَتِنا ۖ إِنَّهُ مِنَ الصّالِحينَ ﴿٧٥﴾</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نجاه الله من القرية التي كانت تعمل الخبائث؛ فالوصف يتناول بيئة اجتماعية مستمرة لا حادثة منفردة.</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5. سورة الشعراء - الآيات من 160 إلى 175</w:t>
            </w:r>
          </w:p>
          <w:p>
            <w:pPr>
              <w:jc w:val="both"/>
              <w:bidi w:val="1"/>
            </w:pPr>
            <w:r>
              <w:rPr>
                <w:rFonts w:ascii="Amiri Quran" w:hAnsi="Amiri Quran" w:cs="Amiri Quran"/>
                <w:b w:val="0"/>
                <w:color w:val="1F2937"/>
                <w:sz w:val="20"/>
              </w:rPr>
              <w:t>كَذَّبَت قَومُ لوطٍ المُرسَلينَ ﴿١٦٠﴾ إِذ قالَ لَهُم أَخوهُم لوطٌ أَلا تَتَّقونَ ﴿١٦١﴾ إِنّي لَكُم رَسولٌ أَمينٌ ﴿١٦٢﴾ فَاتَّقُوا اللَّهَ وَأَطيعونِ ﴿١٦٣﴾ وَما أَسأَلُكُم عَلَيهِ مِن أَجرٍ ۖ إِن أَجرِيَ إِلّا عَلىٰ رَبِّ العالَمينَ ﴿١٦٤﴾ أَتَأتونَ الذُّكرانَ مِنَ العالَمينَ ﴿١٦٥﴾ وَتَذَرونَ ما خَلَقَ لَكُم رَبُّكُم مِن أَزواجِكُم ۚ بَل أَنتُم قَومٌ عادونَ ﴿١٦٦﴾ قالوا لَئِن لَم تَنتَهِ يا لوطُ لَتَكونَنَّ مِنَ المُخرَجينَ ﴿١٦٧﴾ قالَ إِنّي لِعَمَلِكُم مِنَ القالينَ ﴿١٦٨﴾ رَبِّ نَجِّني وَأَهلي مِمّا يَعمَلونَ ﴿١٦٩﴾ فَنَجَّيناهُ وَأَهلَهُ أَجمَعينَ ﴿١٧٠﴾ إِلّا عَجوزًا فِي الغابِرينَ ﴿١٧١﴾ ثُمَّ دَمَّرنَا الآخَرينَ ﴿١٧٢﴾ وَأَمطَرنا عَلَيهِم مَطَرًا ۖ فَساءَ مَطَرُ المُنذَرينَ ﴿١٧٣﴾ إِنَّ في ذٰلِكَ لَآيَةً ۖ وَما كانَ أَكثَرُهُم مُؤمِنينَ ﴿١٧٤﴾ وَإِنَّ رَبَّكَ لَهُوَ العَزيزُ الرَّحيمُ ﴿١٧٥﴾</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تكرر نموذج الرسالة الأمينة بلا طلب أجر، ثم جاء الفصل بعد تكذيب طويل.</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النجاة كانت لمن انفصل عن السلوك لا لمن حمل مجرد رابطة القرابة.</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6. سورة النمل - الآيات من 54 إلى 58</w:t>
            </w:r>
          </w:p>
          <w:p>
            <w:pPr>
              <w:jc w:val="both"/>
              <w:bidi w:val="1"/>
            </w:pPr>
            <w:r>
              <w:rPr>
                <w:rFonts w:ascii="Amiri Quran" w:hAnsi="Amiri Quran" w:cs="Amiri Quran"/>
                <w:b w:val="0"/>
                <w:color w:val="1F2937"/>
                <w:sz w:val="20"/>
              </w:rPr>
              <w:t>وَلوطًا إِذ قالَ لِقَومِهِ أَتَأتونَ الفاحِشَةَ وَأَنتُم تُبصِرونَ ﴿٥٤﴾ أَئِنَّكُم لَتَأتونَ الرِّجالَ شَهوَةً مِن دونِ النِّساءِ ۚ بَل أَنتُم قَومٌ تَجهَلونَ ﴿٥٥﴾ فَما كانَ جَوابَ قَومِهِ إِلّا أَن قالوا أَخرِجوا آلَ لوطٍ مِن قَريَتِكُم ۖ إِنَّهُم أُناسٌ يَتَطَهَّرونَ ﴿٥٦﴾ فَأَنجَيناهُ وَأَهلَهُ إِلَّا امرَأَتَهُ قَدَّرناها مِنَ الغابِرينَ ﴿٥٧﴾ وَأَمطَرنا عَلَيهِم مَطَرًا ۖ فَساءَ مَطَرُ المُنذَرينَ ﴿٥٨﴾</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أنتم تبصرون تشير إلى وقوع السلوك مع المعرفة والعلانية، أي أن الجهل لم يكن العذر.</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إخراج المتطهرين يكشف آلية المجتمع المنحرف في حماية نفسه عبر طرد المعيار الأخلاقي.</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7. سورة العنكبوت - الآيات من 28 إلى 35</w:t>
            </w:r>
          </w:p>
          <w:p>
            <w:pPr>
              <w:jc w:val="both"/>
              <w:bidi w:val="1"/>
            </w:pPr>
            <w:r>
              <w:rPr>
                <w:rFonts w:ascii="Amiri Quran" w:hAnsi="Amiri Quran" w:cs="Amiri Quran"/>
                <w:b w:val="0"/>
                <w:color w:val="1F2937"/>
                <w:sz w:val="20"/>
              </w:rPr>
              <w:t>وَلوطًا إِذ قالَ لِقَومِهِ إِنَّكُم لَتَأتونَ الفاحِشَةَ ما سَبَقَكُم بِها مِن أَحَدٍ مِنَ العالَمينَ ﴿٢٨﴾ أَئِنَّكُم لَتَأتونَ الرِّجالَ وَتَقطَعونَ السَّبيلَ وَتَأتونَ في ناديكُمُ المُنكَرَ ۖ فَما كانَ جَوابَ قَومِهِ إِلّا أَن قالُوا ائتِنا بِعَذابِ اللَّهِ إِن كُنتَ مِنَ الصّادِقينَ ﴿٢٩﴾ قالَ رَبِّ انصُرني عَلَى القَومِ المُفسِدينَ ﴿٣٠﴾ وَلَمّا جاءَت رُسُلُنا إِبراهيمَ بِالبُشرىٰ قالوا إِنّا مُهلِكو أَهلِ هـٰذِهِ القَريَةِ ۖ إِنَّ أَهلَها كانوا ظالِمينَ ﴿٣١﴾ قالَ إِنَّ فيها لوطًا ۚ قالوا نَحنُ أَعلَمُ بِمَن فيها ۖ لَنُنَجِّيَنَّهُ وَأَهلَهُ إِلَّا امرَأَتَهُ كانَت مِنَ الغابِرينَ ﴿٣٢﴾ وَلَمّا أَن جاءَت رُسُلُنا لوطًا سيءَ بِهِم وَضاقَ بِهِم ذَرعًا وَقالوا لا تَخَف وَلا تَحزَن ۖ إِنّا مُنَجّوكَ وَأَهلَكَ إِلَّا امرَأَتَكَ كانَت مِنَ الغابِرينَ ﴿٣٣﴾ إِنّا مُنزِلونَ عَلىٰ أَهلِ هـٰذِهِ القَريَةِ رِجزًا مِنَ السَّماءِ بِما كانوا يَفسُقونَ ﴿٣٤﴾ وَلَقَد تَرَكنا مِنها آيَةً بَيِّنَةً لِقَومٍ يَعقِلونَ ﴿٣٥﴾</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أضاف السياق قطع الطريق وإتيان المنكر في النادي، فالقصة تتعلق بانهيار شبكة من الحقوق والأمان العام.</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لوط أعلن بغضه للعمل وطلب النصرة، فالتغيير يبدأ بتسمية الفعل وعدم التطبيع معه.</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8. سورة الصافات - الآيات من 133 إلى 138</w:t>
            </w:r>
          </w:p>
          <w:p>
            <w:pPr>
              <w:jc w:val="both"/>
              <w:bidi w:val="1"/>
            </w:pPr>
            <w:r>
              <w:rPr>
                <w:rFonts w:ascii="Amiri Quran" w:hAnsi="Amiri Quran" w:cs="Amiri Quran"/>
                <w:b w:val="0"/>
                <w:color w:val="1F2937"/>
                <w:sz w:val="20"/>
              </w:rPr>
              <w:t>وَإِنَّ لوطًا لَمِنَ المُرسَلينَ ﴿١٣٣﴾ إِذ نَجَّيناهُ وَأَهلَهُ أَجمَعينَ ﴿١٣٤﴾ إِلّا عَجوزًا فِي الغابِرينَ ﴿١٣٥﴾ ثُمَّ دَمَّرنَا الآخَرينَ ﴿١٣٦﴾ وَإِنَّكُم لَتَمُرّونَ عَلَيهِم مُصبِحينَ ﴿١٣٧﴾ وَبِاللَّيلِ ۗ أَفَلا تَعقِلونَ ﴿١٣٨﴾</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العاقبة صارت أثرًا تاريخيًا يمر عليه الناس؛ فالمشهد باقٍ للعبرة لا للفضول.</w:t>
            </w:r>
          </w:p>
        </w:tc>
      </w:tr>
    </w:tbl>
    <w:p>
      <w:pPr>
        <w:spacing w:after="20"/>
      </w:pP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9. سورة القمر - الآيات من 33 إلى 39</w:t>
            </w:r>
          </w:p>
          <w:p>
            <w:pPr>
              <w:jc w:val="both"/>
              <w:bidi w:val="1"/>
            </w:pPr>
            <w:r>
              <w:rPr>
                <w:rFonts w:ascii="Amiri Quran" w:hAnsi="Amiri Quran" w:cs="Amiri Quran"/>
                <w:b w:val="0"/>
                <w:color w:val="1F2937"/>
                <w:sz w:val="20"/>
              </w:rPr>
              <w:t>كَذَّبَت قَومُ لوطٍ بِالنُّذُرِ ﴿٣٣﴾ إِنّا أَرسَلنا عَلَيهِم حاصِبًا إِلّا آلَ لوطٍ ۖ نَجَّيناهُم بِسَحَرٍ ﴿٣٤﴾ نِعمَةً مِن عِندِنا ۚ كَذٰلِكَ نَجزي مَن شَكَرَ ﴿٣٥﴾ وَلَقَد أَنذَرَهُم بَطشَتَنا فَتَمارَوا بِالنُّذُرِ ﴿٣٦﴾ وَلَقَد راوَدوهُ عَن ضَيفِهِ فَطَمَسنا أَعيُنَهُم فَذوقوا عَذابي وَنُذُرِ ﴿٣٧﴾ وَلَقَد صَبَّحَهُم بُكرَةً عَذابٌ مُستَقِرٌّ ﴿٣٨﴾ فَذوقوا عَذابي وَنُذُرِ ﴿٣٩﴾</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طلب القوم الضيف بعد أن أنذروا، فبلغ العناد مرحلة مواجهة الإنذار نفسه.</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طمس الأعين صورة لعجز الرغبة المنفلتة عن الوصول إلى ما تطلب رغم اندفاعها.</w:t>
            </w:r>
          </w:p>
        </w:tc>
      </w:tr>
    </w:tbl>
    <w:p>
      <w:pPr>
        <w:spacing w:after="20"/>
      </w:pPr>
    </w:p>
    <w:p>
      <w:pPr>
        <w:spacing w:before="160" w:after="100"/>
        <w:jc w:val="right"/>
        <w:bidi w:val="1"/>
      </w:pPr>
      <w:r>
        <w:rPr>
          <w:rFonts w:ascii="Noto Kufi Arabic" w:hAnsi="Noto Kufi Arabic" w:cs="Noto Kufi Arabic"/>
          <w:b/>
          <w:color w:val="1F4E79"/>
          <w:sz w:val="28"/>
        </w:rPr>
        <w:t>التحليل الحركي والنفسي</w:t>
      </w:r>
    </w:p>
    <w:p>
      <w:pPr>
        <w:jc w:val="both"/>
        <w:bidi w:val="1"/>
      </w:pPr>
      <w:r>
        <w:rPr>
          <w:rFonts w:ascii="Noto Naskh Arabic" w:hAnsi="Noto Naskh Arabic" w:cs="Noto Naskh Arabic"/>
          <w:b/>
          <w:color w:val="B8860B"/>
          <w:sz w:val="21"/>
        </w:rPr>
        <w:t xml:space="preserve">1. </w:t>
      </w:r>
      <w:r>
        <w:rPr>
          <w:rFonts w:ascii="Noto Naskh Arabic" w:hAnsi="Noto Naskh Arabic" w:cs="Noto Naskh Arabic"/>
          <w:b w:val="0"/>
          <w:color w:val="1F2937"/>
          <w:sz w:val="21"/>
        </w:rPr>
        <w:t>قصة لوط لا تعرض معصية خاصة فقط، بل تصف مجتمعًا أعاد تنظيم العلاقات واللغة والضغط الجماعي لحماية المنكر.</w:t>
      </w:r>
    </w:p>
    <w:p>
      <w:pPr>
        <w:jc w:val="both"/>
        <w:bidi w:val="1"/>
      </w:pPr>
      <w:r>
        <w:rPr>
          <w:rFonts w:ascii="Noto Naskh Arabic" w:hAnsi="Noto Naskh Arabic" w:cs="Noto Naskh Arabic"/>
          <w:b/>
          <w:color w:val="B8860B"/>
          <w:sz w:val="21"/>
        </w:rPr>
        <w:t xml:space="preserve">2. </w:t>
      </w:r>
      <w:r>
        <w:rPr>
          <w:rFonts w:ascii="Noto Naskh Arabic" w:hAnsi="Noto Naskh Arabic" w:cs="Noto Naskh Arabic"/>
          <w:b w:val="0"/>
          <w:color w:val="1F2937"/>
          <w:sz w:val="21"/>
        </w:rPr>
        <w:t>عبارة أناس يتطهرون تكشف انقلابًا لغويًا: صارت الفضيلة سببًا للطرد، وهي علامة متقدمة في فساد الثقافة.</w:t>
      </w:r>
    </w:p>
    <w:p>
      <w:pPr>
        <w:jc w:val="both"/>
        <w:bidi w:val="1"/>
      </w:pPr>
      <w:r>
        <w:rPr>
          <w:rFonts w:ascii="Noto Naskh Arabic" w:hAnsi="Noto Naskh Arabic" w:cs="Noto Naskh Arabic"/>
          <w:b/>
          <w:color w:val="B8860B"/>
          <w:sz w:val="21"/>
        </w:rPr>
        <w:t xml:space="preserve">3. </w:t>
      </w:r>
      <w:r>
        <w:rPr>
          <w:rFonts w:ascii="Noto Naskh Arabic" w:hAnsi="Noto Naskh Arabic" w:cs="Noto Naskh Arabic"/>
          <w:b w:val="0"/>
          <w:color w:val="1F2937"/>
          <w:sz w:val="21"/>
        </w:rPr>
        <w:t>اهتمام لوط بضيوفه يربط الأخلاق بحماية الأمان والكرامة، لا بمجرد موقف شخصي.</w:t>
      </w:r>
    </w:p>
    <w:p>
      <w:pPr>
        <w:jc w:val="both"/>
        <w:bidi w:val="1"/>
      </w:pPr>
      <w:r>
        <w:rPr>
          <w:rFonts w:ascii="Noto Naskh Arabic" w:hAnsi="Noto Naskh Arabic" w:cs="Noto Naskh Arabic"/>
          <w:b/>
          <w:color w:val="B8860B"/>
          <w:sz w:val="21"/>
        </w:rPr>
        <w:t xml:space="preserve">4. </w:t>
      </w:r>
      <w:r>
        <w:rPr>
          <w:rFonts w:ascii="Noto Naskh Arabic" w:hAnsi="Noto Naskh Arabic" w:cs="Noto Naskh Arabic"/>
          <w:b w:val="0"/>
          <w:color w:val="1F2937"/>
          <w:sz w:val="21"/>
        </w:rPr>
        <w:t>ذكر قطع السبيل والمنكر في النادي يوسع التحليل إلى انهيار النظام العام والتواطؤ الجماعي.</w:t>
      </w:r>
    </w:p>
    <w:p>
      <w:pPr>
        <w:jc w:val="both"/>
        <w:bidi w:val="1"/>
      </w:pPr>
      <w:r>
        <w:rPr>
          <w:rFonts w:ascii="Noto Naskh Arabic" w:hAnsi="Noto Naskh Arabic" w:cs="Noto Naskh Arabic"/>
          <w:b/>
          <w:color w:val="B8860B"/>
          <w:sz w:val="21"/>
        </w:rPr>
        <w:t xml:space="preserve">5. </w:t>
      </w:r>
      <w:r>
        <w:rPr>
          <w:rFonts w:ascii="Noto Naskh Arabic" w:hAnsi="Noto Naskh Arabic" w:cs="Noto Naskh Arabic"/>
          <w:b w:val="0"/>
          <w:color w:val="1F2937"/>
          <w:sz w:val="21"/>
        </w:rPr>
        <w:t>استثناء الزوجة يبين أن القرب من الصالح لا ينفع دون موقف شخصي، وأن الأسرة تحتاج إلى وحدة قيم لا وحدة سكن فقط.</w:t>
      </w:r>
    </w:p>
    <w:p>
      <w:pPr>
        <w:spacing w:before="160" w:after="100"/>
        <w:jc w:val="right"/>
        <w:bidi w:val="1"/>
      </w:pPr>
      <w:r>
        <w:rPr>
          <w:rFonts w:ascii="Noto Kufi Arabic" w:hAnsi="Noto Kufi Arabic" w:cs="Noto Kufi Arabic"/>
          <w:b/>
          <w:color w:val="1F4E79"/>
          <w:sz w:val="28"/>
        </w:rPr>
        <w:t>الخلاصة</w:t>
      </w:r>
    </w:p>
    <w:tbl>
      <w:tblPr>
        <w:tblW w:type="auto" w:w="0"/>
        <w:jc w:val="center"/>
        <w:tblLook w:firstColumn="1" w:firstRow="1" w:lastColumn="0" w:lastRow="0" w:noHBand="0" w:noVBand="1" w:val="04A0"/>
      </w:tblPr>
      <w:tblGrid>
        <w:gridCol w:w="10262"/>
      </w:tblGrid>
      <w:tr>
        <w:tc>
          <w:tcPr>
            <w:tcW w:type="dxa" w:w="10262"/>
            <w:shd w:fill="EEF4F9"/>
            <w:tcBorders>
              <w:top w:val="single" w:sz="6" w:color="9FBAD0"/>
              <w:left w:val="single" w:sz="6" w:color="9FBAD0"/>
              <w:bottom w:val="single" w:sz="6" w:color="9FBAD0"/>
              <w:right w:val="single" w:sz="6" w:color="9FBAD0"/>
            </w:tcBorders>
          </w:tcPr>
          <w:p>
            <w:pPr>
              <w:jc w:val="both"/>
              <w:bidi w:val="1"/>
            </w:pPr>
            <w:r>
              <w:rPr>
                <w:rFonts w:ascii="Noto Naskh Arabic" w:hAnsi="Noto Naskh Arabic" w:cs="Noto Naskh Arabic"/>
                <w:b w:val="0"/>
                <w:color w:val="1F2937"/>
                <w:sz w:val="22"/>
              </w:rPr>
              <w:t>وقف لوط عليه السلام أمام مجتمع لم يعد يخفي الانحراف، بل أعلنه وحماه وضغط على من يرفضه. لم يكن التحدي مجرد مقاومة رغبة، بل مقاومة ثقافة تقلب المعايير حتى تجعل الطهارة سببًا للإقصاء. وفي ليلة الضيوف ظهر انهيار الأمان العام، ثم جاء الأمر بالخروج لأن البيئة بلغت حدًا لا تستجيب معه للإصلاح. وتعلم القصة أن حماية القيم تحتاج إلى تسمية واضحة للمنكر، وحماية الضعيف والضيف، وعدم الاغترار بروابط الأسرة أو المجتمع إذا انفصلت عن الاختيار الأخلاقي.</w:t>
            </w:r>
          </w:p>
        </w:tc>
      </w:tr>
    </w:tbl>
    <w:p>
      <w:pPr>
        <w:spacing w:before="160" w:after="100"/>
        <w:jc w:val="right"/>
        <w:bidi w:val="1"/>
      </w:pPr>
      <w:r>
        <w:rPr>
          <w:rFonts w:ascii="Noto Kufi Arabic" w:hAnsi="Noto Kufi Arabic" w:cs="Noto Kufi Arabic"/>
          <w:b/>
          <w:color w:val="1F4E79"/>
          <w:sz w:val="28"/>
        </w:rPr>
        <w:t>المرحلة | النص | التطبيق على الإنسان</w:t>
      </w:r>
    </w:p>
    <w:tbl>
      <w:tblPr>
        <w:tblW w:type="auto" w:w="0"/>
        <w:jc w:val="center"/>
        <w:tblLayout w:type="fixed"/>
        <w:tblLook w:firstColumn="1" w:firstRow="1" w:lastColumn="0" w:lastRow="0" w:noHBand="0" w:noVBand="1" w:val="04A0"/>
      </w:tblPr>
      <w:tblGrid>
        <w:gridCol w:w="3421"/>
        <w:gridCol w:w="3421"/>
        <w:gridCol w:w="3421"/>
      </w:tblGrid>
      <w:tr>
        <w:trPr>
          <w:tblHeader w:val="true"/>
        </w:trPr>
        <w:tc>
          <w:tcPr>
            <w:tcW w:type="dxa" w:w="2041"/>
            <w:shd w:fill="1F4E79"/>
            <w:vAlign w:val="center"/>
          </w:tcPr>
          <w:p>
            <w:pPr>
              <w:jc w:val="center"/>
              <w:bidi w:val="1"/>
            </w:pPr>
            <w:r>
              <w:rPr>
                <w:rFonts w:ascii="Noto Kufi Arabic" w:hAnsi="Noto Kufi Arabic" w:cs="Noto Kufi Arabic"/>
                <w:b/>
                <w:color w:val="FFFFFF"/>
                <w:sz w:val="18"/>
              </w:rPr>
              <w:t>المرحلة</w:t>
            </w:r>
          </w:p>
        </w:tc>
        <w:tc>
          <w:tcPr>
            <w:tcW w:type="dxa" w:w="2835"/>
            <w:shd w:fill="1F4E79"/>
            <w:vAlign w:val="center"/>
          </w:tcPr>
          <w:p>
            <w:pPr>
              <w:jc w:val="center"/>
              <w:bidi w:val="1"/>
            </w:pPr>
            <w:r>
              <w:rPr>
                <w:rFonts w:ascii="Noto Kufi Arabic" w:hAnsi="Noto Kufi Arabic" w:cs="Noto Kufi Arabic"/>
                <w:b/>
                <w:color w:val="FFFFFF"/>
                <w:sz w:val="18"/>
              </w:rPr>
              <w:t>النص أو المعنى المحوري</w:t>
            </w:r>
          </w:p>
        </w:tc>
        <w:tc>
          <w:tcPr>
            <w:tcW w:type="dxa" w:w="4649"/>
            <w:shd w:fill="1F4E79"/>
            <w:vAlign w:val="center"/>
          </w:tcPr>
          <w:p>
            <w:pPr>
              <w:jc w:val="center"/>
              <w:bidi w:val="1"/>
            </w:pPr>
            <w:r>
              <w:rPr>
                <w:rFonts w:ascii="Noto Kufi Arabic" w:hAnsi="Noto Kufi Arabic" w:cs="Noto Kufi Arabic"/>
                <w:b/>
                <w:color w:val="FFFFFF"/>
                <w:sz w:val="18"/>
              </w:rPr>
              <w:t>التطبيق على الإنسان</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بداية الانحراف</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أتأتون الفاحشة</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سمّ الخطأ بوضوح قبل أن يصبح عادة بلا اسم.</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التطبيع</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وتأتون في ناديكم المنكر</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انتبه عندما تنتقل المخالفة من الخفاء إلى الثقافة العامة.</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قلب المعايير</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أخرجوا آل لوط إنهم أناس يتطهرون</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رفض الجماعة للفضيلة لا يحولها إلى خطأ.</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حماية الأمان</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هؤلاء ضيفي فلا تفضحون</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الأخلاق تظهر في حماية من دخل في أمانك.</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ضغط الجماعة</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وجاءه قومه يهرعون إليه</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العدد والاندفاع لا يصنعان حقًا.</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استقلال المسؤولية</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إلا امرأته كانت من الغابرين</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القرب من الصالح لا يعوض اختيارًا مخالفًا.</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الخروج</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فأسر بأهلك</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أحيانًا يصبح الانفصال المنظم حماية ضرورية للقيم والحياة.</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النتيجة والعبرة</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العاقبة كما عرضها السياق</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راجع المسار كاملًا ولا تعزل النتيجة عن القرارات التي صنعتها.</w:t>
            </w:r>
          </w:p>
        </w:tc>
      </w:tr>
    </w:tbl>
    <w:p>
      <w:pPr>
        <w:spacing w:before="160" w:after="100"/>
        <w:jc w:val="right"/>
        <w:bidi w:val="1"/>
      </w:pPr>
      <w:r>
        <w:rPr>
          <w:rFonts w:ascii="Noto Kufi Arabic" w:hAnsi="Noto Kufi Arabic" w:cs="Noto Kufi Arabic"/>
          <w:b/>
          <w:color w:val="1F4E79"/>
          <w:sz w:val="28"/>
        </w:rPr>
        <w:t>التطبيقات العملية</w:t>
      </w:r>
    </w:p>
    <w:tbl>
      <w:tblPr>
        <w:tblW w:type="auto" w:w="0"/>
        <w:jc w:val="center"/>
        <w:tblLayout w:type="fixed"/>
        <w:tblLook w:firstColumn="1" w:firstRow="1" w:lastColumn="0" w:lastRow="0" w:noHBand="0" w:noVBand="1" w:val="04A0"/>
      </w:tblPr>
      <w:tblGrid>
        <w:gridCol w:w="5131"/>
        <w:gridCol w:w="5131"/>
      </w:tblGrid>
      <w:tr>
        <w:trPr>
          <w:tblHeader w:val="true"/>
        </w:trPr>
        <w:tc>
          <w:tcPr>
            <w:tcW w:type="dxa" w:w="1871"/>
            <w:shd w:fill="1F4E79"/>
          </w:tcPr>
          <w:p>
            <w:pPr>
              <w:jc w:val="center"/>
              <w:bidi w:val="1"/>
            </w:pPr>
            <w:r>
              <w:rPr>
                <w:rFonts w:ascii="Noto Kufi Arabic" w:hAnsi="Noto Kufi Arabic" w:cs="Noto Kufi Arabic"/>
                <w:b/>
                <w:color w:val="FFFFFF"/>
                <w:sz w:val="19"/>
              </w:rPr>
              <w:t>المجال</w:t>
            </w:r>
          </w:p>
        </w:tc>
        <w:tc>
          <w:tcPr>
            <w:tcW w:type="dxa" w:w="7654"/>
            <w:shd w:fill="1F4E79"/>
          </w:tcPr>
          <w:p>
            <w:pPr>
              <w:jc w:val="center"/>
              <w:bidi w:val="1"/>
            </w:pPr>
            <w:r>
              <w:rPr>
                <w:rFonts w:ascii="Noto Kufi Arabic" w:hAnsi="Noto Kufi Arabic" w:cs="Noto Kufi Arabic"/>
                <w:b/>
                <w:color w:val="FFFFFF"/>
                <w:sz w:val="19"/>
              </w:rPr>
              <w:t>التطبيق</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الحياة الشخصية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ارفض التطبيع الداخلي مع السلوك الذي يخالف قيمك، حتى لو كثر فاعلوه.</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الأسرة</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ابنِ حوارًا صريحًا ووحدة قيم، ولا تفترض أن القرب وحده يضمن الاتفاق.</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القيادة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احمِ الأفراد الذين يتعرضون للإقصاء بسبب تمسكهم بالمعايير.</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الإدارة</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ضع سياسات واضحة للأمان ومنع التحرش والإكراه والتواطؤ.</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أخلاقيات العمل</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تسمح للثقافة غير الرسمية بإبطال القواعد الأخلاقية المكتوبة.</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المجتمع</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راقب اللغة التي تحول الفضيلة إلى سخرية والمنكر إلى هوية محمية.</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الدعوة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اجمع بين البيان والرحمة، واعرف متى يصبح الخروج ضرورة.</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التعليم</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علّم مقاومة ضغط الأقران واحترام الفطرة والحدود والكرامة.</w:t>
            </w:r>
          </w:p>
        </w:tc>
      </w:tr>
    </w:tbl>
    <w:p>
      <w:pPr>
        <w:spacing w:before="160" w:after="100"/>
        <w:jc w:val="right"/>
        <w:bidi w:val="1"/>
      </w:pPr>
      <w:r>
        <w:rPr>
          <w:rFonts w:ascii="Noto Kufi Arabic" w:hAnsi="Noto Kufi Arabic" w:cs="Noto Kufi Arabic"/>
          <w:b/>
          <w:color w:val="1F4E79"/>
          <w:sz w:val="28"/>
        </w:rPr>
        <w:t>ضوابط الفهم والاستنباط</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يجب الحفاظ على لغة قرآنية منضبطة وتجنب تحويل القصة إلى خطاب كراهية ضد أشخاص؛ الحكم يتناول الفعل والاختيار والمسؤولية.</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لا تُضاف تفاصيل تاريخية أو طبية غير لازمة؛ محور النص هو الفاحشة والتطبيع والعدوان والعاقبة.</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التطبيقات المؤسسية معاصرة ولا تساوي أحكام الفقه التفصيلية.</w:t>
      </w:r>
    </w:p>
    <w:p>
      <w:pPr>
        <w:spacing w:before="160" w:after="100"/>
        <w:jc w:val="right"/>
        <w:bidi w:val="1"/>
      </w:pPr>
      <w:r>
        <w:rPr>
          <w:rFonts w:ascii="Noto Kufi Arabic" w:hAnsi="Noto Kufi Arabic" w:cs="Noto Kufi Arabic"/>
          <w:b/>
          <w:color w:val="1F4E79"/>
          <w:sz w:val="28"/>
        </w:rPr>
        <w:t>تقرير ضبط الجودة</w:t>
      </w:r>
    </w:p>
    <w:tbl>
      <w:tblPr>
        <w:tblW w:type="auto" w:w="0"/>
        <w:jc w:val="center"/>
        <w:tblLayout w:type="fixed"/>
        <w:tblLook w:firstColumn="1" w:firstRow="1" w:lastColumn="0" w:lastRow="0" w:noHBand="0" w:noVBand="1" w:val="04A0"/>
      </w:tblPr>
      <w:tblGrid>
        <w:gridCol w:w="2052"/>
        <w:gridCol w:w="2052"/>
        <w:gridCol w:w="2052"/>
        <w:gridCol w:w="2052"/>
        <w:gridCol w:w="2052"/>
      </w:tblGrid>
      <w:tr>
        <w:trPr>
          <w:tblHeader w:val="true"/>
        </w:trPr>
        <w:tc>
          <w:tcPr>
            <w:tcW w:type="dxa" w:w="1247"/>
            <w:shd w:fill="1F4E79"/>
          </w:tcPr>
          <w:p>
            <w:pPr>
              <w:jc w:val="center"/>
              <w:bidi w:val="1"/>
            </w:pPr>
            <w:r>
              <w:rPr>
                <w:rFonts w:ascii="Noto Kufi Arabic" w:hAnsi="Noto Kufi Arabic" w:cs="Noto Kufi Arabic"/>
                <w:b/>
                <w:color w:val="FFFFFF"/>
                <w:sz w:val="16"/>
              </w:rPr>
              <w:t>المراجعة</w:t>
            </w:r>
          </w:p>
        </w:tc>
        <w:tc>
          <w:tcPr>
            <w:tcW w:type="dxa" w:w="1701"/>
            <w:shd w:fill="1F4E79"/>
          </w:tcPr>
          <w:p>
            <w:pPr>
              <w:jc w:val="center"/>
              <w:bidi w:val="1"/>
            </w:pPr>
            <w:r>
              <w:rPr>
                <w:rFonts w:ascii="Noto Kufi Arabic" w:hAnsi="Noto Kufi Arabic" w:cs="Noto Kufi Arabic"/>
                <w:b/>
                <w:color w:val="FFFFFF"/>
                <w:sz w:val="16"/>
              </w:rPr>
              <w:t>المعيار</w:t>
            </w:r>
          </w:p>
        </w:tc>
        <w:tc>
          <w:tcPr>
            <w:tcW w:type="dxa" w:w="850"/>
            <w:shd w:fill="1F4E79"/>
          </w:tcPr>
          <w:p>
            <w:pPr>
              <w:jc w:val="center"/>
              <w:bidi w:val="1"/>
            </w:pPr>
            <w:r>
              <w:rPr>
                <w:rFonts w:ascii="Noto Kufi Arabic" w:hAnsi="Noto Kufi Arabic" w:cs="Noto Kufi Arabic"/>
                <w:b/>
                <w:color w:val="FFFFFF"/>
                <w:sz w:val="16"/>
              </w:rPr>
              <w:t>الإنجاز</w:t>
            </w:r>
          </w:p>
        </w:tc>
        <w:tc>
          <w:tcPr>
            <w:tcW w:type="dxa" w:w="3458"/>
            <w:shd w:fill="1F4E79"/>
          </w:tcPr>
          <w:p>
            <w:pPr>
              <w:jc w:val="center"/>
              <w:bidi w:val="1"/>
            </w:pPr>
            <w:r>
              <w:rPr>
                <w:rFonts w:ascii="Noto Kufi Arabic" w:hAnsi="Noto Kufi Arabic" w:cs="Noto Kufi Arabic"/>
                <w:b/>
                <w:color w:val="FFFFFF"/>
                <w:sz w:val="16"/>
              </w:rPr>
              <w:t>لماذا لم يصل إلى 100%؟</w:t>
            </w:r>
          </w:p>
        </w:tc>
        <w:tc>
          <w:tcPr>
            <w:tcW w:type="dxa" w:w="2268"/>
            <w:shd w:fill="1F4E79"/>
          </w:tcPr>
          <w:p>
            <w:pPr>
              <w:jc w:val="center"/>
              <w:bidi w:val="1"/>
            </w:pPr>
            <w:r>
              <w:rPr>
                <w:rFonts w:ascii="Noto Kufi Arabic" w:hAnsi="Noto Kufi Arabic" w:cs="Noto Kufi Arabic"/>
                <w:b/>
                <w:color w:val="FFFFFF"/>
                <w:sz w:val="16"/>
              </w:rPr>
              <w:t>الإجراء المتبقي</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1</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الدقة القرآنية</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99.2%</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تمت المطابقة آلياً مع نص قرآني كامل، ويبقى تدقيق بشري نهائي للرسم وعلامات الوقف قبل النشر.</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مصحفية نهائية.</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2</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التفسير</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97.6%</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العمل يلخص المنهج التفسيري ولا ينقل النص الكامل؛ كما أن بعض الدلالات تحتمل أكثر من وجه معتبر.</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علمية متخصصة لمواضع الاحتمال.</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3</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تدفق القصة</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98.8%</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قد تتغير بعض الانتقالات عند تنسيق جميع القصص في مجلد واحد ومراجعتها كوحدة متكاملة.</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تدفق المجموعة كاملة.</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4</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منطق قصة إبليس</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98.6%</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اختلاف طبيعة كل قصة يفرض مرونة محدودة في عدد المقاطع والمراحل دون تغيير المنطق الأساسي.</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اتساق القالب بعد اكتمال السلسلة.</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5</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الصقل اللغوي</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98.6%</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الصياغة منقحة، لكن التحرير البشري النهائي قد يحسن الإيقاع وعلامات الترقيم أكثر.</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تدقيق لغوي بشري نهائي.</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6</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إطار المشروع</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98.7%</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لم تُجر بعد مقارنة نهائية مع جميع قصص المشروع بعد اكتمال المجموعة الكاملة.</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موحدة مع ملف Excel وبقية القصص.</w:t>
            </w:r>
          </w:p>
        </w:tc>
      </w:tr>
      <w:tr>
        <w:trPr>
          <w:cantSplit/>
        </w:trPr>
        <w:tc>
          <w:tcPr>
            <w:tcW w:type="dxa" w:w="1247"/>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النتيجة</w:t>
            </w:r>
          </w:p>
        </w:tc>
        <w:tc>
          <w:tcPr>
            <w:tcW w:type="dxa" w:w="1701"/>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الجاهزية الإجمالية</w:t>
            </w:r>
          </w:p>
        </w:tc>
        <w:tc>
          <w:tcPr>
            <w:tcW w:type="dxa" w:w="850"/>
            <w:shd w:fill="FFF7E3"/>
            <w:tcBorders>
              <w:top w:val="single" w:sz="7" w:color="D6B656"/>
              <w:left w:val="single" w:sz="7" w:color="D6B656"/>
              <w:bottom w:val="single" w:sz="7" w:color="D6B656"/>
              <w:right w:val="single" w:sz="7" w:color="D6B656"/>
            </w:tcBorders>
          </w:tcPr>
          <w:p>
            <w:pPr>
              <w:jc w:val="center"/>
              <w:bidi w:val="1"/>
            </w:pPr>
            <w:r>
              <w:rPr>
                <w:rFonts w:ascii="Noto Naskh Arabic" w:hAnsi="Noto Naskh Arabic" w:cs="Noto Naskh Arabic"/>
                <w:b/>
                <w:color w:val="B8860B"/>
                <w:sz w:val="17"/>
              </w:rPr>
              <w:t>98.6%</w:t>
            </w:r>
          </w:p>
        </w:tc>
        <w:tc>
          <w:tcPr>
            <w:tcW w:type="dxa" w:w="3458"/>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تظل المراجعة البشرية المتخصصة قبل النشر النهائي جزءًا من الحوكمة العلمية.</w:t>
            </w:r>
          </w:p>
        </w:tc>
        <w:tc>
          <w:tcPr>
            <w:tcW w:type="dxa" w:w="2268"/>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مراجعة نهائية موحدة للمجموعة كاملة.</w:t>
            </w:r>
          </w:p>
        </w:tc>
      </w:tr>
    </w:tbl>
    <w:p>
      <w:pPr>
        <w:spacing w:before="120" w:after="60"/>
        <w:jc w:val="right"/>
        <w:bidi w:val="1"/>
      </w:pPr>
      <w:r>
        <w:rPr>
          <w:rFonts w:ascii="Noto Naskh Arabic" w:hAnsi="Noto Naskh Arabic" w:cs="Noto Naskh Arabic"/>
          <w:b/>
          <w:color w:val="B8860B"/>
          <w:sz w:val="24"/>
        </w:rPr>
        <w:t>سجل التحسين التكراري</w:t>
      </w:r>
    </w:p>
    <w:tbl>
      <w:tblPr>
        <w:tblW w:type="auto" w:w="0"/>
        <w:jc w:val="center"/>
        <w:tblLook w:firstColumn="1" w:firstRow="1" w:lastColumn="0" w:lastRow="0" w:noHBand="0" w:noVBand="1" w:val="04A0"/>
      </w:tblPr>
      <w:tblGrid>
        <w:gridCol w:w="3421"/>
        <w:gridCol w:w="3421"/>
        <w:gridCol w:w="3421"/>
      </w:tblGrid>
      <w:tr>
        <w:trPr>
          <w:tblHeader w:val="true"/>
        </w:trPr>
        <w:tc>
          <w:tcPr>
            <w:tcW w:type="dxa" w:w="3421"/>
            <w:shd w:fill="1F4E79"/>
          </w:tcPr>
          <w:p>
            <w:pPr>
              <w:jc w:val="center"/>
              <w:bidi w:val="1"/>
            </w:pPr>
            <w:r>
              <w:rPr>
                <w:rFonts w:ascii="Noto Kufi Arabic" w:hAnsi="Noto Kufi Arabic" w:cs="Noto Kufi Arabic"/>
                <w:b/>
                <w:color w:val="FFFFFF"/>
                <w:sz w:val="17"/>
              </w:rPr>
              <w:t>الدورة</w:t>
            </w:r>
          </w:p>
        </w:tc>
        <w:tc>
          <w:tcPr>
            <w:tcW w:type="dxa" w:w="3421"/>
            <w:shd w:fill="1F4E79"/>
          </w:tcPr>
          <w:p>
            <w:pPr>
              <w:jc w:val="center"/>
              <w:bidi w:val="1"/>
            </w:pPr>
            <w:r>
              <w:rPr>
                <w:rFonts w:ascii="Noto Kufi Arabic" w:hAnsi="Noto Kufi Arabic" w:cs="Noto Kufi Arabic"/>
                <w:b/>
                <w:color w:val="FFFFFF"/>
                <w:sz w:val="17"/>
              </w:rPr>
              <w:t>ما تم فحصه وتحسينه</w:t>
            </w:r>
          </w:p>
        </w:tc>
        <w:tc>
          <w:tcPr>
            <w:tcW w:type="dxa" w:w="3421"/>
            <w:shd w:fill="1F4E79"/>
          </w:tcPr>
          <w:p>
            <w:pPr>
              <w:jc w:val="center"/>
              <w:bidi w:val="1"/>
            </w:pPr>
            <w:r>
              <w:rPr>
                <w:rFonts w:ascii="Noto Kufi Arabic" w:hAnsi="Noto Kufi Arabic" w:cs="Noto Kufi Arabic"/>
                <w:b/>
                <w:color w:val="FFFFFF"/>
                <w:sz w:val="17"/>
              </w:rPr>
              <w:t>الأثر</w:t>
            </w:r>
          </w:p>
        </w:tc>
      </w:tr>
      <w:tr>
        <w:trPr>
          <w:cantSplit/>
        </w:trPr>
        <w:tc>
          <w:tcPr>
            <w:tcW w:type="dxa" w:w="3421"/>
            <w:shd w:fill="F7FAFD"/>
          </w:tcPr>
          <w:p>
            <w:pPr>
              <w:jc w:val="right"/>
              <w:bidi w:val="1"/>
            </w:pPr>
            <w:r>
              <w:rPr>
                <w:rFonts w:ascii="Noto Naskh Arabic" w:hAnsi="Noto Naskh Arabic" w:cs="Noto Naskh Arabic"/>
                <w:b w:val="0"/>
                <w:color w:val="1F2937"/>
                <w:sz w:val="18"/>
              </w:rPr>
              <w:t>الدورة الأولى</w:t>
            </w:r>
          </w:p>
        </w:tc>
        <w:tc>
          <w:tcPr>
            <w:tcW w:type="dxa" w:w="3421"/>
            <w:shd w:fill="F7FAFD"/>
          </w:tcPr>
          <w:p>
            <w:pPr>
              <w:jc w:val="right"/>
              <w:bidi w:val="1"/>
            </w:pPr>
            <w:r>
              <w:rPr>
                <w:rFonts w:ascii="Noto Naskh Arabic" w:hAnsi="Noto Naskh Arabic" w:cs="Noto Naskh Arabic"/>
                <w:b w:val="0"/>
                <w:color w:val="1F2937"/>
                <w:sz w:val="18"/>
              </w:rPr>
              <w:t>مطابقة الآيات والعناوين وتسلسل المقاطع، وتقوية الربط بين السبب والقرار والنتيجة.</w:t>
            </w:r>
          </w:p>
        </w:tc>
        <w:tc>
          <w:tcPr>
            <w:tcW w:type="dxa" w:w="3421"/>
            <w:shd w:fill="F7FAFD"/>
          </w:tcPr>
          <w:p>
            <w:pPr>
              <w:jc w:val="right"/>
              <w:bidi w:val="1"/>
            </w:pPr>
            <w:r>
              <w:rPr>
                <w:rFonts w:ascii="Noto Naskh Arabic" w:hAnsi="Noto Naskh Arabic" w:cs="Noto Naskh Arabic"/>
                <w:b w:val="0"/>
                <w:color w:val="1F2937"/>
                <w:sz w:val="18"/>
              </w:rPr>
              <w:t>رفع الدقة النصية وتماسك القصة.</w:t>
            </w:r>
          </w:p>
        </w:tc>
      </w:tr>
      <w:tr>
        <w:trPr>
          <w:cantSplit/>
        </w:trPr>
        <w:tc>
          <w:tcPr>
            <w:tcW w:type="dxa" w:w="3421"/>
            <w:shd w:fill="DCE6F1"/>
          </w:tcPr>
          <w:p>
            <w:pPr>
              <w:jc w:val="right"/>
              <w:bidi w:val="1"/>
            </w:pPr>
            <w:r>
              <w:rPr>
                <w:rFonts w:ascii="Noto Naskh Arabic" w:hAnsi="Noto Naskh Arabic" w:cs="Noto Naskh Arabic"/>
                <w:b w:val="0"/>
                <w:color w:val="1F2937"/>
                <w:sz w:val="18"/>
              </w:rPr>
              <w:t>الدورة الثانية</w:t>
            </w:r>
          </w:p>
        </w:tc>
        <w:tc>
          <w:tcPr>
            <w:tcW w:type="dxa" w:w="3421"/>
            <w:shd w:fill="DCE6F1"/>
          </w:tcPr>
          <w:p>
            <w:pPr>
              <w:jc w:val="right"/>
              <w:bidi w:val="1"/>
            </w:pPr>
            <w:r>
              <w:rPr>
                <w:rFonts w:ascii="Noto Naskh Arabic" w:hAnsi="Noto Naskh Arabic" w:cs="Noto Naskh Arabic"/>
                <w:b w:val="0"/>
                <w:color w:val="1F2937"/>
                <w:sz w:val="18"/>
              </w:rPr>
              <w:t>مقارنة القالب بقصة إبليس، وصقل اللغة والجداول والتطبيقات وضبط التصميم.</w:t>
            </w:r>
          </w:p>
        </w:tc>
        <w:tc>
          <w:tcPr>
            <w:tcW w:type="dxa" w:w="3421"/>
            <w:shd w:fill="DCE6F1"/>
          </w:tcPr>
          <w:p>
            <w:pPr>
              <w:jc w:val="right"/>
              <w:bidi w:val="1"/>
            </w:pPr>
            <w:r>
              <w:rPr>
                <w:rFonts w:ascii="Noto Naskh Arabic" w:hAnsi="Noto Naskh Arabic" w:cs="Noto Naskh Arabic"/>
                <w:b w:val="0"/>
                <w:color w:val="1F2937"/>
                <w:sz w:val="18"/>
              </w:rPr>
              <w:t>رفع الاتساق والوضوح والجاهزية للتسليم.</w:t>
            </w:r>
          </w:p>
        </w:tc>
      </w:tr>
    </w:tbl>
    <w:p>
      <w:pPr>
        <w:spacing w:before="120" w:after="60"/>
        <w:jc w:val="right"/>
        <w:bidi w:val="1"/>
      </w:pPr>
      <w:r>
        <w:rPr>
          <w:rFonts w:ascii="Noto Naskh Arabic" w:hAnsi="Noto Naskh Arabic" w:cs="Noto Naskh Arabic"/>
          <w:b/>
          <w:color w:val="B8860B"/>
          <w:sz w:val="24"/>
        </w:rPr>
        <w:t>المراجع والمنهج</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القرآن الكريم - النص العربي بالرسم الإملائي المضبوط.</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سيد قطب، في ظلال القرآن - المرجع التفسيري الرئيس في استيعاب الحركة الإيمانية والنفسية والاجتماعية للسياق.</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الطبري، ابن كثير، القرطبي، السعدي - مراجعة مساندة للمعاني المشهورة ومواضع الاحتمال.</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التحليل النفسي والقيادي والتطبيقي صياغة أصلية ضمن إطار المشروع، وليس نقلاً حرفياً عن أي تفسير.</w:t>
      </w:r>
    </w:p>
    <w:sectPr w:rsidR="00FC693F" w:rsidRPr="0006063C" w:rsidSect="00034616">
      <w:headerReference w:type="default" r:id="rId9"/>
      <w:footerReference w:type="default" r:id="rId10"/>
      <w:pgSz w:w="11906" w:h="16838"/>
      <w:pgMar w:top="765" w:right="822" w:bottom="765"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Noto Naskh Arabic" w:hAnsi="Noto Naskh Arabic" w:cs="Noto Naskh Arabic"/>
        <w:b w:val="0"/>
        <w:color w:val="6B7280"/>
        <w:sz w:val="16"/>
      </w:rPr>
      <w:t>إعداد وتحليل | أحمد لبيب</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pPr>
    <w:r>
      <w:rPr>
        <w:rFonts w:ascii="Noto Kufi Arabic" w:hAnsi="Noto Kufi Arabic" w:cs="Noto Kufi Arabic"/>
        <w:b/>
        <w:color w:val="1F4E79"/>
        <w:sz w:val="17"/>
      </w:rPr>
      <w:t>قصص القرآن | قراءة تدبرية تطبيقية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Noto Naskh Arabic" w:hAnsi="Noto Naskh Arabic" w:cs="Noto Naskh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لوط عليه السلام</dc:title>
  <dc:subject>قصص القرآن - قراءة تدبرية تطبيقية</dc:subject>
  <dc:creator>أحمد لبيب</dc:creator>
  <cp:keywords>القرآن، القصص القرآني، في ظلال القرآن، تدبر، أخلاق، قيادة</cp:keywords>
  <dc:description>generated by python-docx</dc:description>
  <cp:lastModifiedBy/>
  <cp:revision>1</cp:revision>
  <dcterms:created xsi:type="dcterms:W3CDTF">2013-12-23T23:15:00Z</dcterms:created>
  <dcterms:modified xsi:type="dcterms:W3CDTF">2013-12-23T23:15:00Z</dcterms:modified>
  <cp:category/>
</cp:coreProperties>
</file>