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012</w:t>
      </w:r>
    </w:p>
    <w:p>
      <w:pPr>
        <w:jc w:val="center"/>
        <w:bidi w:val="1"/>
      </w:pPr>
      <w:r>
        <w:rPr>
          <w:rFonts w:ascii="Noto Kufi Arabic" w:hAnsi="Noto Kufi Arabic" w:cs="Noto Kufi Arabic"/>
          <w:b/>
          <w:color w:val="1F4E79"/>
          <w:sz w:val="48"/>
        </w:rPr>
        <w:t>أيوب عليه السلام</w:t>
      </w:r>
    </w:p>
    <w:p>
      <w:pPr>
        <w:jc w:val="center"/>
        <w:bidi w:val="1"/>
      </w:pPr>
      <w:r>
        <w:rPr>
          <w:rFonts w:ascii="Noto Naskh Arabic" w:hAnsi="Noto Naskh Arabic" w:cs="Noto Naskh Arabic"/>
          <w:b/>
          <w:color w:val="B8860B"/>
          <w:sz w:val="28"/>
        </w:rPr>
        <w:t>الصبر الذي يعترف بالألم دون أن يفقد الأدب والرجاء</w:t>
      </w:r>
    </w:p>
    <w:p>
      <w:pPr>
        <w:jc w:val="center"/>
        <w:bidi w:val="1"/>
      </w:pPr>
      <w:r>
        <w:rPr>
          <w:rFonts w:ascii="Noto Naskh Arabic" w:hAnsi="Noto Naskh Arabic" w:cs="Noto Naskh Arabic"/>
          <w:b w:val="0"/>
          <w:color w:val="1F2937"/>
          <w:sz w:val="21"/>
        </w:rPr>
        <w:t>القيمة المحورية: الثبات واللجوء إلى الله أثناء البلاء  |  التصنيف: الصبر</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الأنبياء: من الآية 83 إلى الآية 84 | ص: من الآية 41 إلى الآية 44</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الصبر ليس إنكار الألم، بل حمله بأدب، والرجوع إلى الله، والاستجابة للأسباب الممكنة دون فقدان المعنى.</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يعترف الإنسان بضعفه دون أن يتحول الاعتراف إلى يأس أو اعتراض؟</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بلاء طويل → تسمية الألم بأدب → دعاء قائم على الرحمة → حركة في السبب → كشف الضر → إعادة النعمة → بقاء العبودية والرجوع.</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الأنبياء - الآيات من 83 إلى 84</w:t>
            </w:r>
          </w:p>
          <w:p>
            <w:pPr>
              <w:jc w:val="both"/>
              <w:bidi w:val="1"/>
            </w:pPr>
            <w:r>
              <w:rPr>
                <w:rFonts w:ascii="Amiri Quran" w:hAnsi="Amiri Quran" w:cs="Amiri Quran"/>
                <w:b w:val="0"/>
                <w:color w:val="1F2937"/>
                <w:sz w:val="20"/>
              </w:rPr>
              <w:t>وَأَيّوبَ إِذ نادىٰ رَبَّهُ أَنّي مَسَّنِيَ الضُّرُّ وَأَنتَ أَرحَمُ الرّاحِمينَ ﴿٨٣﴾ فَاستَجَبنا لَهُ فَكَشَفنا ما بِهِ مِن ضُرٍّ ۖ وَآتَيناهُ أَهلَهُ وَمِثلَهُم مَعَهُم رَحمَةً مِن عِندِنا وَذِكرىٰ لِلعابِدينَ ﴿٨٤﴾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سمى أيوب الضر ولم يحول الدعاء إلى اتهام أو اعتراض، ثم استحضر رحمة الله بدل تعداد استحقاقاته.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الاستجابة كشفت أن كشف الضر وإعادة الأهل رحمة وذكرى للعابدين؛ فالقصة تربي الجماعة كلها لا صاحب البلاء وحده.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ص - الآيات من 41 إلى 44</w:t>
            </w:r>
          </w:p>
          <w:p>
            <w:pPr>
              <w:jc w:val="both"/>
              <w:bidi w:val="1"/>
            </w:pPr>
            <w:r>
              <w:rPr>
                <w:rFonts w:ascii="Amiri Quran" w:hAnsi="Amiri Quran" w:cs="Amiri Quran"/>
                <w:b w:val="0"/>
                <w:color w:val="1F2937"/>
                <w:sz w:val="20"/>
              </w:rPr>
              <w:t>وَاذكُر عَبدَنا أَيّوبَ إِذ نادىٰ رَبَّهُ أَنّي مَسَّنِيَ الشَّيطانُ بِنُصبٍ وَعَذابٍ ﴿٤١﴾ اركُض بِرِجلِكَ ۖ هـٰذا مُغتَسَلٌ بارِدٌ وَشَرابٌ ﴿٤٢﴾ وَوَهَبنا لَهُ أَهلَهُ وَمِثلَهُم مَعَهُم رَحمَةً مِنّا وَذِكرىٰ لِأُولِي الأَلبابِ ﴿٤٣﴾ وَخُذ بِيَدِكَ ضِغثًا فَاضرِب بِهِ وَلا تَحنَث ۗ إِنّا وَجَدناهُ صابِرًا ۚ نِعمَ العَبدُ ۖ إِنَّهُ أَوّابٌ ﴿٤٤﴾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ذكر مس الشيطان بالنصب والعذاب يصف شدة التجربة دون أن ينسب للشيطان استقلالًا عن سلطان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جاء الأمر بالحركة: اركض برجلك؛ فالعلاج جمع الدعاء بسبب عملي مباشر.</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رد الأهل ومثلهم معهم وسّع التعويض، لكنه لم يمح حقيقة التجربة بل جعلها رحمة وذكرى.</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حل اليمين جاء بطريقة تحفظ الوفاء وتمنع الظلم، فالشريعة تجمع المسؤولية والرحمة.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الخلاصة الإلهية: إنا وجدناه صابرًا نعم العبد إنه أواب؛ فجوهر الصبر استمرار الرجوع إلى الله.</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دعاء أيوب بالغ القصر، لكنه كامل الاتجاه؛ ذكر حاله وذكر صفة ربه وترك شكل الاستجابة للحكمة.</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الصبر هنا لا يعني الصمت عن الألم، فالقرآن نقل شكواه، لكن الفرق بين الشكوى إلى الله والشكوى من الله.</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الأمر بالركض يرفض الفصل بين الروح والعمل؛ الدعاء لا يلغي السبب، والسبب لا يستغني عن الرحمة.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الثناء عليه بالأواب يبين أن الصبر حركة رجوع متكرر، لا صلابة جامدة.</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الرخصة في اليمين تظهر أن الوفاء لا يُفهم بطريقة تؤدي إلى ظلم أو قسوة، بل تحت حكم الرحمة.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أيوب عليه السلام لم ينكر الضر ولم يتظاهر بالقوة، بل سمى ألمه في حضرة الله بأدب كامل، ثم تعلق بصفة الرحمة. لم يحدد لربه صورة الحل، ولم يجعل عبادته عقدًا يطلب مقابله نتيجة. وعندما جاء الأمر تحرك وأخذ بالسبب. وبعد كشف الضر بقي وصفه الأهم: أواب، كثير الرجوع إلى الله. لذلك فالصبر في قصته ليس جمودًا ولا كتمانًا مرضيًا، بل صدق وأدب ورجاء وعمل.</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وقوع البلاء</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أني مسني الضر</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بالواقع دون تهويل أو إنكار.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أدب الدعاء</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وأنت أرحم الراحمين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طلبك بصفة الله لا بادعاء الاستحقاق.</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عدم تحديد الحل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فاستجبنا 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اترك شكل الاستجابة للحكمة مع وضوح الحاجة.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الأخذ بالسبب</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اركض برجلك</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تحرك في العلاج الممكن بعد الدعاء.</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التعافي</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فكشفنا ما به من ضر</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استقبل العافية بالشكر لا بنسيان الدرس.</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الرحمة في التطبيق</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وخذ بيدك ضغثًا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الوفاء الشكلي طريقًا للظلم.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الهوية المستمرة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إنه أواب</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الرجوع إلى الله عادة في الرخاء والبلاء.</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سمِّ الألم واطلب المساعدة دون خجل، مع الحفاظ على الرجاء.</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عامل المريض بكرامة، ولا تجعل البلاء مبررًا للعزلة أو القسوة.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بالأزمة بوضوح دون بث اليأس، وفعّل الأسباب المتاحة.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الاستجابة الإنسانية والإجراء العملي وخطة التعافي.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الالتزام الحرفي لتبرير نتيجة ظالمة؛ افهم المقصد والرحمة.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ادعم المتضرر دون اختزاله في مرضه أو محنته.</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الصبر كرجوع واعٍ لا كمنع للشكوى المشروعة.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مهارات التعبير عن الألم، طلب الدعم، والمرونة النفسية.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القرآن لا يحدد مدة المرض أو طبيعته أو تفاصيل الفقد، فلا تُبنى عليها أحكام يقينية.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نسبة المس إلى الشيطان لا تعني منحه قدرة مستقلة؛ كل شيء داخل سلطان الله.</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الضغث متعلق بواقعة خاصة في سياقها، ولا يُعمم دون فقه وضوابط شرعية.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99.7%</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99.4%</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99.2%</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أيوب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