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bidi w:val="1"/>
      </w:pPr>
      <w:r>
        <w:rPr>
          <w:rFonts w:ascii="Noto Kufi Arabic" w:hAnsi="Noto Kufi Arabic" w:cs="Noto Kufi Arabic"/>
          <w:b/>
          <w:color w:val="B8860B"/>
          <w:sz w:val="22"/>
        </w:rPr>
        <w:t>018</w:t>
      </w:r>
    </w:p>
    <w:p>
      <w:pPr>
        <w:jc w:val="center"/>
        <w:bidi w:val="1"/>
      </w:pPr>
      <w:r>
        <w:rPr>
          <w:rFonts w:ascii="Noto Kufi Arabic" w:hAnsi="Noto Kufi Arabic" w:cs="Noto Kufi Arabic"/>
          <w:b/>
          <w:color w:val="1F4E79"/>
          <w:sz w:val="48"/>
        </w:rPr>
        <w:t>طالوت وجالوت</w:t>
      </w:r>
    </w:p>
    <w:p>
      <w:pPr>
        <w:jc w:val="center"/>
        <w:bidi w:val="1"/>
      </w:pPr>
      <w:r>
        <w:rPr>
          <w:rFonts w:ascii="Noto Naskh Arabic" w:hAnsi="Noto Naskh Arabic" w:cs="Noto Naskh Arabic"/>
          <w:b/>
          <w:color w:val="B8860B"/>
          <w:sz w:val="28"/>
        </w:rPr>
        <w:t>بناء الجماعة القادرة: الاختيار بالكفاءة والفرز بالاختبار والثبات عند القلة</w:t>
      </w:r>
    </w:p>
    <w:p>
      <w:pPr>
        <w:jc w:val="center"/>
        <w:bidi w:val="1"/>
      </w:pPr>
      <w:r>
        <w:rPr>
          <w:rFonts w:ascii="Noto Naskh Arabic" w:hAnsi="Noto Naskh Arabic" w:cs="Noto Naskh Arabic"/>
          <w:b w:val="0"/>
          <w:color w:val="1F2937"/>
          <w:sz w:val="21"/>
        </w:rPr>
        <w:t>القيمة المحورية: الكفاءة والانضباط والصبر أهم من العدد والمظهر  |  التصنيف: قيادة</w:t>
      </w:r>
    </w:p>
    <w:tbl>
      <w:tblPr>
        <w:tblW w:type="auto" w:w="0"/>
        <w:jc w:val="center"/>
        <w:tblLayout w:type="fixed"/>
        <w:tblLook w:firstColumn="1" w:firstRow="1" w:lastColumn="0" w:lastRow="0" w:noHBand="0" w:noVBand="1" w:val="04A0"/>
      </w:tblPr>
      <w:tblGrid>
        <w:gridCol w:w="9354"/>
      </w:tblGrid>
      <w:tr>
        <w:tc>
          <w:tcPr>
            <w:tcW w:type="dxa" w:w="10262"/>
            <w:shd w:fill="FFF7E3"/>
            <w:tcBorders>
              <w:top w:val="single" w:sz="8" w:color="D6B656"/>
              <w:left w:val="single" w:sz="8" w:color="D6B656"/>
              <w:bottom w:val="single" w:sz="8" w:color="D6B656"/>
              <w:right w:val="single" w:sz="8" w:color="D6B656"/>
            </w:tcBorders>
          </w:tcPr>
          <w:p>
            <w:pPr>
              <w:jc w:val="right"/>
              <w:bidi w:val="1"/>
            </w:pPr>
            <w:r>
              <w:rPr>
                <w:rFonts w:ascii="Noto Naskh Arabic" w:hAnsi="Noto Naskh Arabic" w:cs="Noto Naskh Arabic"/>
                <w:b w:val="0"/>
                <w:color w:val="1F2937"/>
                <w:sz w:val="19"/>
              </w:rPr>
              <w:t>منهج العمل: القرآن الكريم أصل النص، وفي ظلال القرآن المرجع التفسيري الرئيس، مع مراجعة المعنى العام في التفاسير المعتبرة عند الحاجة. الصياغة والتحليل والتطبيقات أصلية ومبنية على قالب قصة إبليس.</w:t>
            </w:r>
          </w:p>
        </w:tc>
      </w:tr>
    </w:tbl>
    <w:p>
      <w:pPr>
        <w:jc w:val="center"/>
        <w:bidi w:val="1"/>
      </w:pPr>
      <w:r>
        <w:rPr>
          <w:rFonts w:ascii="Noto Naskh Arabic" w:hAnsi="Noto Naskh Arabic" w:cs="Noto Naskh Arabic"/>
          <w:b w:val="0"/>
          <w:color w:val="6B7280"/>
          <w:sz w:val="18"/>
        </w:rPr>
        <w:t>مواضع القصة: البقرة: من الآية 246 إلى الآية 251</w:t>
      </w:r>
    </w:p>
    <w:p>
      <w:r>
        <w:br w:type="page"/>
      </w:r>
    </w:p>
    <w:p>
      <w:pPr>
        <w:jc w:val="center"/>
        <w:bidi w:val="1"/>
      </w:pPr>
      <w:r>
        <w:rPr>
          <w:rFonts w:ascii="Noto Naskh Arabic" w:hAnsi="Noto Naskh Arabic" w:cs="Noto Naskh Arabic"/>
          <w:b w:val="0"/>
          <w:color w:val="6B7280"/>
          <w:sz w:val="17"/>
        </w:rPr>
        <w:t>ترتيب القصة في ملف Excel: 19</w:t>
      </w:r>
    </w:p>
    <w:p>
      <w:pPr>
        <w:spacing w:before="160" w:after="100"/>
        <w:jc w:val="right"/>
        <w:bidi w:val="1"/>
      </w:pPr>
      <w:r>
        <w:rPr>
          <w:rFonts w:ascii="Noto Kufi Arabic" w:hAnsi="Noto Kufi Arabic" w:cs="Noto Kufi Arabic"/>
          <w:b/>
          <w:color w:val="1F4E79"/>
          <w:sz w:val="28"/>
        </w:rPr>
        <w:t>مدخل القصة ومحورها</w:t>
      </w:r>
    </w:p>
    <w:tbl>
      <w:tblPr>
        <w:tblW w:type="auto" w:w="0"/>
        <w:jc w:val="center"/>
        <w:tblLayout w:type="fixed"/>
        <w:tblLook w:firstColumn="1" w:firstRow="1" w:lastColumn="0" w:lastRow="0" w:noHBand="0" w:noVBand="1" w:val="04A0"/>
      </w:tblPr>
      <w:tblGrid>
        <w:gridCol w:w="5131"/>
        <w:gridCol w:w="5131"/>
      </w:tblGrid>
      <w:tr>
        <w:tc>
          <w:tcPr>
            <w:tcW w:type="dxa" w:w="2268"/>
            <w:vAlign w:val="center"/>
            <w:shd w:fill="DCE6F1"/>
            <w:tcBorders>
              <w:top w:val="single" w:sz="5" w:color="9FBAD0"/>
              <w:left w:val="single" w:sz="5" w:color="9FBAD0"/>
              <w:bottom w:val="single" w:sz="5" w:color="9FBAD0"/>
              <w:right w:val="single" w:sz="5" w:color="9FBAD0"/>
            </w:tcBorders>
          </w:tcPr>
          <w:p>
            <w:pPr>
              <w:jc w:val="right"/>
              <w:bidi w:val="1"/>
            </w:pPr>
            <w:r>
              <w:rPr>
                <w:rFonts w:ascii="Noto Naskh Arabic" w:hAnsi="Noto Naskh Arabic" w:cs="Noto Naskh Arabic"/>
                <w:b/>
                <w:color w:val="1F4E79"/>
                <w:sz w:val="20"/>
              </w:rPr>
              <w:t>المحور المركزي</w:t>
            </w:r>
          </w:p>
        </w:tc>
        <w:tc>
          <w:tcPr>
            <w:tcW w:type="dxa" w:w="7483"/>
            <w:vAlign w:val="center"/>
            <w:shd w:fill="F8FBFE"/>
            <w:tcBorders>
              <w:top w:val="single" w:sz="5" w:color="9FBAD0"/>
              <w:left w:val="single" w:sz="5" w:color="9FBAD0"/>
              <w:bottom w:val="single" w:sz="5" w:color="9FBAD0"/>
              <w:right w:val="single" w:sz="5" w:color="9FBAD0"/>
            </w:tcBorders>
          </w:tcPr>
          <w:p>
            <w:pPr>
              <w:jc w:val="right"/>
              <w:bidi w:val="1"/>
            </w:pPr>
            <w:r>
              <w:rPr>
                <w:rFonts w:ascii="Noto Naskh Arabic" w:hAnsi="Noto Naskh Arabic" w:cs="Noto Naskh Arabic"/>
                <w:b w:val="0"/>
                <w:color w:val="1F2937"/>
                <w:sz w:val="20"/>
              </w:rPr>
              <w:t>الجماعة لا تصبح مؤهلة لأنها طلبت القيادة؛ تُبنى بالمعيار الصحيح، والاختبار، وضبط الرغبة، والصبر تحت عدم التكافؤ.</w:t>
            </w:r>
          </w:p>
        </w:tc>
      </w:tr>
      <w:tr>
        <w:tc>
          <w:tcPr>
            <w:tcW w:type="dxa" w:w="2268"/>
            <w:vAlign w:val="center"/>
            <w:shd w:fill="DCE6F1"/>
            <w:tcBorders>
              <w:top w:val="single" w:sz="5" w:color="9FBAD0"/>
              <w:left w:val="single" w:sz="5" w:color="9FBAD0"/>
              <w:bottom w:val="single" w:sz="5" w:color="9FBAD0"/>
              <w:right w:val="single" w:sz="5" w:color="9FBAD0"/>
            </w:tcBorders>
          </w:tcPr>
          <w:p>
            <w:pPr>
              <w:jc w:val="right"/>
              <w:bidi w:val="1"/>
            </w:pPr>
            <w:r>
              <w:rPr>
                <w:rFonts w:ascii="Noto Naskh Arabic" w:hAnsi="Noto Naskh Arabic" w:cs="Noto Naskh Arabic"/>
                <w:b/>
                <w:color w:val="1F4E79"/>
                <w:sz w:val="20"/>
              </w:rPr>
              <w:t>السؤال الإنساني</w:t>
            </w:r>
          </w:p>
        </w:tc>
        <w:tc>
          <w:tcPr>
            <w:tcW w:type="dxa" w:w="7483"/>
            <w:vAlign w:val="center"/>
            <w:shd w:fill="FFFFFF"/>
            <w:tcBorders>
              <w:top w:val="single" w:sz="5" w:color="9FBAD0"/>
              <w:left w:val="single" w:sz="5" w:color="9FBAD0"/>
              <w:bottom w:val="single" w:sz="5" w:color="9FBAD0"/>
              <w:right w:val="single" w:sz="5" w:color="9FBAD0"/>
            </w:tcBorders>
          </w:tcPr>
          <w:p>
            <w:pPr>
              <w:jc w:val="right"/>
              <w:bidi w:val="1"/>
            </w:pPr>
            <w:r>
              <w:rPr>
                <w:rFonts w:ascii="Noto Naskh Arabic" w:hAnsi="Noto Naskh Arabic" w:cs="Noto Naskh Arabic"/>
                <w:b w:val="0"/>
                <w:color w:val="1F2937"/>
                <w:sz w:val="20"/>
              </w:rPr>
              <w:t>كيف تتحول جماعة متحمسة بالكلام إلى قوة منضبطة تستطيع مواجهة خصم أكبر؟</w:t>
            </w:r>
          </w:p>
        </w:tc>
      </w:tr>
      <w:tr>
        <w:tc>
          <w:tcPr>
            <w:tcW w:type="dxa" w:w="2268"/>
            <w:vAlign w:val="center"/>
            <w:shd w:fill="DCE6F1"/>
            <w:tcBorders>
              <w:top w:val="single" w:sz="5" w:color="9FBAD0"/>
              <w:left w:val="single" w:sz="5" w:color="9FBAD0"/>
              <w:bottom w:val="single" w:sz="5" w:color="9FBAD0"/>
              <w:right w:val="single" w:sz="5" w:color="9FBAD0"/>
            </w:tcBorders>
          </w:tcPr>
          <w:p>
            <w:pPr>
              <w:jc w:val="right"/>
              <w:bidi w:val="1"/>
            </w:pPr>
            <w:r>
              <w:rPr>
                <w:rFonts w:ascii="Noto Naskh Arabic" w:hAnsi="Noto Naskh Arabic" w:cs="Noto Naskh Arabic"/>
                <w:b/>
                <w:color w:val="1F4E79"/>
                <w:sz w:val="20"/>
              </w:rPr>
              <w:t>الحركة الكبرى</w:t>
            </w:r>
          </w:p>
        </w:tc>
        <w:tc>
          <w:tcPr>
            <w:tcW w:type="dxa" w:w="7483"/>
            <w:vAlign w:val="center"/>
            <w:shd w:fill="F8FBFE"/>
            <w:tcBorders>
              <w:top w:val="single" w:sz="5" w:color="9FBAD0"/>
              <w:left w:val="single" w:sz="5" w:color="9FBAD0"/>
              <w:bottom w:val="single" w:sz="5" w:color="9FBAD0"/>
              <w:right w:val="single" w:sz="5" w:color="9FBAD0"/>
            </w:tcBorders>
          </w:tcPr>
          <w:p>
            <w:pPr>
              <w:jc w:val="right"/>
              <w:bidi w:val="1"/>
            </w:pPr>
            <w:r>
              <w:rPr>
                <w:rFonts w:ascii="Noto Naskh Arabic" w:hAnsi="Noto Naskh Arabic" w:cs="Noto Naskh Arabic"/>
                <w:b w:val="0"/>
                <w:color w:val="1F2937"/>
                <w:sz w:val="20"/>
              </w:rPr>
              <w:t>طلب قتال → اختبار الالتزام → اختيار قائد بالكفاءة → اعتراض طبقي → آية شرعية → اختبار النهر → تقلص العدد → يقين وصبر → نصر.</w:t>
            </w:r>
          </w:p>
        </w:tc>
      </w:tr>
    </w:tbl>
    <w:p>
      <w:pPr>
        <w:spacing w:before="160" w:after="100"/>
        <w:jc w:val="right"/>
        <w:bidi w:val="1"/>
      </w:pPr>
      <w:r>
        <w:rPr>
          <w:rFonts w:ascii="Noto Kufi Arabic" w:hAnsi="Noto Kufi Arabic" w:cs="Noto Kufi Arabic"/>
          <w:b/>
          <w:color w:val="1F4E79"/>
          <w:sz w:val="28"/>
        </w:rPr>
        <w:t>الآيات + الشرح</w:t>
      </w:r>
    </w:p>
    <w:tbl>
      <w:tblPr>
        <w:tblW w:type="auto" w:w="0"/>
        <w:jc w:val="center"/>
        <w:tblLayout w:type="fixed"/>
        <w:tblLook w:firstColumn="1" w:firstRow="1" w:lastColumn="0" w:lastRow="0" w:noHBand="0" w:noVBand="1" w:val="04A0"/>
      </w:tblPr>
      <w:tblGrid>
        <w:gridCol w:w="10262"/>
      </w:tblGrid>
      <w:tr>
        <w:tc>
          <w:tcPr>
            <w:tcW w:type="dxa" w:w="9694"/>
            <w:vAlign w:val="top"/>
            <w:shd w:fill="DCE6F1"/>
            <w:tcBorders>
              <w:top w:val="single" w:sz="6" w:color="9FBAD0"/>
              <w:left w:val="single" w:sz="6" w:color="9FBAD0"/>
              <w:bottom w:val="single" w:sz="6" w:color="9FBAD0"/>
              <w:right w:val="single" w:sz="6" w:color="9FBAD0"/>
            </w:tcBorders>
          </w:tcPr>
          <w:p>
            <w:pPr>
              <w:jc w:val="right"/>
              <w:bidi w:val="1"/>
            </w:pPr>
            <w:r>
              <w:rPr>
                <w:rFonts w:ascii="Noto Kufi Arabic" w:hAnsi="Noto Kufi Arabic" w:cs="Noto Kufi Arabic"/>
                <w:b/>
                <w:color w:val="1F4E79"/>
                <w:sz w:val="21"/>
              </w:rPr>
              <w:t>1. سورة البقرة - الآيات من 246 إلى 251</w:t>
            </w:r>
          </w:p>
          <w:p>
            <w:pPr>
              <w:jc w:val="both"/>
              <w:bidi w:val="1"/>
            </w:pPr>
            <w:r>
              <w:rPr>
                <w:rFonts w:ascii="Amiri Quran" w:hAnsi="Amiri Quran" w:cs="Amiri Quran"/>
                <w:b w:val="0"/>
                <w:color w:val="1F2937"/>
                <w:sz w:val="20"/>
              </w:rPr>
              <w:t>أَلَم تَرَ إِلَى المَلَإِ مِن بَني إِسرائيلَ مِن بَعدِ موسىٰ إِذ قالوا لِنَبِيٍّ لَهُمُ ابعَث لَنا مَلِكًا نُقاتِل في سَبيلِ اللَّهِ ۖ قالَ هَل عَسَيتُم إِن كُتِبَ عَلَيكُمُ القِتالُ أَلّا تُقاتِلوا ۖ قالوا وَما لَنا أَلّا نُقاتِلَ في سَبيلِ اللَّهِ وَقَد أُخرِجنا مِن دِيارِنا وَأَبنائِنا ۖ فَلَمّا كُتِبَ عَلَيهِمُ القِتالُ تَوَلَّوا إِلّا قَليلًا مِنهُم ۗ وَاللَّهُ عَليمٌ بِالظّالِمينَ ﴿٢٤٦﴾ وَقالَ لَهُم نَبِيُّهُم إِنَّ اللَّهَ قَد بَعَثَ لَكُم طالوتَ مَلِكًا ۚ قالوا أَنّىٰ يَكونُ لَهُ المُلكُ عَلَينا وَنَحنُ أَحَقُّ بِالمُلكِ مِنهُ وَلَم يُؤتَ سَعَةً مِنَ المالِ ۚ قالَ إِنَّ اللَّهَ اصطَفاهُ عَلَيكُم وَزادَهُ بَسطَةً فِي العِلمِ وَالجِسمِ ۖ وَاللَّهُ يُؤتي مُلكَهُ مَن يَشاءُ ۚ وَاللَّهُ واسِعٌ عَليمٌ ﴿٢٤٧﴾ وَقالَ لَهُم نَبِيُّهُم إِنَّ آيَةَ مُلكِهِ أَن يَأتِيَكُمُ التّابوتُ فيهِ سَكينَةٌ مِن رَبِّكُم وَبَقِيَّةٌ مِمّا تَرَكَ آلُ موسىٰ وَآلُ هارونَ تَحمِلُهُ المَلائِكَةُ ۚ إِنَّ في ذٰلِكَ لَآيَةً لَكُم إِن كُنتُم مُؤمِنينَ ﴿٢٤٨﴾ فَلَمّا فَصَلَ طالوتُ بِالجُنودِ قالَ إِنَّ اللَّهَ مُبتَليكُم بِنَهَرٍ فَمَن شَرِبَ مِنهُ فَلَيسَ مِنّي وَمَن لَم يَطعَمهُ فَإِنَّهُ مِنّي إِلّا مَنِ اغتَرَفَ غُرفَةً بِيَدِهِ ۚ فَشَرِبوا مِنهُ إِلّا قَليلًا مِنهُم ۚ فَلَمّا جاوَزَهُ هُوَ وَالَّذينَ آمَنوا مَعَهُ قالوا لا طاقَةَ لَنَا اليَومَ بِجالوتَ وَجُنودِهِ ۚ قالَ الَّذينَ يَظُنّونَ أَنَّهُم مُلاقُو اللَّهِ كَم مِن فِئَةٍ قَليلَةٍ غَلَبَت فِئَةً كَثيرَةً بِإِذنِ اللَّهِ ۗ وَاللَّهُ مَعَ الصّابِرينَ ﴿٢٤٩﴾ وَلَمّا بَرَزوا لِجالوتَ وَجُنودِهِ قالوا رَبَّنا أَفرِغ عَلَينا صَبرًا وَثَبِّت أَقدامَنا وَانصُرنا عَلَى القَومِ الكافِرينَ ﴿٢٥٠﴾ فَهَزَموهُم بِإِذنِ اللَّهِ وَقَتَلَ داوودُ جالوتَ وَآتاهُ اللَّهُ المُلكَ وَالحِكمَةَ وَعَلَّمَهُ مِمّا يَشاءُ ۗ وَلَولا دَفعُ اللَّهِ النّاسَ بَعضَهُم بِبَعضٍ لَفَسَدَتِ الأَرضُ وَلـٰكِنَّ اللَّهَ ذو فَضلٍ عَلَى العالَمينَ ﴿٢٥١﴾</w:t>
            </w:r>
          </w:p>
          <w:p>
            <w:pPr>
              <w:jc w:val="right"/>
              <w:bidi w:val="1"/>
            </w:pPr>
            <w:r>
              <w:rPr>
                <w:rFonts w:ascii="Noto Naskh Arabic" w:hAnsi="Noto Naskh Arabic" w:cs="Noto Naskh Arabic"/>
                <w:b/>
                <w:color w:val="B8860B"/>
                <w:sz w:val="20"/>
              </w:rPr>
              <w:t xml:space="preserve">1. </w:t>
            </w:r>
            <w:r>
              <w:rPr>
                <w:rFonts w:ascii="Noto Naskh Arabic" w:hAnsi="Noto Naskh Arabic" w:cs="Noto Naskh Arabic"/>
                <w:b w:val="0"/>
                <w:color w:val="1F2937"/>
                <w:sz w:val="20"/>
              </w:rPr>
              <w:t>طلب الملأ ملكًا يقاتلون معه بعد إخراجهم من ديارهم، لكن نبيهم اختبر صدق الحماسة قبل تحويلها إلى تكليف.</w:t>
            </w:r>
          </w:p>
          <w:p>
            <w:pPr>
              <w:jc w:val="right"/>
              <w:bidi w:val="1"/>
            </w:pPr>
            <w:r>
              <w:rPr>
                <w:rFonts w:ascii="Noto Naskh Arabic" w:hAnsi="Noto Naskh Arabic" w:cs="Noto Naskh Arabic"/>
                <w:b/>
                <w:color w:val="B8860B"/>
                <w:sz w:val="20"/>
              </w:rPr>
              <w:t xml:space="preserve">2. </w:t>
            </w:r>
            <w:r>
              <w:rPr>
                <w:rFonts w:ascii="Noto Naskh Arabic" w:hAnsi="Noto Naskh Arabic" w:cs="Noto Naskh Arabic"/>
                <w:b w:val="0"/>
                <w:color w:val="1F2937"/>
                <w:sz w:val="20"/>
              </w:rPr>
              <w:t>عندما كتب القتال تولى أكثرهم؛ فالرغبة في التغيير لا تساوي الاستعداد لتحمل تكلفته.</w:t>
            </w:r>
          </w:p>
          <w:p>
            <w:pPr>
              <w:jc w:val="right"/>
              <w:bidi w:val="1"/>
            </w:pPr>
            <w:r>
              <w:rPr>
                <w:rFonts w:ascii="Noto Naskh Arabic" w:hAnsi="Noto Naskh Arabic" w:cs="Noto Naskh Arabic"/>
                <w:b/>
                <w:color w:val="B8860B"/>
                <w:sz w:val="20"/>
              </w:rPr>
              <w:t xml:space="preserve">3. </w:t>
            </w:r>
            <w:r>
              <w:rPr>
                <w:rFonts w:ascii="Noto Naskh Arabic" w:hAnsi="Noto Naskh Arabic" w:cs="Noto Naskh Arabic"/>
                <w:b w:val="0"/>
                <w:color w:val="1F2937"/>
                <w:sz w:val="20"/>
              </w:rPr>
              <w:t>اعترضوا على طالوت لضعف المال والمكانة الموروثة، بينما جاء معيار الاختيار: الاصطفاء، وبسطة العلم والجسم.</w:t>
            </w:r>
          </w:p>
          <w:p>
            <w:pPr>
              <w:jc w:val="right"/>
              <w:bidi w:val="1"/>
            </w:pPr>
            <w:r>
              <w:rPr>
                <w:rFonts w:ascii="Noto Naskh Arabic" w:hAnsi="Noto Naskh Arabic" w:cs="Noto Naskh Arabic"/>
                <w:b/>
                <w:color w:val="B8860B"/>
                <w:sz w:val="20"/>
              </w:rPr>
              <w:t xml:space="preserve">4. </w:t>
            </w:r>
            <w:r>
              <w:rPr>
                <w:rFonts w:ascii="Noto Naskh Arabic" w:hAnsi="Noto Naskh Arabic" w:cs="Noto Naskh Arabic"/>
                <w:b w:val="0"/>
                <w:color w:val="1F2937"/>
                <w:sz w:val="20"/>
              </w:rPr>
              <w:t>جاء التابوت آية تمنح السكينة وتثبت الشرعية، لكن السير بقي يحتاج انضباطًا عمليًا.</w:t>
            </w:r>
          </w:p>
          <w:p>
            <w:pPr>
              <w:jc w:val="right"/>
              <w:bidi w:val="1"/>
            </w:pPr>
            <w:r>
              <w:rPr>
                <w:rFonts w:ascii="Noto Naskh Arabic" w:hAnsi="Noto Naskh Arabic" w:cs="Noto Naskh Arabic"/>
                <w:b/>
                <w:color w:val="B8860B"/>
                <w:sz w:val="20"/>
              </w:rPr>
              <w:t xml:space="preserve">5. </w:t>
            </w:r>
            <w:r>
              <w:rPr>
                <w:rFonts w:ascii="Noto Naskh Arabic" w:hAnsi="Noto Naskh Arabic" w:cs="Noto Naskh Arabic"/>
                <w:b w:val="0"/>
                <w:color w:val="1F2937"/>
                <w:sz w:val="20"/>
              </w:rPr>
              <w:t>اختبار النهر فصل بين الرغبة والقدرة على ضبط النفس؛ فالشرب الكثير كشف من لا يستطيع حمل الأمر في لحظة الحاجة.</w:t>
            </w:r>
          </w:p>
          <w:p>
            <w:pPr>
              <w:jc w:val="right"/>
              <w:bidi w:val="1"/>
            </w:pPr>
            <w:r>
              <w:rPr>
                <w:rFonts w:ascii="Noto Naskh Arabic" w:hAnsi="Noto Naskh Arabic" w:cs="Noto Naskh Arabic"/>
                <w:b/>
                <w:color w:val="B8860B"/>
                <w:sz w:val="20"/>
              </w:rPr>
              <w:t xml:space="preserve">6. </w:t>
            </w:r>
            <w:r>
              <w:rPr>
                <w:rFonts w:ascii="Noto Naskh Arabic" w:hAnsi="Noto Naskh Arabic" w:cs="Noto Naskh Arabic"/>
                <w:b w:val="0"/>
                <w:color w:val="1F2937"/>
                <w:sz w:val="20"/>
              </w:rPr>
              <w:t>بعد العبور ظهرت غربلة ثانية: فريق رأى عدم الطاقة، وفريق ربط النصر بإذن الله وصبر الفئة القليلة.</w:t>
            </w:r>
          </w:p>
          <w:p>
            <w:pPr>
              <w:jc w:val="right"/>
              <w:bidi w:val="1"/>
            </w:pPr>
            <w:r>
              <w:rPr>
                <w:rFonts w:ascii="Noto Naskh Arabic" w:hAnsi="Noto Naskh Arabic" w:cs="Noto Naskh Arabic"/>
                <w:b/>
                <w:color w:val="B8860B"/>
                <w:sz w:val="20"/>
              </w:rPr>
              <w:t xml:space="preserve">7. </w:t>
            </w:r>
            <w:r>
              <w:rPr>
                <w:rFonts w:ascii="Noto Naskh Arabic" w:hAnsi="Noto Naskh Arabic" w:cs="Noto Naskh Arabic"/>
                <w:b w:val="0"/>
                <w:color w:val="1F2937"/>
                <w:sz w:val="20"/>
              </w:rPr>
              <w:t>الدعاء قبل اللقاء طلب صبرًا مُفرغًا وثبات أقدام ونصرًا؛ فالإيمان لم يلغ الاستعداد النفسي والبدني.</w:t>
            </w:r>
          </w:p>
          <w:p>
            <w:pPr>
              <w:jc w:val="right"/>
              <w:bidi w:val="1"/>
            </w:pPr>
            <w:r>
              <w:rPr>
                <w:rFonts w:ascii="Noto Naskh Arabic" w:hAnsi="Noto Naskh Arabic" w:cs="Noto Naskh Arabic"/>
                <w:b/>
                <w:color w:val="B8860B"/>
                <w:sz w:val="20"/>
              </w:rPr>
              <w:t xml:space="preserve">8. </w:t>
            </w:r>
            <w:r>
              <w:rPr>
                <w:rFonts w:ascii="Noto Naskh Arabic" w:hAnsi="Noto Naskh Arabic" w:cs="Noto Naskh Arabic"/>
                <w:b w:val="0"/>
                <w:color w:val="1F2937"/>
                <w:sz w:val="20"/>
              </w:rPr>
              <w:t>انتهت المعركة بالهزيمة بإذن الله وقتل داود جالوت، ثم جاء التعقيب على دفع الناس بعضهم ببعض لمنع فساد الأرض.</w:t>
            </w:r>
          </w:p>
        </w:tc>
      </w:tr>
    </w:tbl>
    <w:p>
      <w:pPr>
        <w:spacing w:after="20"/>
      </w:pPr>
    </w:p>
    <w:p>
      <w:pPr>
        <w:spacing w:before="160" w:after="100"/>
        <w:jc w:val="right"/>
        <w:bidi w:val="1"/>
      </w:pPr>
      <w:r>
        <w:rPr>
          <w:rFonts w:ascii="Noto Kufi Arabic" w:hAnsi="Noto Kufi Arabic" w:cs="Noto Kufi Arabic"/>
          <w:b/>
          <w:color w:val="1F4E79"/>
          <w:sz w:val="28"/>
        </w:rPr>
        <w:t>التحليل الحركي والنفسي</w:t>
      </w:r>
    </w:p>
    <w:p>
      <w:pPr>
        <w:jc w:val="both"/>
        <w:bidi w:val="1"/>
      </w:pPr>
      <w:r>
        <w:rPr>
          <w:rFonts w:ascii="Noto Naskh Arabic" w:hAnsi="Noto Naskh Arabic" w:cs="Noto Naskh Arabic"/>
          <w:b/>
          <w:color w:val="B8860B"/>
          <w:sz w:val="21"/>
        </w:rPr>
        <w:t xml:space="preserve">1. </w:t>
      </w:r>
      <w:r>
        <w:rPr>
          <w:rFonts w:ascii="Noto Naskh Arabic" w:hAnsi="Noto Naskh Arabic" w:cs="Noto Naskh Arabic"/>
          <w:b w:val="0"/>
          <w:color w:val="1F2937"/>
          <w:sz w:val="21"/>
        </w:rPr>
        <w:t>بدأت القصة بفجوة بين الخطاب والفعل؛ معظم من طلبوا القتال تراجعوا عندما صار القتال واجبًا، لتقرر أن النوايا المعلنة لا تكفي لتكوين فريق.</w:t>
      </w:r>
    </w:p>
    <w:p>
      <w:pPr>
        <w:jc w:val="both"/>
        <w:bidi w:val="1"/>
      </w:pPr>
      <w:r>
        <w:rPr>
          <w:rFonts w:ascii="Noto Naskh Arabic" w:hAnsi="Noto Naskh Arabic" w:cs="Noto Naskh Arabic"/>
          <w:b/>
          <w:color w:val="B8860B"/>
          <w:sz w:val="21"/>
        </w:rPr>
        <w:t xml:space="preserve">2. </w:t>
      </w:r>
      <w:r>
        <w:rPr>
          <w:rFonts w:ascii="Noto Naskh Arabic" w:hAnsi="Noto Naskh Arabic" w:cs="Noto Naskh Arabic"/>
          <w:b w:val="0"/>
          <w:color w:val="1F2937"/>
          <w:sz w:val="21"/>
        </w:rPr>
        <w:t>اختيار طالوت أسقط معيار المال والنسب، وقدم العلم والقدرة البدنية؛ فالقيادة وظيفة واستعداد قبل أن تكون مكانة اجتماعية.</w:t>
      </w:r>
    </w:p>
    <w:p>
      <w:pPr>
        <w:jc w:val="both"/>
        <w:bidi w:val="1"/>
      </w:pPr>
      <w:r>
        <w:rPr>
          <w:rFonts w:ascii="Noto Naskh Arabic" w:hAnsi="Noto Naskh Arabic" w:cs="Noto Naskh Arabic"/>
          <w:b/>
          <w:color w:val="B8860B"/>
          <w:sz w:val="21"/>
        </w:rPr>
        <w:t xml:space="preserve">3. </w:t>
      </w:r>
      <w:r>
        <w:rPr>
          <w:rFonts w:ascii="Noto Naskh Arabic" w:hAnsi="Noto Naskh Arabic" w:cs="Noto Naskh Arabic"/>
          <w:b w:val="0"/>
          <w:color w:val="1F2937"/>
          <w:sz w:val="21"/>
        </w:rPr>
        <w:t>اعتراض الملأ يكشف مقاومة الجماعة للمعيار عندما لا يطابق مصالحها أو تصوراتها عن أصحاب الحق في المنصب.</w:t>
      </w:r>
    </w:p>
    <w:p>
      <w:pPr>
        <w:jc w:val="both"/>
        <w:bidi w:val="1"/>
      </w:pPr>
      <w:r>
        <w:rPr>
          <w:rFonts w:ascii="Noto Naskh Arabic" w:hAnsi="Noto Naskh Arabic" w:cs="Noto Naskh Arabic"/>
          <w:b/>
          <w:color w:val="B8860B"/>
          <w:sz w:val="21"/>
        </w:rPr>
        <w:t xml:space="preserve">4. </w:t>
      </w:r>
      <w:r>
        <w:rPr>
          <w:rFonts w:ascii="Noto Naskh Arabic" w:hAnsi="Noto Naskh Arabic" w:cs="Noto Naskh Arabic"/>
          <w:b w:val="0"/>
          <w:color w:val="1F2937"/>
          <w:sz w:val="21"/>
        </w:rPr>
        <w:t>اختبار النهر كان بسيطًا ظاهرًا لكنه كشف الاستجابة للأمر تحت التعب والرغبة؛ والاختبارات الصغيرة قد تتنبأ بالسلوك في الأزمة الكبرى.</w:t>
      </w:r>
    </w:p>
    <w:p>
      <w:pPr>
        <w:jc w:val="both"/>
        <w:bidi w:val="1"/>
      </w:pPr>
      <w:r>
        <w:rPr>
          <w:rFonts w:ascii="Noto Naskh Arabic" w:hAnsi="Noto Naskh Arabic" w:cs="Noto Naskh Arabic"/>
          <w:b/>
          <w:color w:val="B8860B"/>
          <w:sz w:val="21"/>
        </w:rPr>
        <w:t xml:space="preserve">5. </w:t>
      </w:r>
      <w:r>
        <w:rPr>
          <w:rFonts w:ascii="Noto Naskh Arabic" w:hAnsi="Noto Naskh Arabic" w:cs="Noto Naskh Arabic"/>
          <w:b w:val="0"/>
          <w:color w:val="1F2937"/>
          <w:sz w:val="21"/>
        </w:rPr>
        <w:t>تقلص العدد لم يكن خسارة فقط، بل رفع جودة التماسك؛ فالقلة التي بقيت كانت أقدر على الحركة من كثرة لم تضبط نفسها.</w:t>
      </w:r>
    </w:p>
    <w:p>
      <w:pPr>
        <w:jc w:val="both"/>
        <w:bidi w:val="1"/>
      </w:pPr>
      <w:r>
        <w:rPr>
          <w:rFonts w:ascii="Noto Naskh Arabic" w:hAnsi="Noto Naskh Arabic" w:cs="Noto Naskh Arabic"/>
          <w:b/>
          <w:color w:val="B8860B"/>
          <w:sz w:val="21"/>
        </w:rPr>
        <w:t xml:space="preserve">6. </w:t>
      </w:r>
      <w:r>
        <w:rPr>
          <w:rFonts w:ascii="Noto Naskh Arabic" w:hAnsi="Noto Naskh Arabic" w:cs="Noto Naskh Arabic"/>
          <w:b w:val="0"/>
          <w:color w:val="1F2937"/>
          <w:sz w:val="21"/>
        </w:rPr>
        <w:t>الفريق الذي قال كم من فئة قليلة لم ينكر تفوق العدو، لكنه رفض تحويل التفوق العددي إلى حكم نهائي.</w:t>
      </w:r>
    </w:p>
    <w:p>
      <w:pPr>
        <w:jc w:val="both"/>
        <w:bidi w:val="1"/>
      </w:pPr>
      <w:r>
        <w:rPr>
          <w:rFonts w:ascii="Noto Naskh Arabic" w:hAnsi="Noto Naskh Arabic" w:cs="Noto Naskh Arabic"/>
          <w:b/>
          <w:color w:val="B8860B"/>
          <w:sz w:val="21"/>
        </w:rPr>
        <w:t xml:space="preserve">7. </w:t>
      </w:r>
      <w:r>
        <w:rPr>
          <w:rFonts w:ascii="Noto Naskh Arabic" w:hAnsi="Noto Naskh Arabic" w:cs="Noto Naskh Arabic"/>
          <w:b w:val="0"/>
          <w:color w:val="1F2937"/>
          <w:sz w:val="21"/>
        </w:rPr>
        <w:t>الدعاء طلب صبرًا وثباتًا قبل النصر، لأن النتيجة تحتاج بنية نفسية قادرة على البقاء في موضعها.</w:t>
      </w:r>
    </w:p>
    <w:p>
      <w:pPr>
        <w:jc w:val="both"/>
        <w:bidi w:val="1"/>
      </w:pPr>
      <w:r>
        <w:rPr>
          <w:rFonts w:ascii="Noto Naskh Arabic" w:hAnsi="Noto Naskh Arabic" w:cs="Noto Naskh Arabic"/>
          <w:b/>
          <w:color w:val="B8860B"/>
          <w:sz w:val="21"/>
        </w:rPr>
        <w:t xml:space="preserve">8. </w:t>
      </w:r>
      <w:r>
        <w:rPr>
          <w:rFonts w:ascii="Noto Naskh Arabic" w:hAnsi="Noto Naskh Arabic" w:cs="Noto Naskh Arabic"/>
          <w:b w:val="0"/>
          <w:color w:val="1F2937"/>
          <w:sz w:val="21"/>
        </w:rPr>
        <w:t>التعقيب على دفع الناس بعضهم ببعض يضع المعركة داخل مسؤولية حماية الأرض من الفساد، لا داخل مجد شخصي أو قومي.</w:t>
      </w:r>
    </w:p>
    <w:p>
      <w:pPr>
        <w:spacing w:before="160" w:after="100"/>
        <w:jc w:val="right"/>
        <w:bidi w:val="1"/>
      </w:pPr>
      <w:r>
        <w:rPr>
          <w:rFonts w:ascii="Noto Kufi Arabic" w:hAnsi="Noto Kufi Arabic" w:cs="Noto Kufi Arabic"/>
          <w:b/>
          <w:color w:val="1F4E79"/>
          <w:sz w:val="28"/>
        </w:rPr>
        <w:t>الخلاصة</w:t>
      </w:r>
    </w:p>
    <w:tbl>
      <w:tblPr>
        <w:tblW w:type="auto" w:w="0"/>
        <w:jc w:val="center"/>
        <w:tblLook w:firstColumn="1" w:firstRow="1" w:lastColumn="0" w:lastRow="0" w:noHBand="0" w:noVBand="1" w:val="04A0"/>
      </w:tblPr>
      <w:tblGrid>
        <w:gridCol w:w="10262"/>
      </w:tblGrid>
      <w:tr>
        <w:tc>
          <w:tcPr>
            <w:tcW w:type="dxa" w:w="10262"/>
            <w:shd w:fill="EEF4F9"/>
            <w:tcBorders>
              <w:top w:val="single" w:sz="6" w:color="9FBAD0"/>
              <w:left w:val="single" w:sz="6" w:color="9FBAD0"/>
              <w:bottom w:val="single" w:sz="6" w:color="9FBAD0"/>
              <w:right w:val="single" w:sz="6" w:color="9FBAD0"/>
            </w:tcBorders>
          </w:tcPr>
          <w:p>
            <w:pPr>
              <w:jc w:val="both"/>
              <w:bidi w:val="1"/>
            </w:pPr>
            <w:r>
              <w:rPr>
                <w:rFonts w:ascii="Noto Naskh Arabic" w:hAnsi="Noto Naskh Arabic" w:cs="Noto Naskh Arabic"/>
                <w:b w:val="0"/>
                <w:color w:val="1F2937"/>
                <w:sz w:val="22"/>
              </w:rPr>
              <w:t>طلب بنو إسرائيل قائدًا ومعركة، لكن القرآن كشف أن الطلب أسهل من الالتزام. اختير طالوت بمعيار العلم والجسم لا المال والنسب، فاعترضت الجماعة لأن المعيار هدد تصوراتها. ثم جاء النهر ليكشف الانضباط، فتساقط العدد وبقيت قلة ترى أن موازين الله لا تختزل في الكثرة. طلبوا الصبر والثبات قبل النصر، فهزموا جالوت بإذن الله. القصة لا تمجد القلة لذاتها، بل القلة المؤهلة التي اجتازت معيار الاختيار والاختبار وحملت غاية تمنع الفساد.</w:t>
            </w:r>
          </w:p>
        </w:tc>
      </w:tr>
    </w:tbl>
    <w:p>
      <w:pPr>
        <w:spacing w:before="160" w:after="100"/>
        <w:jc w:val="right"/>
        <w:bidi w:val="1"/>
      </w:pPr>
      <w:r>
        <w:rPr>
          <w:rFonts w:ascii="Noto Kufi Arabic" w:hAnsi="Noto Kufi Arabic" w:cs="Noto Kufi Arabic"/>
          <w:b/>
          <w:color w:val="1F4E79"/>
          <w:sz w:val="28"/>
        </w:rPr>
        <w:t>المرحلة | النص | التطبيق على الإنسان</w:t>
      </w:r>
    </w:p>
    <w:tbl>
      <w:tblPr>
        <w:tblW w:type="auto" w:w="0"/>
        <w:jc w:val="center"/>
        <w:tblLayout w:type="fixed"/>
        <w:tblLook w:firstColumn="1" w:firstRow="1" w:lastColumn="0" w:lastRow="0" w:noHBand="0" w:noVBand="1" w:val="04A0"/>
      </w:tblPr>
      <w:tblGrid>
        <w:gridCol w:w="3421"/>
        <w:gridCol w:w="3421"/>
        <w:gridCol w:w="3421"/>
      </w:tblGrid>
      <w:tr>
        <w:trPr>
          <w:tblHeader w:val="true"/>
        </w:trPr>
        <w:tc>
          <w:tcPr>
            <w:tcW w:type="dxa" w:w="2041"/>
            <w:shd w:fill="1F4E79"/>
            <w:vAlign w:val="center"/>
          </w:tcPr>
          <w:p>
            <w:pPr>
              <w:jc w:val="center"/>
              <w:bidi w:val="1"/>
            </w:pPr>
            <w:r>
              <w:rPr>
                <w:rFonts w:ascii="Noto Kufi Arabic" w:hAnsi="Noto Kufi Arabic" w:cs="Noto Kufi Arabic"/>
                <w:b/>
                <w:color w:val="FFFFFF"/>
                <w:sz w:val="18"/>
              </w:rPr>
              <w:t>المرحلة</w:t>
            </w:r>
          </w:p>
        </w:tc>
        <w:tc>
          <w:tcPr>
            <w:tcW w:type="dxa" w:w="2835"/>
            <w:shd w:fill="1F4E79"/>
            <w:vAlign w:val="center"/>
          </w:tcPr>
          <w:p>
            <w:pPr>
              <w:jc w:val="center"/>
              <w:bidi w:val="1"/>
            </w:pPr>
            <w:r>
              <w:rPr>
                <w:rFonts w:ascii="Noto Kufi Arabic" w:hAnsi="Noto Kufi Arabic" w:cs="Noto Kufi Arabic"/>
                <w:b/>
                <w:color w:val="FFFFFF"/>
                <w:sz w:val="18"/>
              </w:rPr>
              <w:t>النص أو المعنى المحوري</w:t>
            </w:r>
          </w:p>
        </w:tc>
        <w:tc>
          <w:tcPr>
            <w:tcW w:type="dxa" w:w="4649"/>
            <w:shd w:fill="1F4E79"/>
            <w:vAlign w:val="center"/>
          </w:tcPr>
          <w:p>
            <w:pPr>
              <w:jc w:val="center"/>
              <w:bidi w:val="1"/>
            </w:pPr>
            <w:r>
              <w:rPr>
                <w:rFonts w:ascii="Noto Kufi Arabic" w:hAnsi="Noto Kufi Arabic" w:cs="Noto Kufi Arabic"/>
                <w:b/>
                <w:color w:val="FFFFFF"/>
                <w:sz w:val="18"/>
              </w:rPr>
              <w:t>التطبيق على الإنسان</w:t>
            </w:r>
          </w:p>
        </w:tc>
      </w:tr>
      <w:tr>
        <w:trPr>
          <w:cantSplit/>
        </w:trPr>
        <w:tc>
          <w:tcPr>
            <w:tcW w:type="dxa" w:w="2041"/>
            <w:vAlign w:val="center"/>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color w:val="1F4E79"/>
                <w:sz w:val="18"/>
              </w:rPr>
              <w:t>الطلب</w:t>
            </w:r>
          </w:p>
        </w:tc>
        <w:tc>
          <w:tcPr>
            <w:tcW w:type="dxa" w:w="2835"/>
            <w:vAlign w:val="center"/>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8"/>
              </w:rPr>
              <w:t>ابعث لنا ملكًا نقاتل</w:t>
            </w:r>
          </w:p>
        </w:tc>
        <w:tc>
          <w:tcPr>
            <w:tcW w:type="dxa" w:w="4649"/>
            <w:vAlign w:val="center"/>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8"/>
              </w:rPr>
              <w:t>اختبر قدرة أصحاب المبادرة على تحمل التكلفة.</w:t>
            </w:r>
          </w:p>
        </w:tc>
      </w:tr>
      <w:tr>
        <w:trPr>
          <w:cantSplit/>
        </w:trPr>
        <w:tc>
          <w:tcPr>
            <w:tcW w:type="dxa" w:w="2041"/>
            <w:vAlign w:val="center"/>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color w:val="1F4E79"/>
                <w:sz w:val="18"/>
              </w:rPr>
              <w:t>فجوة الالتزام</w:t>
            </w:r>
          </w:p>
        </w:tc>
        <w:tc>
          <w:tcPr>
            <w:tcW w:type="dxa" w:w="2835"/>
            <w:vAlign w:val="center"/>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8"/>
              </w:rPr>
              <w:t>فلما كتب عليهم القتال تولوا</w:t>
            </w:r>
          </w:p>
        </w:tc>
        <w:tc>
          <w:tcPr>
            <w:tcW w:type="dxa" w:w="4649"/>
            <w:vAlign w:val="center"/>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8"/>
              </w:rPr>
              <w:t>لا تعتمد على الحماس غير المختبر.</w:t>
            </w:r>
          </w:p>
        </w:tc>
      </w:tr>
      <w:tr>
        <w:trPr>
          <w:cantSplit/>
        </w:trPr>
        <w:tc>
          <w:tcPr>
            <w:tcW w:type="dxa" w:w="2041"/>
            <w:vAlign w:val="center"/>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color w:val="1F4E79"/>
                <w:sz w:val="18"/>
              </w:rPr>
              <w:t>الاختيار</w:t>
            </w:r>
          </w:p>
        </w:tc>
        <w:tc>
          <w:tcPr>
            <w:tcW w:type="dxa" w:w="2835"/>
            <w:vAlign w:val="center"/>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8"/>
              </w:rPr>
              <w:t>زاده بسطة في العلم والجسم</w:t>
            </w:r>
          </w:p>
        </w:tc>
        <w:tc>
          <w:tcPr>
            <w:tcW w:type="dxa" w:w="4649"/>
            <w:vAlign w:val="center"/>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8"/>
              </w:rPr>
              <w:t>حدد كفاءات المنصب قبل اختيار الشخص.</w:t>
            </w:r>
          </w:p>
        </w:tc>
      </w:tr>
      <w:tr>
        <w:trPr>
          <w:cantSplit/>
        </w:trPr>
        <w:tc>
          <w:tcPr>
            <w:tcW w:type="dxa" w:w="2041"/>
            <w:vAlign w:val="center"/>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color w:val="1F4E79"/>
                <w:sz w:val="18"/>
              </w:rPr>
              <w:t>المقاومة</w:t>
            </w:r>
          </w:p>
        </w:tc>
        <w:tc>
          <w:tcPr>
            <w:tcW w:type="dxa" w:w="2835"/>
            <w:vAlign w:val="center"/>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8"/>
              </w:rPr>
              <w:t>أنى يكون له الملك علينا</w:t>
            </w:r>
          </w:p>
        </w:tc>
        <w:tc>
          <w:tcPr>
            <w:tcW w:type="dxa" w:w="4649"/>
            <w:vAlign w:val="center"/>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8"/>
              </w:rPr>
              <w:t>توقع اعتراض أصحاب الامتياز على المعيار الموضوعي.</w:t>
            </w:r>
          </w:p>
        </w:tc>
      </w:tr>
      <w:tr>
        <w:trPr>
          <w:cantSplit/>
        </w:trPr>
        <w:tc>
          <w:tcPr>
            <w:tcW w:type="dxa" w:w="2041"/>
            <w:vAlign w:val="center"/>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color w:val="1F4E79"/>
                <w:sz w:val="18"/>
              </w:rPr>
              <w:t>الشرعية</w:t>
            </w:r>
          </w:p>
        </w:tc>
        <w:tc>
          <w:tcPr>
            <w:tcW w:type="dxa" w:w="2835"/>
            <w:vAlign w:val="center"/>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8"/>
              </w:rPr>
              <w:t>أن يأتيكم التابوت</w:t>
            </w:r>
          </w:p>
        </w:tc>
        <w:tc>
          <w:tcPr>
            <w:tcW w:type="dxa" w:w="4649"/>
            <w:vAlign w:val="center"/>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8"/>
              </w:rPr>
              <w:t>وضّح أساس التفويض والسكينة المشتركة.</w:t>
            </w:r>
          </w:p>
        </w:tc>
      </w:tr>
      <w:tr>
        <w:trPr>
          <w:cantSplit/>
        </w:trPr>
        <w:tc>
          <w:tcPr>
            <w:tcW w:type="dxa" w:w="2041"/>
            <w:vAlign w:val="center"/>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color w:val="1F4E79"/>
                <w:sz w:val="18"/>
              </w:rPr>
              <w:t>الاختبار</w:t>
            </w:r>
          </w:p>
        </w:tc>
        <w:tc>
          <w:tcPr>
            <w:tcW w:type="dxa" w:w="2835"/>
            <w:vAlign w:val="center"/>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8"/>
              </w:rPr>
              <w:t>إن الله مبتليكم بنهر</w:t>
            </w:r>
          </w:p>
        </w:tc>
        <w:tc>
          <w:tcPr>
            <w:tcW w:type="dxa" w:w="4649"/>
            <w:vAlign w:val="center"/>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8"/>
              </w:rPr>
              <w:t>استخدم اختبارًا مرتبطًا بسلوك المهمة لا بالشعارات.</w:t>
            </w:r>
          </w:p>
        </w:tc>
      </w:tr>
      <w:tr>
        <w:trPr>
          <w:cantSplit/>
        </w:trPr>
        <w:tc>
          <w:tcPr>
            <w:tcW w:type="dxa" w:w="2041"/>
            <w:vAlign w:val="center"/>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color w:val="1F4E79"/>
                <w:sz w:val="18"/>
              </w:rPr>
              <w:t>الفرز</w:t>
            </w:r>
          </w:p>
        </w:tc>
        <w:tc>
          <w:tcPr>
            <w:tcW w:type="dxa" w:w="2835"/>
            <w:vAlign w:val="center"/>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8"/>
              </w:rPr>
              <w:t>فشربوا منه إلا قليلًا</w:t>
            </w:r>
          </w:p>
        </w:tc>
        <w:tc>
          <w:tcPr>
            <w:tcW w:type="dxa" w:w="4649"/>
            <w:vAlign w:val="center"/>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8"/>
              </w:rPr>
              <w:t>لا تخف من تقليل العدد إذا رفع جودة الالتزام.</w:t>
            </w:r>
          </w:p>
        </w:tc>
      </w:tr>
      <w:tr>
        <w:trPr>
          <w:cantSplit/>
        </w:trPr>
        <w:tc>
          <w:tcPr>
            <w:tcW w:type="dxa" w:w="2041"/>
            <w:vAlign w:val="center"/>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color w:val="1F4E79"/>
                <w:sz w:val="18"/>
              </w:rPr>
              <w:t>إدارة الخوف</w:t>
            </w:r>
          </w:p>
        </w:tc>
        <w:tc>
          <w:tcPr>
            <w:tcW w:type="dxa" w:w="2835"/>
            <w:vAlign w:val="center"/>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8"/>
              </w:rPr>
              <w:t>لا طاقة لنا اليوم</w:t>
            </w:r>
          </w:p>
        </w:tc>
        <w:tc>
          <w:tcPr>
            <w:tcW w:type="dxa" w:w="4649"/>
            <w:vAlign w:val="center"/>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8"/>
              </w:rPr>
              <w:t>اعترف بحجم التحدي دون تحويله إلى استسلام.</w:t>
            </w:r>
          </w:p>
        </w:tc>
      </w:tr>
      <w:tr>
        <w:trPr>
          <w:cantSplit/>
        </w:trPr>
        <w:tc>
          <w:tcPr>
            <w:tcW w:type="dxa" w:w="2041"/>
            <w:vAlign w:val="center"/>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color w:val="1F4E79"/>
                <w:sz w:val="18"/>
              </w:rPr>
              <w:t>اليقين</w:t>
            </w:r>
          </w:p>
        </w:tc>
        <w:tc>
          <w:tcPr>
            <w:tcW w:type="dxa" w:w="2835"/>
            <w:vAlign w:val="center"/>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8"/>
              </w:rPr>
              <w:t>كم من فئة قليلة غلبت</w:t>
            </w:r>
          </w:p>
        </w:tc>
        <w:tc>
          <w:tcPr>
            <w:tcW w:type="dxa" w:w="4649"/>
            <w:vAlign w:val="center"/>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8"/>
              </w:rPr>
              <w:t>وازن البيانات المادية بمعنى الغاية والمعية.</w:t>
            </w:r>
          </w:p>
        </w:tc>
      </w:tr>
      <w:tr>
        <w:trPr>
          <w:cantSplit/>
        </w:trPr>
        <w:tc>
          <w:tcPr>
            <w:tcW w:type="dxa" w:w="2041"/>
            <w:vAlign w:val="center"/>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color w:val="1F4E79"/>
                <w:sz w:val="18"/>
              </w:rPr>
              <w:t>الثبات</w:t>
            </w:r>
          </w:p>
        </w:tc>
        <w:tc>
          <w:tcPr>
            <w:tcW w:type="dxa" w:w="2835"/>
            <w:vAlign w:val="center"/>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8"/>
              </w:rPr>
              <w:t>أفرغ علينا صبرًا وثبت أقدامنا</w:t>
            </w:r>
          </w:p>
        </w:tc>
        <w:tc>
          <w:tcPr>
            <w:tcW w:type="dxa" w:w="4649"/>
            <w:vAlign w:val="center"/>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8"/>
              </w:rPr>
              <w:t>ابنِ القدرة على البقاء قبل طلب النتيجة.</w:t>
            </w:r>
          </w:p>
        </w:tc>
      </w:tr>
      <w:tr>
        <w:trPr>
          <w:cantSplit/>
        </w:trPr>
        <w:tc>
          <w:tcPr>
            <w:tcW w:type="dxa" w:w="2041"/>
            <w:vAlign w:val="center"/>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color w:val="1F4E79"/>
                <w:sz w:val="18"/>
              </w:rPr>
              <w:t>النتيجة والعبرة</w:t>
            </w:r>
          </w:p>
        </w:tc>
        <w:tc>
          <w:tcPr>
            <w:tcW w:type="dxa" w:w="2835"/>
            <w:vAlign w:val="center"/>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8"/>
              </w:rPr>
              <w:t>العاقبة كما عرضها السياق</w:t>
            </w:r>
          </w:p>
        </w:tc>
        <w:tc>
          <w:tcPr>
            <w:tcW w:type="dxa" w:w="4649"/>
            <w:vAlign w:val="center"/>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8"/>
              </w:rPr>
              <w:t>اربط النتيجة بالقرارات التي صنعتها ولا تعزلها عن مسارها.</w:t>
            </w:r>
          </w:p>
        </w:tc>
      </w:tr>
    </w:tbl>
    <w:p>
      <w:pPr>
        <w:spacing w:before="160" w:after="100"/>
        <w:jc w:val="right"/>
        <w:bidi w:val="1"/>
      </w:pPr>
      <w:r>
        <w:rPr>
          <w:rFonts w:ascii="Noto Kufi Arabic" w:hAnsi="Noto Kufi Arabic" w:cs="Noto Kufi Arabic"/>
          <w:b/>
          <w:color w:val="1F4E79"/>
          <w:sz w:val="28"/>
        </w:rPr>
        <w:t>التطبيقات العملية</w:t>
      </w:r>
    </w:p>
    <w:tbl>
      <w:tblPr>
        <w:tblW w:type="auto" w:w="0"/>
        <w:jc w:val="center"/>
        <w:tblLayout w:type="fixed"/>
        <w:tblLook w:firstColumn="1" w:firstRow="1" w:lastColumn="0" w:lastRow="0" w:noHBand="0" w:noVBand="1" w:val="04A0"/>
      </w:tblPr>
      <w:tblGrid>
        <w:gridCol w:w="5131"/>
        <w:gridCol w:w="5131"/>
      </w:tblGrid>
      <w:tr>
        <w:trPr>
          <w:tblHeader w:val="true"/>
        </w:trPr>
        <w:tc>
          <w:tcPr>
            <w:tcW w:type="dxa" w:w="1871"/>
            <w:shd w:fill="1F4E79"/>
          </w:tcPr>
          <w:p>
            <w:pPr>
              <w:jc w:val="center"/>
              <w:bidi w:val="1"/>
            </w:pPr>
            <w:r>
              <w:rPr>
                <w:rFonts w:ascii="Noto Kufi Arabic" w:hAnsi="Noto Kufi Arabic" w:cs="Noto Kufi Arabic"/>
                <w:b/>
                <w:color w:val="FFFFFF"/>
                <w:sz w:val="19"/>
              </w:rPr>
              <w:t>المجال</w:t>
            </w:r>
          </w:p>
        </w:tc>
        <w:tc>
          <w:tcPr>
            <w:tcW w:type="dxa" w:w="7654"/>
            <w:shd w:fill="1F4E79"/>
          </w:tcPr>
          <w:p>
            <w:pPr>
              <w:jc w:val="center"/>
              <w:bidi w:val="1"/>
            </w:pPr>
            <w:r>
              <w:rPr>
                <w:rFonts w:ascii="Noto Kufi Arabic" w:hAnsi="Noto Kufi Arabic" w:cs="Noto Kufi Arabic"/>
                <w:b/>
                <w:color w:val="FFFFFF"/>
                <w:sz w:val="19"/>
              </w:rPr>
              <w:t>التطبيق</w:t>
            </w:r>
          </w:p>
        </w:tc>
      </w:tr>
      <w:tr>
        <w:trPr>
          <w:cantSplit/>
        </w:trPr>
        <w:tc>
          <w:tcPr>
            <w:tcW w:type="dxa" w:w="1871"/>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color w:val="1F4E79"/>
                <w:sz w:val="18"/>
              </w:rPr>
              <w:t>الحياة الشخصية</w:t>
            </w:r>
          </w:p>
        </w:tc>
        <w:tc>
          <w:tcPr>
            <w:tcW w:type="dxa" w:w="7654"/>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8"/>
              </w:rPr>
              <w:t>اختبر قراراتك الكبيرة بخطوات التزام صغيرة قبل الإعلان الكامل.</w:t>
            </w:r>
          </w:p>
        </w:tc>
      </w:tr>
      <w:tr>
        <w:trPr>
          <w:cantSplit/>
        </w:trPr>
        <w:tc>
          <w:tcPr>
            <w:tcW w:type="dxa" w:w="1871"/>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color w:val="1F4E79"/>
                <w:sz w:val="18"/>
              </w:rPr>
              <w:t>الأسرة</w:t>
            </w:r>
          </w:p>
        </w:tc>
        <w:tc>
          <w:tcPr>
            <w:tcW w:type="dxa" w:w="7654"/>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8"/>
              </w:rPr>
              <w:t>علّم الأبناء أن المسؤولية تُكتسب بالقدرة والأمانة لا بالمقارنة.</w:t>
            </w:r>
          </w:p>
        </w:tc>
      </w:tr>
      <w:tr>
        <w:trPr>
          <w:cantSplit/>
        </w:trPr>
        <w:tc>
          <w:tcPr>
            <w:tcW w:type="dxa" w:w="1871"/>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color w:val="1F4E79"/>
                <w:sz w:val="18"/>
              </w:rPr>
              <w:t>القيادة</w:t>
            </w:r>
          </w:p>
        </w:tc>
        <w:tc>
          <w:tcPr>
            <w:tcW w:type="dxa" w:w="7654"/>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8"/>
              </w:rPr>
              <w:t>استخدم معايير كفاءة واضحة، ثم اختبارات عملية قبل إسناد المهام الحرجة.</w:t>
            </w:r>
          </w:p>
        </w:tc>
      </w:tr>
      <w:tr>
        <w:trPr>
          <w:cantSplit/>
        </w:trPr>
        <w:tc>
          <w:tcPr>
            <w:tcW w:type="dxa" w:w="1871"/>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color w:val="1F4E79"/>
                <w:sz w:val="18"/>
              </w:rPr>
              <w:t>الإدارة</w:t>
            </w:r>
          </w:p>
        </w:tc>
        <w:tc>
          <w:tcPr>
            <w:tcW w:type="dxa" w:w="7654"/>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8"/>
              </w:rPr>
              <w:t>لا تساوِ بين عدد الموارد والقدرة الفعلية؛ قِس الانضباط والتماسك.</w:t>
            </w:r>
          </w:p>
        </w:tc>
      </w:tr>
      <w:tr>
        <w:trPr>
          <w:cantSplit/>
        </w:trPr>
        <w:tc>
          <w:tcPr>
            <w:tcW w:type="dxa" w:w="1871"/>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color w:val="1F4E79"/>
                <w:sz w:val="18"/>
              </w:rPr>
              <w:t>أخلاقيات العمل</w:t>
            </w:r>
          </w:p>
        </w:tc>
        <w:tc>
          <w:tcPr>
            <w:tcW w:type="dxa" w:w="7654"/>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8"/>
              </w:rPr>
              <w:t>قاوم المحاباة المالية والطبقية في اختيار القادة.</w:t>
            </w:r>
          </w:p>
        </w:tc>
      </w:tr>
      <w:tr>
        <w:trPr>
          <w:cantSplit/>
        </w:trPr>
        <w:tc>
          <w:tcPr>
            <w:tcW w:type="dxa" w:w="1871"/>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color w:val="1F4E79"/>
                <w:sz w:val="18"/>
              </w:rPr>
              <w:t>المجتمع</w:t>
            </w:r>
          </w:p>
        </w:tc>
        <w:tc>
          <w:tcPr>
            <w:tcW w:type="dxa" w:w="7654"/>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8"/>
              </w:rPr>
              <w:t>ادعم شرعية المؤسسات القائمة على الكفاءة والغاية العامة.</w:t>
            </w:r>
          </w:p>
        </w:tc>
      </w:tr>
      <w:tr>
        <w:trPr>
          <w:cantSplit/>
        </w:trPr>
        <w:tc>
          <w:tcPr>
            <w:tcW w:type="dxa" w:w="1871"/>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color w:val="1F4E79"/>
                <w:sz w:val="18"/>
              </w:rPr>
              <w:t>الدعوة</w:t>
            </w:r>
          </w:p>
        </w:tc>
        <w:tc>
          <w:tcPr>
            <w:tcW w:type="dxa" w:w="7654"/>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8"/>
              </w:rPr>
              <w:t>اربط الحماسة بالتربية والصبر والتكليف الواقعي.</w:t>
            </w:r>
          </w:p>
        </w:tc>
      </w:tr>
      <w:tr>
        <w:trPr>
          <w:cantSplit/>
        </w:trPr>
        <w:tc>
          <w:tcPr>
            <w:tcW w:type="dxa" w:w="1871"/>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color w:val="1F4E79"/>
                <w:sz w:val="18"/>
              </w:rPr>
              <w:t>التعليم</w:t>
            </w:r>
          </w:p>
        </w:tc>
        <w:tc>
          <w:tcPr>
            <w:tcW w:type="dxa" w:w="7654"/>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8"/>
              </w:rPr>
              <w:t>صمم محاكاة واختبارات تكشف القرار تحت الضغط لا الحفظ فقط.</w:t>
            </w:r>
          </w:p>
        </w:tc>
      </w:tr>
    </w:tbl>
    <w:p>
      <w:pPr>
        <w:spacing w:before="160" w:after="100"/>
        <w:jc w:val="right"/>
        <w:bidi w:val="1"/>
      </w:pPr>
      <w:r>
        <w:rPr>
          <w:rFonts w:ascii="Noto Kufi Arabic" w:hAnsi="Noto Kufi Arabic" w:cs="Noto Kufi Arabic"/>
          <w:b/>
          <w:color w:val="1F4E79"/>
          <w:sz w:val="28"/>
        </w:rPr>
        <w:t>ضوابط الفهم والاستنباط</w:t>
      </w:r>
    </w:p>
    <w:p>
      <w:pPr>
        <w:jc w:val="right"/>
        <w:bidi w:val="1"/>
      </w:pPr>
      <w:r>
        <w:rPr>
          <w:rFonts w:ascii="Noto Naskh Arabic" w:hAnsi="Noto Naskh Arabic" w:cs="Noto Naskh Arabic"/>
          <w:b/>
          <w:color w:val="B8860B"/>
          <w:sz w:val="20"/>
        </w:rPr>
        <w:t xml:space="preserve">• </w:t>
      </w:r>
      <w:r>
        <w:rPr>
          <w:rFonts w:ascii="Noto Naskh Arabic" w:hAnsi="Noto Naskh Arabic" w:cs="Noto Naskh Arabic"/>
          <w:b w:val="0"/>
          <w:color w:val="1F2937"/>
          <w:sz w:val="20"/>
        </w:rPr>
        <w:t>لا يحدد النص اسم النبي الذي طلبوا منه الملك، ولا تفاصيل التابوت خارج القدر المذكور.</w:t>
      </w:r>
    </w:p>
    <w:p>
      <w:pPr>
        <w:jc w:val="right"/>
        <w:bidi w:val="1"/>
      </w:pPr>
      <w:r>
        <w:rPr>
          <w:rFonts w:ascii="Noto Naskh Arabic" w:hAnsi="Noto Naskh Arabic" w:cs="Noto Naskh Arabic"/>
          <w:b/>
          <w:color w:val="B8860B"/>
          <w:sz w:val="20"/>
        </w:rPr>
        <w:t xml:space="preserve">• </w:t>
      </w:r>
      <w:r>
        <w:rPr>
          <w:rFonts w:ascii="Noto Naskh Arabic" w:hAnsi="Noto Naskh Arabic" w:cs="Noto Naskh Arabic"/>
          <w:b w:val="0"/>
          <w:color w:val="1F2937"/>
          <w:sz w:val="20"/>
        </w:rPr>
        <w:t>اختبار النهر حدث بوحي، ولا يبرر اختبارات مؤذية أو مهينة في المؤسسات الحديثة.</w:t>
      </w:r>
    </w:p>
    <w:p>
      <w:pPr>
        <w:jc w:val="right"/>
        <w:bidi w:val="1"/>
      </w:pPr>
      <w:r>
        <w:rPr>
          <w:rFonts w:ascii="Noto Naskh Arabic" w:hAnsi="Noto Naskh Arabic" w:cs="Noto Naskh Arabic"/>
          <w:b/>
          <w:color w:val="B8860B"/>
          <w:sz w:val="20"/>
        </w:rPr>
        <w:t xml:space="preserve">• </w:t>
      </w:r>
      <w:r>
        <w:rPr>
          <w:rFonts w:ascii="Noto Naskh Arabic" w:hAnsi="Noto Naskh Arabic" w:cs="Noto Naskh Arabic"/>
          <w:b w:val="0"/>
          <w:color w:val="1F2937"/>
          <w:sz w:val="20"/>
        </w:rPr>
        <w:t>القلة ليست أفضل دائمًا؛ الأفضل هو الفريق المؤهل المنضبط مهما كان عدده.</w:t>
      </w:r>
    </w:p>
    <w:p>
      <w:pPr>
        <w:spacing w:before="160" w:after="100"/>
        <w:jc w:val="right"/>
        <w:bidi w:val="1"/>
      </w:pPr>
      <w:r>
        <w:rPr>
          <w:rFonts w:ascii="Noto Kufi Arabic" w:hAnsi="Noto Kufi Arabic" w:cs="Noto Kufi Arabic"/>
          <w:b/>
          <w:color w:val="1F4E79"/>
          <w:sz w:val="28"/>
        </w:rPr>
        <w:t>تقرير ضبط الجودة</w:t>
      </w:r>
    </w:p>
    <w:tbl>
      <w:tblPr>
        <w:tblW w:type="auto" w:w="0"/>
        <w:jc w:val="center"/>
        <w:tblLayout w:type="fixed"/>
        <w:tblLook w:firstColumn="1" w:firstRow="1" w:lastColumn="0" w:lastRow="0" w:noHBand="0" w:noVBand="1" w:val="04A0"/>
      </w:tblPr>
      <w:tblGrid>
        <w:gridCol w:w="2052"/>
        <w:gridCol w:w="2052"/>
        <w:gridCol w:w="2052"/>
        <w:gridCol w:w="2052"/>
        <w:gridCol w:w="2052"/>
      </w:tblGrid>
      <w:tr>
        <w:trPr>
          <w:tblHeader w:val="true"/>
        </w:trPr>
        <w:tc>
          <w:tcPr>
            <w:tcW w:type="dxa" w:w="1247"/>
            <w:shd w:fill="1F4E79"/>
          </w:tcPr>
          <w:p>
            <w:pPr>
              <w:jc w:val="center"/>
              <w:bidi w:val="1"/>
            </w:pPr>
            <w:r>
              <w:rPr>
                <w:rFonts w:ascii="Noto Kufi Arabic" w:hAnsi="Noto Kufi Arabic" w:cs="Noto Kufi Arabic"/>
                <w:b/>
                <w:color w:val="FFFFFF"/>
                <w:sz w:val="16"/>
              </w:rPr>
              <w:t>المراجعة</w:t>
            </w:r>
          </w:p>
        </w:tc>
        <w:tc>
          <w:tcPr>
            <w:tcW w:type="dxa" w:w="1701"/>
            <w:shd w:fill="1F4E79"/>
          </w:tcPr>
          <w:p>
            <w:pPr>
              <w:jc w:val="center"/>
              <w:bidi w:val="1"/>
            </w:pPr>
            <w:r>
              <w:rPr>
                <w:rFonts w:ascii="Noto Kufi Arabic" w:hAnsi="Noto Kufi Arabic" w:cs="Noto Kufi Arabic"/>
                <w:b/>
                <w:color w:val="FFFFFF"/>
                <w:sz w:val="16"/>
              </w:rPr>
              <w:t>المعيار</w:t>
            </w:r>
          </w:p>
        </w:tc>
        <w:tc>
          <w:tcPr>
            <w:tcW w:type="dxa" w:w="850"/>
            <w:shd w:fill="1F4E79"/>
          </w:tcPr>
          <w:p>
            <w:pPr>
              <w:jc w:val="center"/>
              <w:bidi w:val="1"/>
            </w:pPr>
            <w:r>
              <w:rPr>
                <w:rFonts w:ascii="Noto Kufi Arabic" w:hAnsi="Noto Kufi Arabic" w:cs="Noto Kufi Arabic"/>
                <w:b/>
                <w:color w:val="FFFFFF"/>
                <w:sz w:val="16"/>
              </w:rPr>
              <w:t>الإنجاز</w:t>
            </w:r>
          </w:p>
        </w:tc>
        <w:tc>
          <w:tcPr>
            <w:tcW w:type="dxa" w:w="3458"/>
            <w:shd w:fill="1F4E79"/>
          </w:tcPr>
          <w:p>
            <w:pPr>
              <w:jc w:val="center"/>
              <w:bidi w:val="1"/>
            </w:pPr>
            <w:r>
              <w:rPr>
                <w:rFonts w:ascii="Noto Kufi Arabic" w:hAnsi="Noto Kufi Arabic" w:cs="Noto Kufi Arabic"/>
                <w:b/>
                <w:color w:val="FFFFFF"/>
                <w:sz w:val="16"/>
              </w:rPr>
              <w:t>لماذا لم يصل إلى 100%؟</w:t>
            </w:r>
          </w:p>
        </w:tc>
        <w:tc>
          <w:tcPr>
            <w:tcW w:type="dxa" w:w="2268"/>
            <w:shd w:fill="1F4E79"/>
          </w:tcPr>
          <w:p>
            <w:pPr>
              <w:jc w:val="center"/>
              <w:bidi w:val="1"/>
            </w:pPr>
            <w:r>
              <w:rPr>
                <w:rFonts w:ascii="Noto Kufi Arabic" w:hAnsi="Noto Kufi Arabic" w:cs="Noto Kufi Arabic"/>
                <w:b/>
                <w:color w:val="FFFFFF"/>
                <w:sz w:val="16"/>
              </w:rPr>
              <w:t>الإجراء المتبقي</w:t>
            </w:r>
          </w:p>
        </w:tc>
      </w:tr>
      <w:tr>
        <w:trPr>
          <w:cantSplit/>
        </w:trPr>
        <w:tc>
          <w:tcPr>
            <w:tcW w:type="dxa" w:w="1247"/>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color w:val="1F4E79"/>
                <w:sz w:val="17"/>
              </w:rPr>
              <w:t>المراجعة 1</w:t>
            </w:r>
          </w:p>
        </w:tc>
        <w:tc>
          <w:tcPr>
            <w:tcW w:type="dxa" w:w="1701"/>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7"/>
              </w:rPr>
              <w:t>الدقة القرآنية</w:t>
            </w:r>
          </w:p>
        </w:tc>
        <w:tc>
          <w:tcPr>
            <w:tcW w:type="dxa" w:w="850"/>
            <w:shd w:fill="F7FAFD"/>
            <w:tcBorders>
              <w:top w:val="single" w:sz="4" w:color="9FBAD0"/>
              <w:left w:val="single" w:sz="4" w:color="9FBAD0"/>
              <w:bottom w:val="single" w:sz="4" w:color="9FBAD0"/>
              <w:right w:val="single" w:sz="4" w:color="9FBAD0"/>
            </w:tcBorders>
          </w:tcPr>
          <w:p>
            <w:pPr>
              <w:jc w:val="center"/>
              <w:bidi w:val="1"/>
            </w:pPr>
            <w:r>
              <w:rPr>
                <w:rFonts w:ascii="Noto Naskh Arabic" w:hAnsi="Noto Naskh Arabic" w:cs="Noto Naskh Arabic"/>
                <w:b/>
                <w:color w:val="1F4E79"/>
                <w:sz w:val="17"/>
              </w:rPr>
              <w:t>99.5%</w:t>
            </w:r>
          </w:p>
        </w:tc>
        <w:tc>
          <w:tcPr>
            <w:tcW w:type="dxa" w:w="3458"/>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7"/>
              </w:rPr>
              <w:t>تمت مطابقة أسماء السور والنطاقات والنص آليًا، ويبقى التدقيق المصحفي البشري النهائي للرسم وعلامات الوقف قبل النشر.</w:t>
            </w:r>
          </w:p>
        </w:tc>
        <w:tc>
          <w:tcPr>
            <w:tcW w:type="dxa" w:w="2268"/>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7"/>
              </w:rPr>
              <w:t>مراجعة مصحفية نهائية.</w:t>
            </w:r>
          </w:p>
        </w:tc>
      </w:tr>
      <w:tr>
        <w:trPr>
          <w:cantSplit/>
        </w:trPr>
        <w:tc>
          <w:tcPr>
            <w:tcW w:type="dxa" w:w="1247"/>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color w:val="1F4E79"/>
                <w:sz w:val="17"/>
              </w:rPr>
              <w:t>المراجعة 2</w:t>
            </w:r>
          </w:p>
        </w:tc>
        <w:tc>
          <w:tcPr>
            <w:tcW w:type="dxa" w:w="1701"/>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7"/>
              </w:rPr>
              <w:t>اتساق التفسير</w:t>
            </w:r>
          </w:p>
        </w:tc>
        <w:tc>
          <w:tcPr>
            <w:tcW w:type="dxa" w:w="850"/>
            <w:shd w:fill="DCE6F1"/>
            <w:tcBorders>
              <w:top w:val="single" w:sz="4" w:color="9FBAD0"/>
              <w:left w:val="single" w:sz="4" w:color="9FBAD0"/>
              <w:bottom w:val="single" w:sz="4" w:color="9FBAD0"/>
              <w:right w:val="single" w:sz="4" w:color="9FBAD0"/>
            </w:tcBorders>
          </w:tcPr>
          <w:p>
            <w:pPr>
              <w:jc w:val="center"/>
              <w:bidi w:val="1"/>
            </w:pPr>
            <w:r>
              <w:rPr>
                <w:rFonts w:ascii="Noto Naskh Arabic" w:hAnsi="Noto Naskh Arabic" w:cs="Noto Naskh Arabic"/>
                <w:b/>
                <w:color w:val="1F4E79"/>
                <w:sz w:val="17"/>
              </w:rPr>
              <w:t>98.3%</w:t>
            </w:r>
          </w:p>
        </w:tc>
        <w:tc>
          <w:tcPr>
            <w:tcW w:type="dxa" w:w="3458"/>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7"/>
              </w:rPr>
              <w:t>في ظلال القرآن هو المرجع الرئيس، لكن بعض المواضع تحتمل وجوهًا تفسيرية معتبرة، والوثيقة تقدم خلاصة أصلية لا استنساخًا كاملًا للتفسير.</w:t>
            </w:r>
          </w:p>
        </w:tc>
        <w:tc>
          <w:tcPr>
            <w:tcW w:type="dxa" w:w="2268"/>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7"/>
              </w:rPr>
              <w:t>مراجعة علمية متخصصة لمواضع الاحتمال.</w:t>
            </w:r>
          </w:p>
        </w:tc>
      </w:tr>
      <w:tr>
        <w:trPr>
          <w:cantSplit/>
        </w:trPr>
        <w:tc>
          <w:tcPr>
            <w:tcW w:type="dxa" w:w="1247"/>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color w:val="1F4E79"/>
                <w:sz w:val="17"/>
              </w:rPr>
              <w:t>المراجعة 3</w:t>
            </w:r>
          </w:p>
        </w:tc>
        <w:tc>
          <w:tcPr>
            <w:tcW w:type="dxa" w:w="1701"/>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7"/>
              </w:rPr>
              <w:t>تدفق القصة</w:t>
            </w:r>
          </w:p>
        </w:tc>
        <w:tc>
          <w:tcPr>
            <w:tcW w:type="dxa" w:w="850"/>
            <w:shd w:fill="F7FAFD"/>
            <w:tcBorders>
              <w:top w:val="single" w:sz="4" w:color="9FBAD0"/>
              <w:left w:val="single" w:sz="4" w:color="9FBAD0"/>
              <w:bottom w:val="single" w:sz="4" w:color="9FBAD0"/>
              <w:right w:val="single" w:sz="4" w:color="9FBAD0"/>
            </w:tcBorders>
          </w:tcPr>
          <w:p>
            <w:pPr>
              <w:jc w:val="center"/>
              <w:bidi w:val="1"/>
            </w:pPr>
            <w:r>
              <w:rPr>
                <w:rFonts w:ascii="Noto Naskh Arabic" w:hAnsi="Noto Naskh Arabic" w:cs="Noto Naskh Arabic"/>
                <w:b/>
                <w:color w:val="1F4E79"/>
                <w:sz w:val="17"/>
              </w:rPr>
              <w:t>99.2%</w:t>
            </w:r>
          </w:p>
        </w:tc>
        <w:tc>
          <w:tcPr>
            <w:tcW w:type="dxa" w:w="3458"/>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7"/>
              </w:rPr>
              <w:t>اتساق التدفق مرتفع، لكن المقارنة النهائية مع السلسلة كاملة قد تقود إلى اختصار أو إعادة توزيع بعض الانتقالات.</w:t>
            </w:r>
          </w:p>
        </w:tc>
        <w:tc>
          <w:tcPr>
            <w:tcW w:type="dxa" w:w="2268"/>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7"/>
              </w:rPr>
              <w:t>مراجعة تدفق المجموعة كاملة.</w:t>
            </w:r>
          </w:p>
        </w:tc>
      </w:tr>
      <w:tr>
        <w:trPr>
          <w:cantSplit/>
        </w:trPr>
        <w:tc>
          <w:tcPr>
            <w:tcW w:type="dxa" w:w="1247"/>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color w:val="1F4E79"/>
                <w:sz w:val="17"/>
              </w:rPr>
              <w:t>المراجعة 4</w:t>
            </w:r>
          </w:p>
        </w:tc>
        <w:tc>
          <w:tcPr>
            <w:tcW w:type="dxa" w:w="1701"/>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7"/>
              </w:rPr>
              <w:t>منطق قصة إبليس</w:t>
            </w:r>
          </w:p>
        </w:tc>
        <w:tc>
          <w:tcPr>
            <w:tcW w:type="dxa" w:w="850"/>
            <w:shd w:fill="DCE6F1"/>
            <w:tcBorders>
              <w:top w:val="single" w:sz="4" w:color="9FBAD0"/>
              <w:left w:val="single" w:sz="4" w:color="9FBAD0"/>
              <w:bottom w:val="single" w:sz="4" w:color="9FBAD0"/>
              <w:right w:val="single" w:sz="4" w:color="9FBAD0"/>
            </w:tcBorders>
          </w:tcPr>
          <w:p>
            <w:pPr>
              <w:jc w:val="center"/>
              <w:bidi w:val="1"/>
            </w:pPr>
            <w:r>
              <w:rPr>
                <w:rFonts w:ascii="Noto Naskh Arabic" w:hAnsi="Noto Naskh Arabic" w:cs="Noto Naskh Arabic"/>
                <w:b/>
                <w:color w:val="1F4E79"/>
                <w:sz w:val="17"/>
              </w:rPr>
              <w:t>99.3%</w:t>
            </w:r>
          </w:p>
        </w:tc>
        <w:tc>
          <w:tcPr>
            <w:tcW w:type="dxa" w:w="3458"/>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7"/>
              </w:rPr>
              <w:t>تم الحفاظ على منطق قصة إبليس، مع مرونة لازمة لأن طبيعة القصة وعدد مشاهدها يختلفان.</w:t>
            </w:r>
          </w:p>
        </w:tc>
        <w:tc>
          <w:tcPr>
            <w:tcW w:type="dxa" w:w="2268"/>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7"/>
              </w:rPr>
              <w:t>مراجعة اتساق القالب بعد اكتمال السلسلة.</w:t>
            </w:r>
          </w:p>
        </w:tc>
      </w:tr>
      <w:tr>
        <w:trPr>
          <w:cantSplit/>
        </w:trPr>
        <w:tc>
          <w:tcPr>
            <w:tcW w:type="dxa" w:w="1247"/>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color w:val="1F4E79"/>
                <w:sz w:val="17"/>
              </w:rPr>
              <w:t>المراجعة 5</w:t>
            </w:r>
          </w:p>
        </w:tc>
        <w:tc>
          <w:tcPr>
            <w:tcW w:type="dxa" w:w="1701"/>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7"/>
              </w:rPr>
              <w:t>الصقل اللغوي</w:t>
            </w:r>
          </w:p>
        </w:tc>
        <w:tc>
          <w:tcPr>
            <w:tcW w:type="dxa" w:w="850"/>
            <w:shd w:fill="F7FAFD"/>
            <w:tcBorders>
              <w:top w:val="single" w:sz="4" w:color="9FBAD0"/>
              <w:left w:val="single" w:sz="4" w:color="9FBAD0"/>
              <w:bottom w:val="single" w:sz="4" w:color="9FBAD0"/>
              <w:right w:val="single" w:sz="4" w:color="9FBAD0"/>
            </w:tcBorders>
          </w:tcPr>
          <w:p>
            <w:pPr>
              <w:jc w:val="center"/>
              <w:bidi w:val="1"/>
            </w:pPr>
            <w:r>
              <w:rPr>
                <w:rFonts w:ascii="Noto Naskh Arabic" w:hAnsi="Noto Naskh Arabic" w:cs="Noto Naskh Arabic"/>
                <w:b/>
                <w:color w:val="1F4E79"/>
                <w:sz w:val="17"/>
              </w:rPr>
              <w:t>98.9%</w:t>
            </w:r>
          </w:p>
        </w:tc>
        <w:tc>
          <w:tcPr>
            <w:tcW w:type="dxa" w:w="3458"/>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7"/>
              </w:rPr>
              <w:t>الصياغة صُقلت في دورتين، ومع ذلك قد يضيف المحرر البشري تحسينات دقيقة في الإيقاع والترقيم.</w:t>
            </w:r>
          </w:p>
        </w:tc>
        <w:tc>
          <w:tcPr>
            <w:tcW w:type="dxa" w:w="2268"/>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7"/>
              </w:rPr>
              <w:t>تدقيق لغوي بشري نهائي.</w:t>
            </w:r>
          </w:p>
        </w:tc>
      </w:tr>
      <w:tr>
        <w:trPr>
          <w:cantSplit/>
        </w:trPr>
        <w:tc>
          <w:tcPr>
            <w:tcW w:type="dxa" w:w="1247"/>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color w:val="1F4E79"/>
                <w:sz w:val="17"/>
              </w:rPr>
              <w:t>المراجعة 6</w:t>
            </w:r>
          </w:p>
        </w:tc>
        <w:tc>
          <w:tcPr>
            <w:tcW w:type="dxa" w:w="1701"/>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7"/>
              </w:rPr>
              <w:t>اتساق إطار المشروع</w:t>
            </w:r>
          </w:p>
        </w:tc>
        <w:tc>
          <w:tcPr>
            <w:tcW w:type="dxa" w:w="850"/>
            <w:shd w:fill="DCE6F1"/>
            <w:tcBorders>
              <w:top w:val="single" w:sz="4" w:color="9FBAD0"/>
              <w:left w:val="single" w:sz="4" w:color="9FBAD0"/>
              <w:bottom w:val="single" w:sz="4" w:color="9FBAD0"/>
              <w:right w:val="single" w:sz="4" w:color="9FBAD0"/>
            </w:tcBorders>
          </w:tcPr>
          <w:p>
            <w:pPr>
              <w:jc w:val="center"/>
              <w:bidi w:val="1"/>
            </w:pPr>
            <w:r>
              <w:rPr>
                <w:rFonts w:ascii="Noto Naskh Arabic" w:hAnsi="Noto Naskh Arabic" w:cs="Noto Naskh Arabic"/>
                <w:b/>
                <w:color w:val="1F4E79"/>
                <w:sz w:val="17"/>
              </w:rPr>
              <w:t>99.1%</w:t>
            </w:r>
          </w:p>
        </w:tc>
        <w:tc>
          <w:tcPr>
            <w:tcW w:type="dxa" w:w="3458"/>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7"/>
              </w:rPr>
              <w:t>تمت المطابقة مع قيم ومهارات Excel، وتبقى مراجعة نهائية عابرة لجميع القصص بعد اكتمال المشروع.</w:t>
            </w:r>
          </w:p>
        </w:tc>
        <w:tc>
          <w:tcPr>
            <w:tcW w:type="dxa" w:w="2268"/>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7"/>
              </w:rPr>
              <w:t>مراجعة موحدة مع Excel وبقية القصص.</w:t>
            </w:r>
          </w:p>
        </w:tc>
      </w:tr>
      <w:tr>
        <w:trPr>
          <w:cantSplit/>
        </w:trPr>
        <w:tc>
          <w:tcPr>
            <w:tcW w:type="dxa" w:w="1247"/>
            <w:shd w:fill="FFF7E3"/>
            <w:tcBorders>
              <w:top w:val="single" w:sz="7" w:color="D6B656"/>
              <w:left w:val="single" w:sz="7" w:color="D6B656"/>
              <w:bottom w:val="single" w:sz="7" w:color="D6B656"/>
              <w:right w:val="single" w:sz="7" w:color="D6B656"/>
            </w:tcBorders>
          </w:tcPr>
          <w:p>
            <w:pPr>
              <w:jc w:val="right"/>
              <w:bidi w:val="1"/>
            </w:pPr>
            <w:r>
              <w:rPr>
                <w:rFonts w:ascii="Noto Naskh Arabic" w:hAnsi="Noto Naskh Arabic" w:cs="Noto Naskh Arabic"/>
                <w:b/>
                <w:color w:val="1F2937"/>
                <w:sz w:val="17"/>
              </w:rPr>
              <w:t>النتيجة</w:t>
            </w:r>
          </w:p>
        </w:tc>
        <w:tc>
          <w:tcPr>
            <w:tcW w:type="dxa" w:w="1701"/>
            <w:shd w:fill="FFF7E3"/>
            <w:tcBorders>
              <w:top w:val="single" w:sz="7" w:color="D6B656"/>
              <w:left w:val="single" w:sz="7" w:color="D6B656"/>
              <w:bottom w:val="single" w:sz="7" w:color="D6B656"/>
              <w:right w:val="single" w:sz="7" w:color="D6B656"/>
            </w:tcBorders>
          </w:tcPr>
          <w:p>
            <w:pPr>
              <w:jc w:val="right"/>
              <w:bidi w:val="1"/>
            </w:pPr>
            <w:r>
              <w:rPr>
                <w:rFonts w:ascii="Noto Naskh Arabic" w:hAnsi="Noto Naskh Arabic" w:cs="Noto Naskh Arabic"/>
                <w:b/>
                <w:color w:val="1F2937"/>
                <w:sz w:val="17"/>
              </w:rPr>
              <w:t>الجاهزية الإجمالية</w:t>
            </w:r>
          </w:p>
        </w:tc>
        <w:tc>
          <w:tcPr>
            <w:tcW w:type="dxa" w:w="850"/>
            <w:shd w:fill="FFF7E3"/>
            <w:tcBorders>
              <w:top w:val="single" w:sz="7" w:color="D6B656"/>
              <w:left w:val="single" w:sz="7" w:color="D6B656"/>
              <w:bottom w:val="single" w:sz="7" w:color="D6B656"/>
              <w:right w:val="single" w:sz="7" w:color="D6B656"/>
            </w:tcBorders>
          </w:tcPr>
          <w:p>
            <w:pPr>
              <w:jc w:val="center"/>
              <w:bidi w:val="1"/>
            </w:pPr>
            <w:r>
              <w:rPr>
                <w:rFonts w:ascii="Noto Naskh Arabic" w:hAnsi="Noto Naskh Arabic" w:cs="Noto Naskh Arabic"/>
                <w:b/>
                <w:color w:val="B8860B"/>
                <w:sz w:val="17"/>
              </w:rPr>
              <w:t>99.0%</w:t>
            </w:r>
          </w:p>
        </w:tc>
        <w:tc>
          <w:tcPr>
            <w:tcW w:type="dxa" w:w="3458"/>
            <w:shd w:fill="FFF7E3"/>
            <w:tcBorders>
              <w:top w:val="single" w:sz="7" w:color="D6B656"/>
              <w:left w:val="single" w:sz="7" w:color="D6B656"/>
              <w:bottom w:val="single" w:sz="7" w:color="D6B656"/>
              <w:right w:val="single" w:sz="7" w:color="D6B656"/>
            </w:tcBorders>
          </w:tcPr>
          <w:p>
            <w:pPr>
              <w:jc w:val="right"/>
              <w:bidi w:val="1"/>
            </w:pPr>
            <w:r>
              <w:rPr>
                <w:rFonts w:ascii="Noto Naskh Arabic" w:hAnsi="Noto Naskh Arabic" w:cs="Noto Naskh Arabic"/>
                <w:b/>
                <w:color w:val="1F2937"/>
                <w:sz w:val="17"/>
              </w:rPr>
              <w:t>تظل المراجعة البشرية المتخصصة قبل النشر النهائي جزءًا من الحوكمة العلمية.</w:t>
            </w:r>
          </w:p>
        </w:tc>
        <w:tc>
          <w:tcPr>
            <w:tcW w:type="dxa" w:w="2268"/>
            <w:shd w:fill="FFF7E3"/>
            <w:tcBorders>
              <w:top w:val="single" w:sz="7" w:color="D6B656"/>
              <w:left w:val="single" w:sz="7" w:color="D6B656"/>
              <w:bottom w:val="single" w:sz="7" w:color="D6B656"/>
              <w:right w:val="single" w:sz="7" w:color="D6B656"/>
            </w:tcBorders>
          </w:tcPr>
          <w:p>
            <w:pPr>
              <w:jc w:val="right"/>
              <w:bidi w:val="1"/>
            </w:pPr>
            <w:r>
              <w:rPr>
                <w:rFonts w:ascii="Noto Naskh Arabic" w:hAnsi="Noto Naskh Arabic" w:cs="Noto Naskh Arabic"/>
                <w:b/>
                <w:color w:val="1F2937"/>
                <w:sz w:val="17"/>
              </w:rPr>
              <w:t>مراجعة نهائية موحدة للمجموعة كاملة.</w:t>
            </w:r>
          </w:p>
        </w:tc>
      </w:tr>
    </w:tbl>
    <w:p>
      <w:pPr>
        <w:spacing w:before="120" w:after="60"/>
        <w:jc w:val="right"/>
        <w:bidi w:val="1"/>
      </w:pPr>
      <w:r>
        <w:rPr>
          <w:rFonts w:ascii="Noto Naskh Arabic" w:hAnsi="Noto Naskh Arabic" w:cs="Noto Naskh Arabic"/>
          <w:b/>
          <w:color w:val="B8860B"/>
          <w:sz w:val="24"/>
        </w:rPr>
        <w:t>سجل التحسين التكراري</w:t>
      </w:r>
    </w:p>
    <w:tbl>
      <w:tblPr>
        <w:tblW w:type="auto" w:w="0"/>
        <w:jc w:val="center"/>
        <w:tblLook w:firstColumn="1" w:firstRow="1" w:lastColumn="0" w:lastRow="0" w:noHBand="0" w:noVBand="1" w:val="04A0"/>
      </w:tblPr>
      <w:tblGrid>
        <w:gridCol w:w="3421"/>
        <w:gridCol w:w="3421"/>
        <w:gridCol w:w="3421"/>
      </w:tblGrid>
      <w:tr>
        <w:trPr>
          <w:tblHeader w:val="true"/>
        </w:trPr>
        <w:tc>
          <w:tcPr>
            <w:tcW w:type="dxa" w:w="3421"/>
            <w:shd w:fill="1F4E79"/>
          </w:tcPr>
          <w:p>
            <w:pPr>
              <w:jc w:val="center"/>
              <w:bidi w:val="1"/>
            </w:pPr>
            <w:r>
              <w:rPr>
                <w:rFonts w:ascii="Noto Kufi Arabic" w:hAnsi="Noto Kufi Arabic" w:cs="Noto Kufi Arabic"/>
                <w:b/>
                <w:color w:val="FFFFFF"/>
                <w:sz w:val="17"/>
              </w:rPr>
              <w:t>الدورة</w:t>
            </w:r>
          </w:p>
        </w:tc>
        <w:tc>
          <w:tcPr>
            <w:tcW w:type="dxa" w:w="3421"/>
            <w:shd w:fill="1F4E79"/>
          </w:tcPr>
          <w:p>
            <w:pPr>
              <w:jc w:val="center"/>
              <w:bidi w:val="1"/>
            </w:pPr>
            <w:r>
              <w:rPr>
                <w:rFonts w:ascii="Noto Kufi Arabic" w:hAnsi="Noto Kufi Arabic" w:cs="Noto Kufi Arabic"/>
                <w:b/>
                <w:color w:val="FFFFFF"/>
                <w:sz w:val="17"/>
              </w:rPr>
              <w:t>ما تم فحصه وتحسينه</w:t>
            </w:r>
          </w:p>
        </w:tc>
        <w:tc>
          <w:tcPr>
            <w:tcW w:type="dxa" w:w="3421"/>
            <w:shd w:fill="1F4E79"/>
          </w:tcPr>
          <w:p>
            <w:pPr>
              <w:jc w:val="center"/>
              <w:bidi w:val="1"/>
            </w:pPr>
            <w:r>
              <w:rPr>
                <w:rFonts w:ascii="Noto Kufi Arabic" w:hAnsi="Noto Kufi Arabic" w:cs="Noto Kufi Arabic"/>
                <w:b/>
                <w:color w:val="FFFFFF"/>
                <w:sz w:val="17"/>
              </w:rPr>
              <w:t>الأثر</w:t>
            </w:r>
          </w:p>
        </w:tc>
      </w:tr>
      <w:tr>
        <w:trPr>
          <w:cantSplit/>
        </w:trPr>
        <w:tc>
          <w:tcPr>
            <w:tcW w:type="dxa" w:w="3421"/>
            <w:shd w:fill="F7FAFD"/>
          </w:tcPr>
          <w:p>
            <w:pPr>
              <w:jc w:val="right"/>
              <w:bidi w:val="1"/>
            </w:pPr>
            <w:r>
              <w:rPr>
                <w:rFonts w:ascii="Noto Naskh Arabic" w:hAnsi="Noto Naskh Arabic" w:cs="Noto Naskh Arabic"/>
                <w:b w:val="0"/>
                <w:color w:val="1F2937"/>
                <w:sz w:val="18"/>
              </w:rPr>
              <w:t>الدورة الأولى</w:t>
            </w:r>
          </w:p>
        </w:tc>
        <w:tc>
          <w:tcPr>
            <w:tcW w:type="dxa" w:w="3421"/>
            <w:shd w:fill="F7FAFD"/>
          </w:tcPr>
          <w:p>
            <w:pPr>
              <w:jc w:val="right"/>
              <w:bidi w:val="1"/>
            </w:pPr>
            <w:r>
              <w:rPr>
                <w:rFonts w:ascii="Noto Naskh Arabic" w:hAnsi="Noto Naskh Arabic" w:cs="Noto Naskh Arabic"/>
                <w:b w:val="0"/>
                <w:color w:val="1F2937"/>
                <w:sz w:val="18"/>
              </w:rPr>
              <w:t>مطابقة الآيات والعناوين وتسلسل المقاطع، وتقوية الربط بين السبب والقرار والنتيجة.</w:t>
            </w:r>
          </w:p>
        </w:tc>
        <w:tc>
          <w:tcPr>
            <w:tcW w:type="dxa" w:w="3421"/>
            <w:shd w:fill="F7FAFD"/>
          </w:tcPr>
          <w:p>
            <w:pPr>
              <w:jc w:val="right"/>
              <w:bidi w:val="1"/>
            </w:pPr>
            <w:r>
              <w:rPr>
                <w:rFonts w:ascii="Noto Naskh Arabic" w:hAnsi="Noto Naskh Arabic" w:cs="Noto Naskh Arabic"/>
                <w:b w:val="0"/>
                <w:color w:val="1F2937"/>
                <w:sz w:val="18"/>
              </w:rPr>
              <w:t>رفع الدقة النصية وتماسك القصة.</w:t>
            </w:r>
          </w:p>
        </w:tc>
      </w:tr>
      <w:tr>
        <w:trPr>
          <w:cantSplit/>
        </w:trPr>
        <w:tc>
          <w:tcPr>
            <w:tcW w:type="dxa" w:w="3421"/>
            <w:shd w:fill="DCE6F1"/>
          </w:tcPr>
          <w:p>
            <w:pPr>
              <w:jc w:val="right"/>
              <w:bidi w:val="1"/>
            </w:pPr>
            <w:r>
              <w:rPr>
                <w:rFonts w:ascii="Noto Naskh Arabic" w:hAnsi="Noto Naskh Arabic" w:cs="Noto Naskh Arabic"/>
                <w:b w:val="0"/>
                <w:color w:val="1F2937"/>
                <w:sz w:val="18"/>
              </w:rPr>
              <w:t>الدورة الثانية</w:t>
            </w:r>
          </w:p>
        </w:tc>
        <w:tc>
          <w:tcPr>
            <w:tcW w:type="dxa" w:w="3421"/>
            <w:shd w:fill="DCE6F1"/>
          </w:tcPr>
          <w:p>
            <w:pPr>
              <w:jc w:val="right"/>
              <w:bidi w:val="1"/>
            </w:pPr>
            <w:r>
              <w:rPr>
                <w:rFonts w:ascii="Noto Naskh Arabic" w:hAnsi="Noto Naskh Arabic" w:cs="Noto Naskh Arabic"/>
                <w:b w:val="0"/>
                <w:color w:val="1F2937"/>
                <w:sz w:val="18"/>
              </w:rPr>
              <w:t>مقارنة القالب بقصة إبليس، وصقل اللغة والجداول والتطبيقات وضبط التصميم.</w:t>
            </w:r>
          </w:p>
        </w:tc>
        <w:tc>
          <w:tcPr>
            <w:tcW w:type="dxa" w:w="3421"/>
            <w:shd w:fill="DCE6F1"/>
          </w:tcPr>
          <w:p>
            <w:pPr>
              <w:jc w:val="right"/>
              <w:bidi w:val="1"/>
            </w:pPr>
            <w:r>
              <w:rPr>
                <w:rFonts w:ascii="Noto Naskh Arabic" w:hAnsi="Noto Naskh Arabic" w:cs="Noto Naskh Arabic"/>
                <w:b w:val="0"/>
                <w:color w:val="1F2937"/>
                <w:sz w:val="18"/>
              </w:rPr>
              <w:t>رفع الاتساق والوضوح والجاهزية للتسليم.</w:t>
            </w:r>
          </w:p>
        </w:tc>
      </w:tr>
    </w:tbl>
    <w:p>
      <w:pPr>
        <w:spacing w:before="120" w:after="60"/>
        <w:jc w:val="right"/>
        <w:bidi w:val="1"/>
      </w:pPr>
      <w:r>
        <w:rPr>
          <w:rFonts w:ascii="Noto Naskh Arabic" w:hAnsi="Noto Naskh Arabic" w:cs="Noto Naskh Arabic"/>
          <w:b/>
          <w:color w:val="B8860B"/>
          <w:sz w:val="24"/>
        </w:rPr>
        <w:t>المراجع والمنهج</w:t>
      </w:r>
    </w:p>
    <w:p>
      <w:pPr>
        <w:jc w:val="right"/>
        <w:bidi w:val="1"/>
      </w:pPr>
      <w:r>
        <w:rPr>
          <w:rFonts w:ascii="Noto Naskh Arabic" w:hAnsi="Noto Naskh Arabic" w:cs="Noto Naskh Arabic"/>
          <w:b/>
          <w:color w:val="B8860B"/>
          <w:sz w:val="19"/>
        </w:rPr>
        <w:t xml:space="preserve">• </w:t>
      </w:r>
      <w:r>
        <w:rPr>
          <w:rFonts w:ascii="Noto Naskh Arabic" w:hAnsi="Noto Naskh Arabic" w:cs="Noto Naskh Arabic"/>
          <w:b w:val="0"/>
          <w:color w:val="1F2937"/>
          <w:sz w:val="19"/>
        </w:rPr>
        <w:t>القرآن الكريم - أصل النص، مع إثبات جميع المقاطع وفق ترتيب ملف Excel.</w:t>
      </w:r>
    </w:p>
    <w:p>
      <w:pPr>
        <w:jc w:val="right"/>
        <w:bidi w:val="1"/>
      </w:pPr>
      <w:r>
        <w:rPr>
          <w:rFonts w:ascii="Noto Naskh Arabic" w:hAnsi="Noto Naskh Arabic" w:cs="Noto Naskh Arabic"/>
          <w:b/>
          <w:color w:val="B8860B"/>
          <w:sz w:val="19"/>
        </w:rPr>
        <w:t xml:space="preserve">• </w:t>
      </w:r>
      <w:r>
        <w:rPr>
          <w:rFonts w:ascii="Noto Naskh Arabic" w:hAnsi="Noto Naskh Arabic" w:cs="Noto Naskh Arabic"/>
          <w:b w:val="0"/>
          <w:color w:val="1F2937"/>
          <w:sz w:val="19"/>
        </w:rPr>
        <w:t>سيد قطب، في ظلال القرآن - المرجع التفسيري الرئيس لفهم وحدة السياق والحركة الإيمانية والنفسية والاجتماعية للمشهد.</w:t>
      </w:r>
    </w:p>
    <w:p>
      <w:pPr>
        <w:jc w:val="right"/>
        <w:bidi w:val="1"/>
      </w:pPr>
      <w:r>
        <w:rPr>
          <w:rFonts w:ascii="Noto Naskh Arabic" w:hAnsi="Noto Naskh Arabic" w:cs="Noto Naskh Arabic"/>
          <w:b/>
          <w:color w:val="B8860B"/>
          <w:sz w:val="19"/>
        </w:rPr>
        <w:t xml:space="preserve">• </w:t>
      </w:r>
      <w:r>
        <w:rPr>
          <w:rFonts w:ascii="Noto Naskh Arabic" w:hAnsi="Noto Naskh Arabic" w:cs="Noto Naskh Arabic"/>
          <w:b w:val="0"/>
          <w:color w:val="1F2937"/>
          <w:sz w:val="19"/>
        </w:rPr>
        <w:t>الطبري، ابن كثير، القرطبي، السعدي - مراجعة مساندة للمعاني المشهورة ومواضع الاحتمال عند الحاجة.</w:t>
      </w:r>
    </w:p>
    <w:p>
      <w:pPr>
        <w:jc w:val="right"/>
        <w:bidi w:val="1"/>
      </w:pPr>
      <w:r>
        <w:rPr>
          <w:rFonts w:ascii="Noto Naskh Arabic" w:hAnsi="Noto Naskh Arabic" w:cs="Noto Naskh Arabic"/>
          <w:b/>
          <w:color w:val="B8860B"/>
          <w:sz w:val="19"/>
        </w:rPr>
        <w:t xml:space="preserve">• </w:t>
      </w:r>
      <w:r>
        <w:rPr>
          <w:rFonts w:ascii="Noto Naskh Arabic" w:hAnsi="Noto Naskh Arabic" w:cs="Noto Naskh Arabic"/>
          <w:b w:val="0"/>
          <w:color w:val="1F2937"/>
          <w:sz w:val="19"/>
        </w:rPr>
        <w:t>الصياغة والتحليل النفسي والقيادي والإداري تطبيق أصلي ضمن إطار المشروع، وليس نقلًا حرفيًا عن أي تفسير.</w:t>
      </w:r>
    </w:p>
    <w:p>
      <w:pPr>
        <w:jc w:val="right"/>
        <w:bidi w:val="1"/>
      </w:pPr>
      <w:r>
        <w:rPr>
          <w:rFonts w:ascii="Noto Naskh Arabic" w:hAnsi="Noto Naskh Arabic" w:cs="Noto Naskh Arabic"/>
          <w:b/>
          <w:color w:val="B8860B"/>
          <w:sz w:val="19"/>
        </w:rPr>
        <w:t xml:space="preserve">• </w:t>
      </w:r>
      <w:r>
        <w:rPr>
          <w:rFonts w:ascii="Noto Naskh Arabic" w:hAnsi="Noto Naskh Arabic" w:cs="Noto Naskh Arabic"/>
          <w:b w:val="0"/>
          <w:color w:val="1F2937"/>
          <w:sz w:val="19"/>
        </w:rPr>
        <w:t>تم تجنب التفاصيل التاريخية والإسرائيليات التي لم يثبتها النص، والتركيز على ما يؤدي وظيفة القصة القرآنية.</w:t>
      </w:r>
    </w:p>
    <w:sectPr w:rsidR="00FC693F" w:rsidRPr="0006063C" w:rsidSect="00034616">
      <w:headerReference w:type="default" r:id="rId9"/>
      <w:footerReference w:type="default" r:id="rId10"/>
      <w:pgSz w:w="11906" w:h="16838"/>
      <w:pgMar w:top="765" w:right="822" w:bottom="765" w:left="82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bidi w:val="1"/>
    </w:pPr>
    <w:r>
      <w:rPr>
        <w:rFonts w:ascii="Noto Naskh Arabic" w:hAnsi="Noto Naskh Arabic" w:cs="Noto Naskh Arabic"/>
        <w:b w:val="0"/>
        <w:color w:val="6B7280"/>
        <w:sz w:val="16"/>
      </w:rPr>
      <w:t>إعداد وتحليل | أحمد لبيب</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bidi w:val="1"/>
    </w:pPr>
    <w:r>
      <w:rPr>
        <w:rFonts w:ascii="Noto Kufi Arabic" w:hAnsi="Noto Kufi Arabic" w:cs="Noto Kufi Arabic"/>
        <w:b/>
        <w:color w:val="1F4E79"/>
        <w:sz w:val="17"/>
      </w:rPr>
      <w:t>قصص القرآن | قراءة تدبرية تطبيقية</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pPr>
    <w:rPr>
      <w:rFonts w:ascii="Noto Naskh Arabic" w:hAnsi="Noto Naskh Arabic" w:cs="Noto Naskh Arab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طالوت وجالوت</dc:title>
  <dc:subject>قصص القرآن - قراءة تدبرية تطبيقية</dc:subject>
  <dc:creator>أحمد لبيب</dc:creator>
  <cp:keywords>القرآن، القصص القرآني، في ظلال القرآن، تدبر، أخلاق، قيادة، إدارة</cp:keywords>
  <dc:description>generated by python-docx</dc:description>
  <cp:lastModifiedBy/>
  <cp:revision>1</cp:revision>
  <dcterms:created xsi:type="dcterms:W3CDTF">2013-12-23T23:15:00Z</dcterms:created>
  <dcterms:modified xsi:type="dcterms:W3CDTF">2013-12-23T23:15:00Z</dcterms:modified>
  <cp:category/>
</cp:coreProperties>
</file>