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bidi w:val="1"/>
      </w:pPr>
      <w:r>
        <w:rPr>
          <w:rFonts w:ascii="Noto Kufi Arabic" w:hAnsi="Noto Kufi Arabic" w:cs="Noto Kufi Arabic"/>
          <w:b/>
          <w:color w:val="B8860B"/>
          <w:sz w:val="22"/>
        </w:rPr>
        <w:t>029</w:t>
      </w:r>
    </w:p>
    <w:p>
      <w:pPr>
        <w:jc w:val="center"/>
        <w:bidi w:val="1"/>
      </w:pPr>
      <w:r>
        <w:rPr>
          <w:rFonts w:ascii="Noto Kufi Arabic" w:hAnsi="Noto Kufi Arabic" w:cs="Noto Kufi Arabic"/>
          <w:b/>
          <w:color w:val="1F4E79"/>
          <w:sz w:val="48"/>
        </w:rPr>
        <w:t>لقمان</w:t>
      </w:r>
    </w:p>
    <w:p>
      <w:pPr>
        <w:jc w:val="center"/>
        <w:bidi w:val="1"/>
      </w:pPr>
      <w:r>
        <w:rPr>
          <w:rFonts w:ascii="Noto Naskh Arabic" w:hAnsi="Noto Naskh Arabic" w:cs="Noto Naskh Arabic"/>
          <w:b/>
          <w:color w:val="B8860B"/>
          <w:sz w:val="28"/>
        </w:rPr>
        <w:t>الحكمة التي تبدأ بالشكر وتبني الضمير قبل أن تضبط السلوك الظاهر</w:t>
      </w:r>
    </w:p>
    <w:p>
      <w:pPr>
        <w:jc w:val="center"/>
        <w:bidi w:val="1"/>
      </w:pPr>
      <w:r>
        <w:rPr>
          <w:rFonts w:ascii="Noto Naskh Arabic" w:hAnsi="Noto Naskh Arabic" w:cs="Noto Naskh Arabic"/>
          <w:b w:val="0"/>
          <w:color w:val="1F2937"/>
          <w:sz w:val="21"/>
        </w:rPr>
        <w:t>القيمة المحورية: التوجيه وبناء القيم وترتيب التربية من العقيدة إلى السلوك  |  التصنيف: إدارة</w:t>
      </w:r>
    </w:p>
    <w:tbl>
      <w:tblPr>
        <w:tblW w:type="auto" w:w="0"/>
        <w:jc w:val="center"/>
        <w:tblLayout w:type="fixed"/>
        <w:tblLook w:firstColumn="1" w:firstRow="1" w:lastColumn="0" w:lastRow="0" w:noHBand="0" w:noVBand="1" w:val="04A0"/>
      </w:tblPr>
      <w:tblGrid>
        <w:gridCol w:w="9354"/>
      </w:tblGrid>
      <w:tr>
        <w:tc>
          <w:tcPr>
            <w:tcW w:type="dxa" w:w="10262"/>
            <w:shd w:fill="FFF7E3"/>
            <w:tcBorders>
              <w:top w:val="single" w:sz="8" w:color="D6B656"/>
              <w:left w:val="single" w:sz="8" w:color="D6B656"/>
              <w:bottom w:val="single" w:sz="8" w:color="D6B656"/>
              <w:right w:val="single" w:sz="8" w:color="D6B656"/>
            </w:tcBorders>
          </w:tcPr>
          <w:p>
            <w:pPr>
              <w:jc w:val="right"/>
              <w:bidi w:val="1"/>
            </w:pPr>
            <w:r>
              <w:rPr>
                <w:rFonts w:ascii="Noto Naskh Arabic" w:hAnsi="Noto Naskh Arabic" w:cs="Noto Naskh Arabic"/>
                <w:b w:val="0"/>
                <w:color w:val="1F2937"/>
                <w:sz w:val="19"/>
              </w:rPr>
              <w:t>منهج العمل: القرآن الكريم أصل النص، وفي ظلال القرآن المرجع التفسيري الرئيس، مع مراجعة المعنى العام في التفاسير المعتبرة عند الحاجة. الصياغة والتحليل والتطبيقات أصلية ومبنية على قالب قصة إبليس.</w:t>
            </w:r>
          </w:p>
        </w:tc>
      </w:tr>
    </w:tbl>
    <w:p>
      <w:pPr>
        <w:jc w:val="center"/>
        <w:bidi w:val="1"/>
      </w:pPr>
      <w:r>
        <w:rPr>
          <w:rFonts w:ascii="Noto Naskh Arabic" w:hAnsi="Noto Naskh Arabic" w:cs="Noto Naskh Arabic"/>
          <w:b w:val="0"/>
          <w:color w:val="6B7280"/>
          <w:sz w:val="18"/>
        </w:rPr>
        <w:t>مواضع القصة: لقمان: من الآية 12 إلى الآية 19</w:t>
      </w:r>
    </w:p>
    <w:p>
      <w:r>
        <w:br w:type="page"/>
      </w:r>
    </w:p>
    <w:p>
      <w:pPr>
        <w:jc w:val="center"/>
        <w:bidi w:val="1"/>
      </w:pPr>
      <w:r>
        <w:rPr>
          <w:rFonts w:ascii="Noto Naskh Arabic" w:hAnsi="Noto Naskh Arabic" w:cs="Noto Naskh Arabic"/>
          <w:b w:val="0"/>
          <w:color w:val="6B7280"/>
          <w:sz w:val="17"/>
        </w:rPr>
        <w:t>ترتيب القصة في ملف Excel: 30</w:t>
      </w:r>
    </w:p>
    <w:p>
      <w:pPr>
        <w:spacing w:before="160" w:after="100"/>
        <w:jc w:val="right"/>
        <w:bidi w:val="1"/>
      </w:pPr>
      <w:r>
        <w:rPr>
          <w:rFonts w:ascii="Noto Kufi Arabic" w:hAnsi="Noto Kufi Arabic" w:cs="Noto Kufi Arabic"/>
          <w:b/>
          <w:color w:val="1F4E79"/>
          <w:sz w:val="28"/>
        </w:rPr>
        <w:t>مدخل القصة ومحورها</w:t>
      </w:r>
    </w:p>
    <w:tbl>
      <w:tblPr>
        <w:tblW w:type="auto" w:w="0"/>
        <w:jc w:val="center"/>
        <w:tblLayout w:type="fixed"/>
        <w:tblLook w:firstColumn="1" w:firstRow="1" w:lastColumn="0" w:lastRow="0" w:noHBand="0" w:noVBand="1" w:val="04A0"/>
      </w:tblPr>
      <w:tblGrid>
        <w:gridCol w:w="5131"/>
        <w:gridCol w:w="5131"/>
      </w:tblGrid>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المحور المركزي</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التربية الحكيمة ترتب البناء: شكر يضبط علاقة النعمة، وتوحيد يصحح المرجع، وبر بحدود، وضمير يستشعر علم الله، ثم عبادة ومسؤولية وصبر وتواضع في السلوك.</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السؤال الإنساني</w:t>
            </w:r>
          </w:p>
        </w:tc>
        <w:tc>
          <w:tcPr>
            <w:tcW w:type="dxa" w:w="7483"/>
            <w:vAlign w:val="center"/>
            <w:shd w:fill="FFFFFF"/>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كيف تتحول القيم من موعظة جميلة إلى نظام متكامل يوجه القرار والعلاقة والحركة والصوت؟</w:t>
            </w:r>
          </w:p>
        </w:tc>
      </w:tr>
      <w:tr>
        <w:tc>
          <w:tcPr>
            <w:tcW w:type="dxa" w:w="2268"/>
            <w:vAlign w:val="center"/>
            <w:shd w:fill="DCE6F1"/>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color w:val="1F4E79"/>
                <w:sz w:val="20"/>
              </w:rPr>
              <w:t>الحركة الكبرى</w:t>
            </w:r>
          </w:p>
        </w:tc>
        <w:tc>
          <w:tcPr>
            <w:tcW w:type="dxa" w:w="7483"/>
            <w:vAlign w:val="center"/>
            <w:shd w:fill="F8FBFE"/>
            <w:tcBorders>
              <w:top w:val="single" w:sz="5" w:color="9FBAD0"/>
              <w:left w:val="single" w:sz="5" w:color="9FBAD0"/>
              <w:bottom w:val="single" w:sz="5" w:color="9FBAD0"/>
              <w:right w:val="single" w:sz="5" w:color="9FBAD0"/>
            </w:tcBorders>
          </w:tcPr>
          <w:p>
            <w:pPr>
              <w:jc w:val="right"/>
              <w:bidi w:val="1"/>
            </w:pPr>
            <w:r>
              <w:rPr>
                <w:rFonts w:ascii="Noto Naskh Arabic" w:hAnsi="Noto Naskh Arabic" w:cs="Noto Naskh Arabic"/>
                <w:b w:val="0"/>
                <w:color w:val="1F2937"/>
                <w:sz w:val="20"/>
              </w:rPr>
              <w:t>حكمة وشكر → توحيد → بر وحدود → رقابة داخلية → عبادة → إصلاح اجتماعي → صبر → تواضع → اعتدال في الحضور.</w:t>
            </w:r>
          </w:p>
        </w:tc>
      </w:tr>
    </w:tbl>
    <w:p>
      <w:pPr>
        <w:spacing w:before="160" w:after="100"/>
        <w:jc w:val="right"/>
        <w:bidi w:val="1"/>
      </w:pPr>
      <w:r>
        <w:rPr>
          <w:rFonts w:ascii="Noto Kufi Arabic" w:hAnsi="Noto Kufi Arabic" w:cs="Noto Kufi Arabic"/>
          <w:b/>
          <w:color w:val="1F4E79"/>
          <w:sz w:val="28"/>
        </w:rPr>
        <w:t>الآيات + الشرح</w:t>
      </w:r>
    </w:p>
    <w:tbl>
      <w:tblPr>
        <w:tblW w:type="auto" w:w="0"/>
        <w:jc w:val="center"/>
        <w:tblLayout w:type="fixed"/>
        <w:tblLook w:firstColumn="1" w:firstRow="1" w:lastColumn="0" w:lastRow="0" w:noHBand="0" w:noVBand="1" w:val="04A0"/>
      </w:tblPr>
      <w:tblGrid>
        <w:gridCol w:w="10262"/>
      </w:tblGrid>
      <w:tr>
        <w:tc>
          <w:tcPr>
            <w:tcW w:type="dxa" w:w="9694"/>
            <w:vAlign w:val="top"/>
            <w:shd w:fill="DCE6F1"/>
            <w:tcBorders>
              <w:top w:val="single" w:sz="6" w:color="9FBAD0"/>
              <w:left w:val="single" w:sz="6" w:color="9FBAD0"/>
              <w:bottom w:val="single" w:sz="6" w:color="9FBAD0"/>
              <w:right w:val="single" w:sz="6" w:color="9FBAD0"/>
            </w:tcBorders>
          </w:tcPr>
          <w:p>
            <w:pPr>
              <w:jc w:val="right"/>
              <w:bidi w:val="1"/>
            </w:pPr>
            <w:r>
              <w:rPr>
                <w:rFonts w:ascii="Noto Kufi Arabic" w:hAnsi="Noto Kufi Arabic" w:cs="Noto Kufi Arabic"/>
                <w:b/>
                <w:color w:val="1F4E79"/>
                <w:sz w:val="21"/>
              </w:rPr>
              <w:t>1. سورة لقمان - الآيات من 12 إلى 19</w:t>
            </w:r>
          </w:p>
          <w:p>
            <w:pPr>
              <w:jc w:val="both"/>
              <w:bidi w:val="1"/>
            </w:pPr>
            <w:r>
              <w:rPr>
                <w:rFonts w:ascii="Amiri Quran" w:hAnsi="Amiri Quran" w:cs="Amiri Quran"/>
                <w:b w:val="0"/>
                <w:color w:val="1F2937"/>
                <w:sz w:val="20"/>
              </w:rPr>
              <w:t>وَلَقَد آتَينا لُقمانَ الحِكمَةَ أَنِ اشكُر لِلَّهِ ۚ وَمَن يَشكُر فَإِنَّما يَشكُرُ لِنَفسِهِ ۖ وَمَن كَفَرَ فَإِنَّ اللَّهَ غَنِيٌّ حَميدٌ ﴿١٢﴾ وَإِذ قالَ لُقمانُ لِابنِهِ وَهُوَ يَعِظُهُ يا بُنَيَّ لا تُشرِك بِاللَّهِ ۖ إِنَّ الشِّركَ لَظُلمٌ عَظيمٌ ﴿١٣﴾ وَوَصَّينَا الإِنسانَ بِوالِدَيهِ حَمَلَتهُ أُمُّهُ وَهنًا عَلىٰ وَهنٍ وَفِصالُهُ في عامَينِ أَنِ اشكُر لي وَلِوالِدَيكَ إِلَيَّ المَصيرُ ﴿١٤﴾ وَإِن جاهَداكَ عَلىٰ أَن تُشرِكَ بي ما لَيسَ لَكَ بِهِ عِلمٌ فَلا تُطِعهُما ۖ وَصاحِبهُما فِي الدُّنيا مَعروفًا ۖ وَاتَّبِع سَبيلَ مَن أَنابَ إِلَيَّ ۚ ثُمَّ إِلَيَّ مَرجِعُكُم فَأُنَبِّئُكُم بِما كُنتُم تَعمَلونَ ﴿١٥﴾ يا بُنَيَّ إِنَّها إِن تَكُ مِثقالَ حَبَّةٍ مِن خَردَلٍ فَتَكُن في صَخرَةٍ أَو فِي السَّماواتِ أَو فِي الأَرضِ يَأتِ بِهَا اللَّهُ ۚ إِنَّ اللَّهَ لَطيفٌ خَبيرٌ ﴿١٦﴾ يا بُنَيَّ أَقِمِ الصَّلاةَ وَأمُر بِالمَعروفِ وَانهَ عَنِ المُنكَرِ وَاصبِر عَلىٰ ما أَصابَكَ ۖ إِنَّ ذٰلِكَ مِن عَزمِ الأُمورِ ﴿١٧﴾ وَلا تُصَعِّر خَدَّكَ لِلنّاسِ وَلا تَمشِ فِي الأَرضِ مَرَحًا ۖ إِنَّ اللَّهَ لا يُحِبُّ كُلَّ مُختالٍ فَخورٍ ﴿١٨﴾ وَاقصِد في مَشيِكَ وَاغضُض مِن صَوتِكَ ۚ إِنَّ أَنكَرَ الأَصواتِ لَصَوتُ الحَميرِ ﴿١٩﴾</w:t>
            </w:r>
          </w:p>
          <w:p>
            <w:pPr>
              <w:jc w:val="right"/>
              <w:bidi w:val="1"/>
            </w:pPr>
            <w:r>
              <w:rPr>
                <w:rFonts w:ascii="Noto Naskh Arabic" w:hAnsi="Noto Naskh Arabic" w:cs="Noto Naskh Arabic"/>
                <w:b/>
                <w:color w:val="B8860B"/>
                <w:sz w:val="20"/>
              </w:rPr>
              <w:t xml:space="preserve">1. </w:t>
            </w:r>
            <w:r>
              <w:rPr>
                <w:rFonts w:ascii="Noto Naskh Arabic" w:hAnsi="Noto Naskh Arabic" w:cs="Noto Naskh Arabic"/>
                <w:b w:val="0"/>
                <w:color w:val="1F2937"/>
                <w:sz w:val="20"/>
              </w:rPr>
              <w:t>افتتح المقطع بأن الله آتى لقمان الحكمة أن اشكر؛ فالشكر ليس نتيجة هامشية للحكمة بل قلبها العملي.</w:t>
            </w:r>
          </w:p>
          <w:p>
            <w:pPr>
              <w:jc w:val="right"/>
              <w:bidi w:val="1"/>
            </w:pPr>
            <w:r>
              <w:rPr>
                <w:rFonts w:ascii="Noto Naskh Arabic" w:hAnsi="Noto Naskh Arabic" w:cs="Noto Naskh Arabic"/>
                <w:b/>
                <w:color w:val="B8860B"/>
                <w:sz w:val="20"/>
              </w:rPr>
              <w:t xml:space="preserve">2. </w:t>
            </w:r>
            <w:r>
              <w:rPr>
                <w:rFonts w:ascii="Noto Naskh Arabic" w:hAnsi="Noto Naskh Arabic" w:cs="Noto Naskh Arabic"/>
                <w:b w:val="0"/>
                <w:color w:val="1F2937"/>
                <w:sz w:val="20"/>
              </w:rPr>
              <w:t>بيّن أن نفع الشكر يعود على صاحبه وأن الله غني حميد؛ فتسقط فكرة أن الطاعة تسد نقصًا عند الله.</w:t>
            </w:r>
          </w:p>
          <w:p>
            <w:pPr>
              <w:jc w:val="right"/>
              <w:bidi w:val="1"/>
            </w:pPr>
            <w:r>
              <w:rPr>
                <w:rFonts w:ascii="Noto Naskh Arabic" w:hAnsi="Noto Naskh Arabic" w:cs="Noto Naskh Arabic"/>
                <w:b/>
                <w:color w:val="B8860B"/>
                <w:sz w:val="20"/>
              </w:rPr>
              <w:t xml:space="preserve">3. </w:t>
            </w:r>
            <w:r>
              <w:rPr>
                <w:rFonts w:ascii="Noto Naskh Arabic" w:hAnsi="Noto Naskh Arabic" w:cs="Noto Naskh Arabic"/>
                <w:b w:val="0"/>
                <w:color w:val="1F2937"/>
                <w:sz w:val="20"/>
              </w:rPr>
              <w:t>بدأت الموعظة بالتوحيد والتحذير من الشرك بوصفه ظلمًا عظيمًا؛ فتصحيح المرجع يسبق تفاصيل السلوك.</w:t>
            </w:r>
          </w:p>
          <w:p>
            <w:pPr>
              <w:jc w:val="right"/>
              <w:bidi w:val="1"/>
            </w:pPr>
            <w:r>
              <w:rPr>
                <w:rFonts w:ascii="Noto Naskh Arabic" w:hAnsi="Noto Naskh Arabic" w:cs="Noto Naskh Arabic"/>
                <w:b/>
                <w:color w:val="B8860B"/>
                <w:sz w:val="20"/>
              </w:rPr>
              <w:t xml:space="preserve">4. </w:t>
            </w:r>
            <w:r>
              <w:rPr>
                <w:rFonts w:ascii="Noto Naskh Arabic" w:hAnsi="Noto Naskh Arabic" w:cs="Noto Naskh Arabic"/>
                <w:b w:val="0"/>
                <w:color w:val="1F2937"/>
                <w:sz w:val="20"/>
              </w:rPr>
              <w:t>أدخل السياق حق الوالدين وتعب الأم، ثم وضع حد الطاعة عند الشرك مع استمرار الصحبة بالمعروف؛ توازن بلا ذوبان ولا عقوق.</w:t>
            </w:r>
          </w:p>
          <w:p>
            <w:pPr>
              <w:jc w:val="right"/>
              <w:bidi w:val="1"/>
            </w:pPr>
            <w:r>
              <w:rPr>
                <w:rFonts w:ascii="Noto Naskh Arabic" w:hAnsi="Noto Naskh Arabic" w:cs="Noto Naskh Arabic"/>
                <w:b/>
                <w:color w:val="B8860B"/>
                <w:sz w:val="20"/>
              </w:rPr>
              <w:t xml:space="preserve">5. </w:t>
            </w:r>
            <w:r>
              <w:rPr>
                <w:rFonts w:ascii="Noto Naskh Arabic" w:hAnsi="Noto Naskh Arabic" w:cs="Noto Naskh Arabic"/>
                <w:b w:val="0"/>
                <w:color w:val="1F2937"/>
                <w:sz w:val="20"/>
              </w:rPr>
              <w:t>جاءت رقابة حبة الخردل في الصخرة أو السماوات أو الأرض؛ فالضمير يتكون على علم الله بما يخفى.</w:t>
            </w:r>
          </w:p>
          <w:p>
            <w:pPr>
              <w:jc w:val="right"/>
              <w:bidi w:val="1"/>
            </w:pPr>
            <w:r>
              <w:rPr>
                <w:rFonts w:ascii="Noto Naskh Arabic" w:hAnsi="Noto Naskh Arabic" w:cs="Noto Naskh Arabic"/>
                <w:b/>
                <w:color w:val="B8860B"/>
                <w:sz w:val="20"/>
              </w:rPr>
              <w:t xml:space="preserve">6. </w:t>
            </w:r>
            <w:r>
              <w:rPr>
                <w:rFonts w:ascii="Noto Naskh Arabic" w:hAnsi="Noto Naskh Arabic" w:cs="Noto Naskh Arabic"/>
                <w:b w:val="0"/>
                <w:color w:val="1F2937"/>
                <w:sz w:val="20"/>
              </w:rPr>
              <w:t>انتقل إلى الصلاة والأمر بالمعروف والنهي عن المنكر والصبر؛ فالإيمان يتحول إلى عبادة ومسؤولية اجتماعية وتحمل للتكلفة.</w:t>
            </w:r>
          </w:p>
          <w:p>
            <w:pPr>
              <w:jc w:val="right"/>
              <w:bidi w:val="1"/>
            </w:pPr>
            <w:r>
              <w:rPr>
                <w:rFonts w:ascii="Noto Naskh Arabic" w:hAnsi="Noto Naskh Arabic" w:cs="Noto Naskh Arabic"/>
                <w:b/>
                <w:color w:val="B8860B"/>
                <w:sz w:val="20"/>
              </w:rPr>
              <w:t xml:space="preserve">7. </w:t>
            </w:r>
            <w:r>
              <w:rPr>
                <w:rFonts w:ascii="Noto Naskh Arabic" w:hAnsi="Noto Naskh Arabic" w:cs="Noto Naskh Arabic"/>
                <w:b w:val="0"/>
                <w:color w:val="1F2937"/>
                <w:sz w:val="20"/>
              </w:rPr>
              <w:t>نهى عن تصعير الخد والمشي مرحًا، فربط التربية القلبية بلغة الجسد وعلاقة الإنسان بالناس.</w:t>
            </w:r>
          </w:p>
          <w:p>
            <w:pPr>
              <w:jc w:val="right"/>
              <w:bidi w:val="1"/>
            </w:pPr>
            <w:r>
              <w:rPr>
                <w:rFonts w:ascii="Noto Naskh Arabic" w:hAnsi="Noto Naskh Arabic" w:cs="Noto Naskh Arabic"/>
                <w:b/>
                <w:color w:val="B8860B"/>
                <w:sz w:val="20"/>
              </w:rPr>
              <w:t xml:space="preserve">8. </w:t>
            </w:r>
            <w:r>
              <w:rPr>
                <w:rFonts w:ascii="Noto Naskh Arabic" w:hAnsi="Noto Naskh Arabic" w:cs="Noto Naskh Arabic"/>
                <w:b w:val="0"/>
                <w:color w:val="1F2937"/>
                <w:sz w:val="20"/>
              </w:rPr>
              <w:t>ختم بالقصد في المشي وخفض الصوت؛ الحكمة تظهر في الإيقاع اليومي لا في الأفكار الكبيرة فقط.</w:t>
            </w:r>
          </w:p>
        </w:tc>
      </w:tr>
    </w:tbl>
    <w:p>
      <w:pPr>
        <w:spacing w:after="20"/>
      </w:pPr>
    </w:p>
    <w:p>
      <w:pPr>
        <w:spacing w:before="160" w:after="100"/>
        <w:jc w:val="right"/>
        <w:bidi w:val="1"/>
      </w:pPr>
      <w:r>
        <w:rPr>
          <w:rFonts w:ascii="Noto Kufi Arabic" w:hAnsi="Noto Kufi Arabic" w:cs="Noto Kufi Arabic"/>
          <w:b/>
          <w:color w:val="1F4E79"/>
          <w:sz w:val="28"/>
        </w:rPr>
        <w:t>التحليل الحركي والنفسي</w:t>
      </w:r>
    </w:p>
    <w:p>
      <w:pPr>
        <w:jc w:val="both"/>
        <w:bidi w:val="1"/>
      </w:pPr>
      <w:r>
        <w:rPr>
          <w:rFonts w:ascii="Noto Naskh Arabic" w:hAnsi="Noto Naskh Arabic" w:cs="Noto Naskh Arabic"/>
          <w:b/>
          <w:color w:val="B8860B"/>
          <w:sz w:val="21"/>
        </w:rPr>
        <w:t xml:space="preserve">1. </w:t>
      </w:r>
      <w:r>
        <w:rPr>
          <w:rFonts w:ascii="Noto Naskh Arabic" w:hAnsi="Noto Naskh Arabic" w:cs="Noto Naskh Arabic"/>
          <w:b w:val="0"/>
          <w:color w:val="1F2937"/>
          <w:sz w:val="21"/>
        </w:rPr>
        <w:t>ربط الحكمة بالشكر يجعل الحكيم قادرًا على رؤية النعمة ووظيفتها، لا مجرد إنتاج النصائح أو كسب الجدل.</w:t>
      </w:r>
    </w:p>
    <w:p>
      <w:pPr>
        <w:jc w:val="both"/>
        <w:bidi w:val="1"/>
      </w:pPr>
      <w:r>
        <w:rPr>
          <w:rFonts w:ascii="Noto Naskh Arabic" w:hAnsi="Noto Naskh Arabic" w:cs="Noto Naskh Arabic"/>
          <w:b/>
          <w:color w:val="B8860B"/>
          <w:sz w:val="21"/>
        </w:rPr>
        <w:t xml:space="preserve">2. </w:t>
      </w:r>
      <w:r>
        <w:rPr>
          <w:rFonts w:ascii="Noto Naskh Arabic" w:hAnsi="Noto Naskh Arabic" w:cs="Noto Naskh Arabic"/>
          <w:b w:val="0"/>
          <w:color w:val="1F2937"/>
          <w:sz w:val="21"/>
        </w:rPr>
        <w:t>البدء بالتوحيد يمنع التربية من أن تتحول إلى قائمة سلوكيات بلا مركز؛ المرجع الواحد يوحد القرارات المتفرقة.</w:t>
      </w:r>
    </w:p>
    <w:p>
      <w:pPr>
        <w:jc w:val="both"/>
        <w:bidi w:val="1"/>
      </w:pPr>
      <w:r>
        <w:rPr>
          <w:rFonts w:ascii="Noto Naskh Arabic" w:hAnsi="Noto Naskh Arabic" w:cs="Noto Naskh Arabic"/>
          <w:b/>
          <w:color w:val="B8860B"/>
          <w:sz w:val="21"/>
        </w:rPr>
        <w:t xml:space="preserve">3. </w:t>
      </w:r>
      <w:r>
        <w:rPr>
          <w:rFonts w:ascii="Noto Naskh Arabic" w:hAnsi="Noto Naskh Arabic" w:cs="Noto Naskh Arabic"/>
          <w:b w:val="0"/>
          <w:color w:val="1F2937"/>
          <w:sz w:val="21"/>
        </w:rPr>
        <w:t>ذكر تعب الأم يؤسس البر على الوعي بالفضل، لا على الخوف الاجتماعي أو الطاعة العمياء.</w:t>
      </w:r>
    </w:p>
    <w:p>
      <w:pPr>
        <w:jc w:val="both"/>
        <w:bidi w:val="1"/>
      </w:pPr>
      <w:r>
        <w:rPr>
          <w:rFonts w:ascii="Noto Naskh Arabic" w:hAnsi="Noto Naskh Arabic" w:cs="Noto Naskh Arabic"/>
          <w:b/>
          <w:color w:val="B8860B"/>
          <w:sz w:val="21"/>
        </w:rPr>
        <w:t xml:space="preserve">4. </w:t>
      </w:r>
      <w:r>
        <w:rPr>
          <w:rFonts w:ascii="Noto Naskh Arabic" w:hAnsi="Noto Naskh Arabic" w:cs="Noto Naskh Arabic"/>
          <w:b w:val="0"/>
          <w:color w:val="1F2937"/>
          <w:sz w:val="21"/>
        </w:rPr>
        <w:t>رفض طاعة الوالدين في الشرك مع الصحبة بالمعروف نموذج لقدرة القيم على وضع حدود بلا قطيعة أو انتقام.</w:t>
      </w:r>
    </w:p>
    <w:p>
      <w:pPr>
        <w:jc w:val="both"/>
        <w:bidi w:val="1"/>
      </w:pPr>
      <w:r>
        <w:rPr>
          <w:rFonts w:ascii="Noto Naskh Arabic" w:hAnsi="Noto Naskh Arabic" w:cs="Noto Naskh Arabic"/>
          <w:b/>
          <w:color w:val="B8860B"/>
          <w:sz w:val="21"/>
        </w:rPr>
        <w:t xml:space="preserve">5. </w:t>
      </w:r>
      <w:r>
        <w:rPr>
          <w:rFonts w:ascii="Noto Naskh Arabic" w:hAnsi="Noto Naskh Arabic" w:cs="Noto Naskh Arabic"/>
          <w:b w:val="0"/>
          <w:color w:val="1F2937"/>
          <w:sz w:val="21"/>
        </w:rPr>
        <w:t>مثقال حبة الخردل يبني رقابة داخلية تتجاوز نظام المكافأة والعقوبة الظاهر؛ ما يخفى عن الناس حاضر في علم الله.</w:t>
      </w:r>
    </w:p>
    <w:p>
      <w:pPr>
        <w:jc w:val="both"/>
        <w:bidi w:val="1"/>
      </w:pPr>
      <w:r>
        <w:rPr>
          <w:rFonts w:ascii="Noto Naskh Arabic" w:hAnsi="Noto Naskh Arabic" w:cs="Noto Naskh Arabic"/>
          <w:b/>
          <w:color w:val="B8860B"/>
          <w:sz w:val="21"/>
        </w:rPr>
        <w:t xml:space="preserve">6. </w:t>
      </w:r>
      <w:r>
        <w:rPr>
          <w:rFonts w:ascii="Noto Naskh Arabic" w:hAnsi="Noto Naskh Arabic" w:cs="Noto Naskh Arabic"/>
          <w:b w:val="0"/>
          <w:color w:val="1F2937"/>
          <w:sz w:val="21"/>
        </w:rPr>
        <w:t>الصلاة تعيد ترتيب الداخل، والأمر بالمعروف يخرج الإيمان إلى المجتمع، والصبر يحمي المصلح من الانهيار عند التكلفة.</w:t>
      </w:r>
    </w:p>
    <w:p>
      <w:pPr>
        <w:jc w:val="both"/>
        <w:bidi w:val="1"/>
      </w:pPr>
      <w:r>
        <w:rPr>
          <w:rFonts w:ascii="Noto Naskh Arabic" w:hAnsi="Noto Naskh Arabic" w:cs="Noto Naskh Arabic"/>
          <w:b/>
          <w:color w:val="B8860B"/>
          <w:sz w:val="21"/>
        </w:rPr>
        <w:t xml:space="preserve">7. </w:t>
      </w:r>
      <w:r>
        <w:rPr>
          <w:rFonts w:ascii="Noto Naskh Arabic" w:hAnsi="Noto Naskh Arabic" w:cs="Noto Naskh Arabic"/>
          <w:b w:val="0"/>
          <w:color w:val="1F2937"/>
          <w:sz w:val="21"/>
        </w:rPr>
        <w:t>النهي عن تصعير الخد يكشف أن الكبر قد يظهر قبل الكلام في الوجه وطريقة التعامل، ولذلك تتناول التربية لغة الجسد.</w:t>
      </w:r>
    </w:p>
    <w:p>
      <w:pPr>
        <w:jc w:val="both"/>
        <w:bidi w:val="1"/>
      </w:pPr>
      <w:r>
        <w:rPr>
          <w:rFonts w:ascii="Noto Naskh Arabic" w:hAnsi="Noto Naskh Arabic" w:cs="Noto Naskh Arabic"/>
          <w:b/>
          <w:color w:val="B8860B"/>
          <w:sz w:val="21"/>
        </w:rPr>
        <w:t xml:space="preserve">8. </w:t>
      </w:r>
      <w:r>
        <w:rPr>
          <w:rFonts w:ascii="Noto Naskh Arabic" w:hAnsi="Noto Naskh Arabic" w:cs="Noto Naskh Arabic"/>
          <w:b w:val="0"/>
          <w:color w:val="1F2937"/>
          <w:sz w:val="21"/>
        </w:rPr>
        <w:t>القصد في المشي وخفض الصوت يصنعان حضورًا متزنًا: لا انكماشًا ولا استعراضًا، ولا صمتًا عاجزًا ولا صخبًا.</w:t>
      </w:r>
    </w:p>
    <w:p>
      <w:pPr>
        <w:jc w:val="both"/>
        <w:bidi w:val="1"/>
      </w:pPr>
      <w:r>
        <w:rPr>
          <w:rFonts w:ascii="Noto Naskh Arabic" w:hAnsi="Noto Naskh Arabic" w:cs="Noto Naskh Arabic"/>
          <w:b/>
          <w:color w:val="B8860B"/>
          <w:sz w:val="21"/>
        </w:rPr>
        <w:t xml:space="preserve">9. </w:t>
      </w:r>
      <w:r>
        <w:rPr>
          <w:rFonts w:ascii="Noto Naskh Arabic" w:hAnsi="Noto Naskh Arabic" w:cs="Noto Naskh Arabic"/>
          <w:b w:val="0"/>
          <w:color w:val="1F2937"/>
          <w:sz w:val="21"/>
        </w:rPr>
        <w:t>تكرار يا بني يحيط الموعظة بالقرب؛ السلطة التربوية النافعة لا تستغني عن الحنان الشخصي.</w:t>
      </w:r>
    </w:p>
    <w:p>
      <w:pPr>
        <w:spacing w:before="160" w:after="100"/>
        <w:jc w:val="right"/>
        <w:bidi w:val="1"/>
      </w:pPr>
      <w:r>
        <w:rPr>
          <w:rFonts w:ascii="Noto Kufi Arabic" w:hAnsi="Noto Kufi Arabic" w:cs="Noto Kufi Arabic"/>
          <w:b/>
          <w:color w:val="1F4E79"/>
          <w:sz w:val="28"/>
        </w:rPr>
        <w:t>الخلاصة</w:t>
      </w:r>
    </w:p>
    <w:tbl>
      <w:tblPr>
        <w:tblW w:type="auto" w:w="0"/>
        <w:jc w:val="center"/>
        <w:tblLook w:firstColumn="1" w:firstRow="1" w:lastColumn="0" w:lastRow="0" w:noHBand="0" w:noVBand="1" w:val="04A0"/>
      </w:tblPr>
      <w:tblGrid>
        <w:gridCol w:w="10262"/>
      </w:tblGrid>
      <w:tr>
        <w:tc>
          <w:tcPr>
            <w:tcW w:type="dxa" w:w="10262"/>
            <w:shd w:fill="EEF4F9"/>
            <w:tcBorders>
              <w:top w:val="single" w:sz="6" w:color="9FBAD0"/>
              <w:left w:val="single" w:sz="6" w:color="9FBAD0"/>
              <w:bottom w:val="single" w:sz="6" w:color="9FBAD0"/>
              <w:right w:val="single" w:sz="6" w:color="9FBAD0"/>
            </w:tcBorders>
          </w:tcPr>
          <w:p>
            <w:pPr>
              <w:jc w:val="both"/>
              <w:bidi w:val="1"/>
            </w:pPr>
            <w:r>
              <w:rPr>
                <w:rFonts w:ascii="Noto Naskh Arabic" w:hAnsi="Noto Naskh Arabic" w:cs="Noto Naskh Arabic"/>
                <w:b w:val="0"/>
                <w:color w:val="1F2937"/>
                <w:sz w:val="22"/>
              </w:rPr>
              <w:t>أوتي لقمان الحكمة، فجاء أول تفسير لها: أن اشكر لله. ثم بدأ مع ابنه من أصل العقيدة، وحذره من الشرك، وربط البر بمعرفة تعب الوالدين، ووضع حدًا واضحًا للطاعة عندما تصادم التوحيد مع بقاء الصحبة بالمعروف. بنى فيه ضميرًا يعلم أن حبة الخردل لا تغيب عن الله، ثم نقله إلى الصلاة والإصلاح والصبر، وختم بتواضع الوجه والمشي والصوت. إن منهجه لا يجمع نصائح متناثرة؛ إنه يبني الإنسان من المرجع الداخلي إلى أدق إشارة خارجية.</w:t>
            </w:r>
          </w:p>
        </w:tc>
      </w:tr>
    </w:tbl>
    <w:p>
      <w:pPr>
        <w:spacing w:before="160" w:after="100"/>
        <w:jc w:val="right"/>
        <w:bidi w:val="1"/>
      </w:pPr>
      <w:r>
        <w:rPr>
          <w:rFonts w:ascii="Noto Kufi Arabic" w:hAnsi="Noto Kufi Arabic" w:cs="Noto Kufi Arabic"/>
          <w:b/>
          <w:color w:val="1F4E79"/>
          <w:sz w:val="28"/>
        </w:rPr>
        <w:t>المرحلة | النص | التطبيق على الإنسان</w:t>
      </w:r>
    </w:p>
    <w:tbl>
      <w:tblPr>
        <w:tblW w:type="auto" w:w="0"/>
        <w:jc w:val="center"/>
        <w:tblLayout w:type="fixed"/>
        <w:tblLook w:firstColumn="1" w:firstRow="1" w:lastColumn="0" w:lastRow="0" w:noHBand="0" w:noVBand="1" w:val="04A0"/>
      </w:tblPr>
      <w:tblGrid>
        <w:gridCol w:w="3421"/>
        <w:gridCol w:w="3421"/>
        <w:gridCol w:w="3421"/>
      </w:tblGrid>
      <w:tr>
        <w:trPr>
          <w:tblHeader w:val="true"/>
        </w:trPr>
        <w:tc>
          <w:tcPr>
            <w:tcW w:type="dxa" w:w="2041"/>
            <w:shd w:fill="1F4E79"/>
            <w:vAlign w:val="center"/>
          </w:tcPr>
          <w:p>
            <w:pPr>
              <w:jc w:val="center"/>
              <w:bidi w:val="1"/>
            </w:pPr>
            <w:r>
              <w:rPr>
                <w:rFonts w:ascii="Noto Kufi Arabic" w:hAnsi="Noto Kufi Arabic" w:cs="Noto Kufi Arabic"/>
                <w:b/>
                <w:color w:val="FFFFFF"/>
                <w:sz w:val="18"/>
              </w:rPr>
              <w:t>المرحلة</w:t>
            </w:r>
          </w:p>
        </w:tc>
        <w:tc>
          <w:tcPr>
            <w:tcW w:type="dxa" w:w="2835"/>
            <w:shd w:fill="1F4E79"/>
            <w:vAlign w:val="center"/>
          </w:tcPr>
          <w:p>
            <w:pPr>
              <w:jc w:val="center"/>
              <w:bidi w:val="1"/>
            </w:pPr>
            <w:r>
              <w:rPr>
                <w:rFonts w:ascii="Noto Kufi Arabic" w:hAnsi="Noto Kufi Arabic" w:cs="Noto Kufi Arabic"/>
                <w:b/>
                <w:color w:val="FFFFFF"/>
                <w:sz w:val="18"/>
              </w:rPr>
              <w:t>النص أو المعنى المحوري</w:t>
            </w:r>
          </w:p>
        </w:tc>
        <w:tc>
          <w:tcPr>
            <w:tcW w:type="dxa" w:w="4649"/>
            <w:shd w:fill="1F4E79"/>
            <w:vAlign w:val="center"/>
          </w:tcPr>
          <w:p>
            <w:pPr>
              <w:jc w:val="center"/>
              <w:bidi w:val="1"/>
            </w:pPr>
            <w:r>
              <w:rPr>
                <w:rFonts w:ascii="Noto Kufi Arabic" w:hAnsi="Noto Kufi Arabic" w:cs="Noto Kufi Arabic"/>
                <w:b/>
                <w:color w:val="FFFFFF"/>
                <w:sz w:val="18"/>
              </w:rPr>
              <w:t>التطبيق على الإنسان</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الأصل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أن اشكر لله</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التربية بتفسير النعمة ومسؤوليتها.</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المرجع</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تشرك بالله</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وحّد مركز القرار قبل كثرة التعليمات.</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معرفة الفضل</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حملته أمه وهنا على وهن</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حوّل البر إلى وعي بالتضحية.</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الحدود</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فلا تطعهما وصاحبهما معروفا</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ارفض الخطأ دون هدم العلاقة.</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الضمير</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مثقال حبة من خردل</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رقابة لا تعتمد على وجود الناس.</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العبادة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يا بني أقم الصلاة</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ثبّت اتصالًا يعيد ترتيب الداخل.</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المسؤولية</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وأمر بالمعروف</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تحبس القيمة داخل الذات.</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التحمل</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واصبر على ما أصابك</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توقع تكلفة الإصلاح واستعد لها.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التواضع</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ولا تصعر خدك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راقب لغة الجسد لا الكلمات فقط.</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الاعتدال</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واقصد في مشيك</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اختر حضورًا متوازنًا.</w:t>
            </w:r>
          </w:p>
        </w:tc>
      </w:tr>
      <w:tr>
        <w:trPr>
          <w:cantSplit/>
        </w:trPr>
        <w:tc>
          <w:tcPr>
            <w:tcW w:type="dxa" w:w="2041"/>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ضبط الصوت</w:t>
            </w:r>
          </w:p>
        </w:tc>
        <w:tc>
          <w:tcPr>
            <w:tcW w:type="dxa" w:w="2835"/>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واغضض من صوتك</w:t>
            </w:r>
          </w:p>
        </w:tc>
        <w:tc>
          <w:tcPr>
            <w:tcW w:type="dxa" w:w="4649"/>
            <w:vAlign w:val="center"/>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اجعل قوة الحجة تغني عن الضجيج.</w:t>
            </w:r>
          </w:p>
        </w:tc>
      </w:tr>
      <w:tr>
        <w:trPr>
          <w:cantSplit/>
        </w:trPr>
        <w:tc>
          <w:tcPr>
            <w:tcW w:type="dxa" w:w="2041"/>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العاقبة والعبرة</w:t>
            </w:r>
          </w:p>
        </w:tc>
        <w:tc>
          <w:tcPr>
            <w:tcW w:type="dxa" w:w="2835"/>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المآل الذي يقرره السياق</w:t>
            </w:r>
          </w:p>
        </w:tc>
        <w:tc>
          <w:tcPr>
            <w:tcW w:type="dxa" w:w="4649"/>
            <w:vAlign w:val="center"/>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اربط المآل بالقرارات السابقة ولا تعزله عن مساره.</w:t>
            </w:r>
          </w:p>
        </w:tc>
      </w:tr>
    </w:tbl>
    <w:p>
      <w:pPr>
        <w:spacing w:before="160" w:after="100"/>
        <w:jc w:val="right"/>
        <w:bidi w:val="1"/>
      </w:pPr>
      <w:r>
        <w:rPr>
          <w:rFonts w:ascii="Noto Kufi Arabic" w:hAnsi="Noto Kufi Arabic" w:cs="Noto Kufi Arabic"/>
          <w:b/>
          <w:color w:val="1F4E79"/>
          <w:sz w:val="28"/>
        </w:rPr>
        <w:t>التطبيقات العملية</w:t>
      </w:r>
    </w:p>
    <w:tbl>
      <w:tblPr>
        <w:tblW w:type="auto" w:w="0"/>
        <w:jc w:val="center"/>
        <w:tblLayout w:type="fixed"/>
        <w:tblLook w:firstColumn="1" w:firstRow="1" w:lastColumn="0" w:lastRow="0" w:noHBand="0" w:noVBand="1" w:val="04A0"/>
      </w:tblPr>
      <w:tblGrid>
        <w:gridCol w:w="5131"/>
        <w:gridCol w:w="5131"/>
      </w:tblGrid>
      <w:tr>
        <w:trPr>
          <w:tblHeader w:val="true"/>
        </w:trPr>
        <w:tc>
          <w:tcPr>
            <w:tcW w:type="dxa" w:w="1871"/>
            <w:shd w:fill="1F4E79"/>
          </w:tcPr>
          <w:p>
            <w:pPr>
              <w:jc w:val="center"/>
              <w:bidi w:val="1"/>
            </w:pPr>
            <w:r>
              <w:rPr>
                <w:rFonts w:ascii="Noto Kufi Arabic" w:hAnsi="Noto Kufi Arabic" w:cs="Noto Kufi Arabic"/>
                <w:b/>
                <w:color w:val="FFFFFF"/>
                <w:sz w:val="19"/>
              </w:rPr>
              <w:t>المجال</w:t>
            </w:r>
          </w:p>
        </w:tc>
        <w:tc>
          <w:tcPr>
            <w:tcW w:type="dxa" w:w="7654"/>
            <w:shd w:fill="1F4E79"/>
          </w:tcPr>
          <w:p>
            <w:pPr>
              <w:jc w:val="center"/>
              <w:bidi w:val="1"/>
            </w:pPr>
            <w:r>
              <w:rPr>
                <w:rFonts w:ascii="Noto Kufi Arabic" w:hAnsi="Noto Kufi Arabic" w:cs="Noto Kufi Arabic"/>
                <w:b/>
                <w:color w:val="FFFFFF"/>
                <w:sz w:val="19"/>
              </w:rPr>
              <w:t>التطبيق</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الحياة الشخصية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راجع النعمة يوميًا وحدد واجبًا عمليًا يقابلها.</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الأسرة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ابدأ الحوار بالقيم الكبرى واستخدم قربًا رحيمًا لا أوامر باردة.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القيادة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ضع حدودًا أخلاقية واضحة مع الحفاظ على الاحترام والعلاقات.</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الإدارة</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ابن ضوابط داخلية وثقافة نزاهة لا تعتمد فقط على الرقابة الخارجية.</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أخلاقيات العمل</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لا تستخدم الطاعة التنظيمية لتبرير مخالفة المبدأ.</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المجتمع</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اجمع الإصلاح والصبر وتجنب خطاب التعالي والصخب.</w:t>
            </w:r>
          </w:p>
        </w:tc>
      </w:tr>
      <w:tr>
        <w:trPr>
          <w:cantSplit/>
        </w:trPr>
        <w:tc>
          <w:tcPr>
            <w:tcW w:type="dxa" w:w="187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الدعوة</w:t>
            </w:r>
          </w:p>
        </w:tc>
        <w:tc>
          <w:tcPr>
            <w:tcW w:type="dxa" w:w="7654"/>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رتب الخطاب من التوحيد إلى السلوك، ووازن بين الحق والصحبة بالمعروف.</w:t>
            </w:r>
          </w:p>
        </w:tc>
      </w:tr>
      <w:tr>
        <w:trPr>
          <w:cantSplit/>
        </w:trPr>
        <w:tc>
          <w:tcPr>
            <w:tcW w:type="dxa" w:w="187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8"/>
              </w:rPr>
              <w:t>التعليم</w:t>
            </w:r>
          </w:p>
        </w:tc>
        <w:tc>
          <w:tcPr>
            <w:tcW w:type="dxa" w:w="7654"/>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8"/>
              </w:rPr>
              <w:t>صمم المناهج كتدرج: معنى، ضمير، عبادة، مسؤولية، سلوك ظاهر.</w:t>
            </w:r>
          </w:p>
        </w:tc>
      </w:tr>
    </w:tbl>
    <w:p>
      <w:pPr>
        <w:spacing w:before="160" w:after="100"/>
        <w:jc w:val="right"/>
        <w:bidi w:val="1"/>
      </w:pPr>
      <w:r>
        <w:rPr>
          <w:rFonts w:ascii="Noto Kufi Arabic" w:hAnsi="Noto Kufi Arabic" w:cs="Noto Kufi Arabic"/>
          <w:b/>
          <w:color w:val="1F4E79"/>
          <w:sz w:val="28"/>
        </w:rPr>
        <w:t>ضوابط الفهم والاستنباط</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القرآن يصف لقمان بالحكمة ولا يصرح بنبوته؛ فلا يجزم بما لم يجزم به النص.</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المعروف في صحبة الوالدين لا يعني طاعتهما في المعصية، كما لا يبرر الإساءة إليهما عند الاختلاف.</w:t>
      </w:r>
    </w:p>
    <w:p>
      <w:pPr>
        <w:jc w:val="right"/>
        <w:bidi w:val="1"/>
      </w:pPr>
      <w:r>
        <w:rPr>
          <w:rFonts w:ascii="Noto Naskh Arabic" w:hAnsi="Noto Naskh Arabic" w:cs="Noto Naskh Arabic"/>
          <w:b/>
          <w:color w:val="B8860B"/>
          <w:sz w:val="20"/>
        </w:rPr>
        <w:t xml:space="preserve">• </w:t>
      </w:r>
      <w:r>
        <w:rPr>
          <w:rFonts w:ascii="Noto Naskh Arabic" w:hAnsi="Noto Naskh Arabic" w:cs="Noto Naskh Arabic"/>
          <w:b w:val="0"/>
          <w:color w:val="1F2937"/>
          <w:sz w:val="20"/>
        </w:rPr>
        <w:t>ترجمة المنهج إلى ثقافة مؤسسية استنباط تطبيقي، ولا يلغي خصوصية التربية الإيمانية والأسرية.</w:t>
      </w:r>
    </w:p>
    <w:p>
      <w:pPr>
        <w:spacing w:before="160" w:after="100"/>
        <w:jc w:val="right"/>
        <w:bidi w:val="1"/>
      </w:pPr>
      <w:r>
        <w:rPr>
          <w:rFonts w:ascii="Noto Kufi Arabic" w:hAnsi="Noto Kufi Arabic" w:cs="Noto Kufi Arabic"/>
          <w:b/>
          <w:color w:val="1F4E79"/>
          <w:sz w:val="28"/>
        </w:rPr>
        <w:t>تقرير ضبط الجودة</w:t>
      </w:r>
    </w:p>
    <w:tbl>
      <w:tblPr>
        <w:tblW w:type="auto" w:w="0"/>
        <w:jc w:val="center"/>
        <w:tblLayout w:type="fixed"/>
        <w:tblLook w:firstColumn="1" w:firstRow="1" w:lastColumn="0" w:lastRow="0" w:noHBand="0" w:noVBand="1" w:val="04A0"/>
      </w:tblPr>
      <w:tblGrid>
        <w:gridCol w:w="2052"/>
        <w:gridCol w:w="2052"/>
        <w:gridCol w:w="2052"/>
        <w:gridCol w:w="2052"/>
        <w:gridCol w:w="2052"/>
      </w:tblGrid>
      <w:tr>
        <w:trPr>
          <w:tblHeader w:val="true"/>
        </w:trPr>
        <w:tc>
          <w:tcPr>
            <w:tcW w:type="dxa" w:w="1247"/>
            <w:shd w:fill="1F4E79"/>
          </w:tcPr>
          <w:p>
            <w:pPr>
              <w:jc w:val="center"/>
              <w:bidi w:val="1"/>
            </w:pPr>
            <w:r>
              <w:rPr>
                <w:rFonts w:ascii="Noto Kufi Arabic" w:hAnsi="Noto Kufi Arabic" w:cs="Noto Kufi Arabic"/>
                <w:b/>
                <w:color w:val="FFFFFF"/>
                <w:sz w:val="16"/>
              </w:rPr>
              <w:t>المراجعة</w:t>
            </w:r>
          </w:p>
        </w:tc>
        <w:tc>
          <w:tcPr>
            <w:tcW w:type="dxa" w:w="1701"/>
            <w:shd w:fill="1F4E79"/>
          </w:tcPr>
          <w:p>
            <w:pPr>
              <w:jc w:val="center"/>
              <w:bidi w:val="1"/>
            </w:pPr>
            <w:r>
              <w:rPr>
                <w:rFonts w:ascii="Noto Kufi Arabic" w:hAnsi="Noto Kufi Arabic" w:cs="Noto Kufi Arabic"/>
                <w:b/>
                <w:color w:val="FFFFFF"/>
                <w:sz w:val="16"/>
              </w:rPr>
              <w:t>المعيار</w:t>
            </w:r>
          </w:p>
        </w:tc>
        <w:tc>
          <w:tcPr>
            <w:tcW w:type="dxa" w:w="850"/>
            <w:shd w:fill="1F4E79"/>
          </w:tcPr>
          <w:p>
            <w:pPr>
              <w:jc w:val="center"/>
              <w:bidi w:val="1"/>
            </w:pPr>
            <w:r>
              <w:rPr>
                <w:rFonts w:ascii="Noto Kufi Arabic" w:hAnsi="Noto Kufi Arabic" w:cs="Noto Kufi Arabic"/>
                <w:b/>
                <w:color w:val="FFFFFF"/>
                <w:sz w:val="16"/>
              </w:rPr>
              <w:t>الإنجاز</w:t>
            </w:r>
          </w:p>
        </w:tc>
        <w:tc>
          <w:tcPr>
            <w:tcW w:type="dxa" w:w="3458"/>
            <w:shd w:fill="1F4E79"/>
          </w:tcPr>
          <w:p>
            <w:pPr>
              <w:jc w:val="center"/>
              <w:bidi w:val="1"/>
            </w:pPr>
            <w:r>
              <w:rPr>
                <w:rFonts w:ascii="Noto Kufi Arabic" w:hAnsi="Noto Kufi Arabic" w:cs="Noto Kufi Arabic"/>
                <w:b/>
                <w:color w:val="FFFFFF"/>
                <w:sz w:val="16"/>
              </w:rPr>
              <w:t>لماذا لم يصل إلى 100%؟</w:t>
            </w:r>
          </w:p>
        </w:tc>
        <w:tc>
          <w:tcPr>
            <w:tcW w:type="dxa" w:w="2268"/>
            <w:shd w:fill="1F4E79"/>
          </w:tcPr>
          <w:p>
            <w:pPr>
              <w:jc w:val="center"/>
              <w:bidi w:val="1"/>
            </w:pPr>
            <w:r>
              <w:rPr>
                <w:rFonts w:ascii="Noto Kufi Arabic" w:hAnsi="Noto Kufi Arabic" w:cs="Noto Kufi Arabic"/>
                <w:b/>
                <w:color w:val="FFFFFF"/>
                <w:sz w:val="16"/>
              </w:rPr>
              <w:t>الإجراء المتبقي</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1</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الدقة القرآنية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99.6%</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مطابقة السور والآيات والنص آليًا، ويبقى التدقيق المصحفي البشري النهائي للرسم وعلامات الوقف قبل النشر الرسمي.</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مصحفية نهائية.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2</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التفسير</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98.6%</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في ظلال القرآن هو المرجع الرئيس، لكن بعض المواضع تحتمل أوجهًا تفسيرية معتبرة، والصياغة هنا خلاصة أصلية لا استنساخًا للتفسير.</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علمية متخصصة لمواضع الاحتمال.</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3</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تدفق القصة متماسك، وقد تتطلب المراجعة النهائية للسلسلة كاملة اختصار انتقالات أو توحيد بعض المصطلحات.</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تدفق المجموعة كاملة.</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4</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منطق قصة إبليس</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99.3%</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حُفظ منطق قصة إبليس في الانتقال من المؤثر إلى التفكير والقرار والسلوك والعاقبة، مع مرونة تفرضها طبيعة كل قصة.</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اتساق القالب بعد اكتمال السلسلة.</w:t>
            </w:r>
          </w:p>
        </w:tc>
      </w:tr>
      <w:tr>
        <w:trPr>
          <w:cantSplit/>
        </w:trPr>
        <w:tc>
          <w:tcPr>
            <w:tcW w:type="dxa" w:w="1247"/>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5</w:t>
            </w:r>
          </w:p>
        </w:tc>
        <w:tc>
          <w:tcPr>
            <w:tcW w:type="dxa" w:w="1701"/>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الصقل اللغوي</w:t>
            </w:r>
          </w:p>
        </w:tc>
        <w:tc>
          <w:tcPr>
            <w:tcW w:type="dxa" w:w="850"/>
            <w:shd w:fill="F7FAFD"/>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99.0%</w:t>
            </w:r>
          </w:p>
        </w:tc>
        <w:tc>
          <w:tcPr>
            <w:tcW w:type="dxa" w:w="345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 الصقل في دورتين فعليتين، ومع ذلك قد يضيف محرر عربي متخصص تحسينات دقيقة في الإيقاع والترقيم.</w:t>
            </w:r>
          </w:p>
        </w:tc>
        <w:tc>
          <w:tcPr>
            <w:tcW w:type="dxa" w:w="2268"/>
            <w:shd w:fill="F7FAFD"/>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تدقيق لغوي بشري نهائي.</w:t>
            </w:r>
          </w:p>
        </w:tc>
      </w:tr>
      <w:tr>
        <w:trPr>
          <w:cantSplit/>
        </w:trPr>
        <w:tc>
          <w:tcPr>
            <w:tcW w:type="dxa" w:w="1247"/>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color w:val="1F4E79"/>
                <w:sz w:val="17"/>
              </w:rPr>
              <w:t>المراجعة 6</w:t>
            </w:r>
          </w:p>
        </w:tc>
        <w:tc>
          <w:tcPr>
            <w:tcW w:type="dxa" w:w="1701"/>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اتساق إطار المشروع</w:t>
            </w:r>
          </w:p>
        </w:tc>
        <w:tc>
          <w:tcPr>
            <w:tcW w:type="dxa" w:w="850"/>
            <w:shd w:fill="DCE6F1"/>
            <w:tcBorders>
              <w:top w:val="single" w:sz="4" w:color="9FBAD0"/>
              <w:left w:val="single" w:sz="4" w:color="9FBAD0"/>
              <w:bottom w:val="single" w:sz="4" w:color="9FBAD0"/>
              <w:right w:val="single" w:sz="4" w:color="9FBAD0"/>
            </w:tcBorders>
          </w:tcPr>
          <w:p>
            <w:pPr>
              <w:jc w:val="center"/>
              <w:bidi w:val="1"/>
            </w:pPr>
            <w:r>
              <w:rPr>
                <w:rFonts w:ascii="Noto Naskh Arabic" w:hAnsi="Noto Naskh Arabic" w:cs="Noto Naskh Arabic"/>
                <w:b/>
                <w:color w:val="1F4E79"/>
                <w:sz w:val="17"/>
              </w:rPr>
              <w:t>99.2%</w:t>
            </w:r>
          </w:p>
        </w:tc>
        <w:tc>
          <w:tcPr>
            <w:tcW w:type="dxa" w:w="345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تمت المطابقة مع القيمة والمهارة والهدف في Excel، وتبقى مراجعة شاملة بعد اكتمال جميع قصص المشروع.</w:t>
            </w:r>
          </w:p>
        </w:tc>
        <w:tc>
          <w:tcPr>
            <w:tcW w:type="dxa" w:w="2268"/>
            <w:shd w:fill="DCE6F1"/>
            <w:tcBorders>
              <w:top w:val="single" w:sz="4" w:color="9FBAD0"/>
              <w:left w:val="single" w:sz="4" w:color="9FBAD0"/>
              <w:bottom w:val="single" w:sz="4" w:color="9FBAD0"/>
              <w:right w:val="single" w:sz="4" w:color="9FBAD0"/>
            </w:tcBorders>
          </w:tcPr>
          <w:p>
            <w:pPr>
              <w:jc w:val="right"/>
              <w:bidi w:val="1"/>
            </w:pPr>
            <w:r>
              <w:rPr>
                <w:rFonts w:ascii="Noto Naskh Arabic" w:hAnsi="Noto Naskh Arabic" w:cs="Noto Naskh Arabic"/>
                <w:b w:val="0"/>
                <w:color w:val="1F2937"/>
                <w:sz w:val="17"/>
              </w:rPr>
              <w:t>مراجعة موحدة مع Excel وبقية القصص.</w:t>
            </w:r>
          </w:p>
        </w:tc>
      </w:tr>
      <w:tr>
        <w:trPr>
          <w:cantSplit/>
        </w:trPr>
        <w:tc>
          <w:tcPr>
            <w:tcW w:type="dxa" w:w="1247"/>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النتيجة</w:t>
            </w:r>
          </w:p>
        </w:tc>
        <w:tc>
          <w:tcPr>
            <w:tcW w:type="dxa" w:w="1701"/>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الجاهزية الإجمالية</w:t>
            </w:r>
          </w:p>
        </w:tc>
        <w:tc>
          <w:tcPr>
            <w:tcW w:type="dxa" w:w="850"/>
            <w:shd w:fill="FFF7E3"/>
            <w:tcBorders>
              <w:top w:val="single" w:sz="7" w:color="D6B656"/>
              <w:left w:val="single" w:sz="7" w:color="D6B656"/>
              <w:bottom w:val="single" w:sz="7" w:color="D6B656"/>
              <w:right w:val="single" w:sz="7" w:color="D6B656"/>
            </w:tcBorders>
          </w:tcPr>
          <w:p>
            <w:pPr>
              <w:jc w:val="center"/>
              <w:bidi w:val="1"/>
            </w:pPr>
            <w:r>
              <w:rPr>
                <w:rFonts w:ascii="Noto Naskh Arabic" w:hAnsi="Noto Naskh Arabic" w:cs="Noto Naskh Arabic"/>
                <w:b/>
                <w:color w:val="B8860B"/>
                <w:sz w:val="17"/>
              </w:rPr>
              <w:t>99.2%</w:t>
            </w:r>
          </w:p>
        </w:tc>
        <w:tc>
          <w:tcPr>
            <w:tcW w:type="dxa" w:w="345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تظل المراجعة البشرية المتخصصة قبل النشر النهائي جزءًا من الحوكمة العلمية.</w:t>
            </w:r>
          </w:p>
        </w:tc>
        <w:tc>
          <w:tcPr>
            <w:tcW w:type="dxa" w:w="2268"/>
            <w:shd w:fill="FFF7E3"/>
            <w:tcBorders>
              <w:top w:val="single" w:sz="7" w:color="D6B656"/>
              <w:left w:val="single" w:sz="7" w:color="D6B656"/>
              <w:bottom w:val="single" w:sz="7" w:color="D6B656"/>
              <w:right w:val="single" w:sz="7" w:color="D6B656"/>
            </w:tcBorders>
          </w:tcPr>
          <w:p>
            <w:pPr>
              <w:jc w:val="right"/>
              <w:bidi w:val="1"/>
            </w:pPr>
            <w:r>
              <w:rPr>
                <w:rFonts w:ascii="Noto Naskh Arabic" w:hAnsi="Noto Naskh Arabic" w:cs="Noto Naskh Arabic"/>
                <w:b/>
                <w:color w:val="1F2937"/>
                <w:sz w:val="17"/>
              </w:rPr>
              <w:t>مراجعة نهائية موحدة للمجموعة كاملة.</w:t>
            </w:r>
          </w:p>
        </w:tc>
      </w:tr>
    </w:tbl>
    <w:p>
      <w:pPr>
        <w:spacing w:before="120" w:after="60"/>
        <w:jc w:val="right"/>
        <w:bidi w:val="1"/>
      </w:pPr>
      <w:r>
        <w:rPr>
          <w:rFonts w:ascii="Noto Naskh Arabic" w:hAnsi="Noto Naskh Arabic" w:cs="Noto Naskh Arabic"/>
          <w:b/>
          <w:color w:val="B8860B"/>
          <w:sz w:val="24"/>
        </w:rPr>
        <w:t>سجل التحسين التكراري</w:t>
      </w:r>
    </w:p>
    <w:tbl>
      <w:tblPr>
        <w:tblW w:type="auto" w:w="0"/>
        <w:jc w:val="center"/>
        <w:tblLook w:firstColumn="1" w:firstRow="1" w:lastColumn="0" w:lastRow="0" w:noHBand="0" w:noVBand="1" w:val="04A0"/>
      </w:tblPr>
      <w:tblGrid>
        <w:gridCol w:w="3421"/>
        <w:gridCol w:w="3421"/>
        <w:gridCol w:w="3421"/>
      </w:tblGrid>
      <w:tr>
        <w:trPr>
          <w:tblHeader w:val="true"/>
        </w:trPr>
        <w:tc>
          <w:tcPr>
            <w:tcW w:type="dxa" w:w="3421"/>
            <w:shd w:fill="1F4E79"/>
          </w:tcPr>
          <w:p>
            <w:pPr>
              <w:jc w:val="center"/>
              <w:bidi w:val="1"/>
            </w:pPr>
            <w:r>
              <w:rPr>
                <w:rFonts w:ascii="Noto Kufi Arabic" w:hAnsi="Noto Kufi Arabic" w:cs="Noto Kufi Arabic"/>
                <w:b/>
                <w:color w:val="FFFFFF"/>
                <w:sz w:val="17"/>
              </w:rPr>
              <w:t>الدورة</w:t>
            </w:r>
          </w:p>
        </w:tc>
        <w:tc>
          <w:tcPr>
            <w:tcW w:type="dxa" w:w="3421"/>
            <w:shd w:fill="1F4E79"/>
          </w:tcPr>
          <w:p>
            <w:pPr>
              <w:jc w:val="center"/>
              <w:bidi w:val="1"/>
            </w:pPr>
            <w:r>
              <w:rPr>
                <w:rFonts w:ascii="Noto Kufi Arabic" w:hAnsi="Noto Kufi Arabic" w:cs="Noto Kufi Arabic"/>
                <w:b/>
                <w:color w:val="FFFFFF"/>
                <w:sz w:val="17"/>
              </w:rPr>
              <w:t>ما تم فحصه وتحسينه</w:t>
            </w:r>
          </w:p>
        </w:tc>
        <w:tc>
          <w:tcPr>
            <w:tcW w:type="dxa" w:w="3421"/>
            <w:shd w:fill="1F4E79"/>
          </w:tcPr>
          <w:p>
            <w:pPr>
              <w:jc w:val="center"/>
              <w:bidi w:val="1"/>
            </w:pPr>
            <w:r>
              <w:rPr>
                <w:rFonts w:ascii="Noto Kufi Arabic" w:hAnsi="Noto Kufi Arabic" w:cs="Noto Kufi Arabic"/>
                <w:b/>
                <w:color w:val="FFFFFF"/>
                <w:sz w:val="17"/>
              </w:rPr>
              <w:t>الأثر</w:t>
            </w:r>
          </w:p>
        </w:tc>
      </w:tr>
      <w:tr>
        <w:trPr>
          <w:cantSplit/>
        </w:trPr>
        <w:tc>
          <w:tcPr>
            <w:tcW w:type="dxa" w:w="3421"/>
            <w:shd w:fill="F7FAFD"/>
          </w:tcPr>
          <w:p>
            <w:pPr>
              <w:jc w:val="right"/>
              <w:bidi w:val="1"/>
            </w:pPr>
            <w:r>
              <w:rPr>
                <w:rFonts w:ascii="Noto Naskh Arabic" w:hAnsi="Noto Naskh Arabic" w:cs="Noto Naskh Arabic"/>
                <w:b w:val="0"/>
                <w:color w:val="1F2937"/>
                <w:sz w:val="18"/>
              </w:rPr>
              <w:t>الدورة الأولى</w:t>
            </w:r>
          </w:p>
        </w:tc>
        <w:tc>
          <w:tcPr>
            <w:tcW w:type="dxa" w:w="3421"/>
            <w:shd w:fill="F7FAFD"/>
          </w:tcPr>
          <w:p>
            <w:pPr>
              <w:jc w:val="right"/>
              <w:bidi w:val="1"/>
            </w:pPr>
            <w:r>
              <w:rPr>
                <w:rFonts w:ascii="Noto Naskh Arabic" w:hAnsi="Noto Naskh Arabic" w:cs="Noto Naskh Arabic"/>
                <w:b w:val="0"/>
                <w:color w:val="1F2937"/>
                <w:sz w:val="18"/>
              </w:rPr>
              <w:t>مطابقة الآيات والعناوين وتسلسل المقاطع، وتقوية الربط بين السبب والقرار والنتيجة.</w:t>
            </w:r>
          </w:p>
        </w:tc>
        <w:tc>
          <w:tcPr>
            <w:tcW w:type="dxa" w:w="3421"/>
            <w:shd w:fill="F7FAFD"/>
          </w:tcPr>
          <w:p>
            <w:pPr>
              <w:jc w:val="right"/>
              <w:bidi w:val="1"/>
            </w:pPr>
            <w:r>
              <w:rPr>
                <w:rFonts w:ascii="Noto Naskh Arabic" w:hAnsi="Noto Naskh Arabic" w:cs="Noto Naskh Arabic"/>
                <w:b w:val="0"/>
                <w:color w:val="1F2937"/>
                <w:sz w:val="18"/>
              </w:rPr>
              <w:t>رفع الدقة النصية وتماسك القصة.</w:t>
            </w:r>
          </w:p>
        </w:tc>
      </w:tr>
      <w:tr>
        <w:trPr>
          <w:cantSplit/>
        </w:trPr>
        <w:tc>
          <w:tcPr>
            <w:tcW w:type="dxa" w:w="3421"/>
            <w:shd w:fill="DCE6F1"/>
          </w:tcPr>
          <w:p>
            <w:pPr>
              <w:jc w:val="right"/>
              <w:bidi w:val="1"/>
            </w:pPr>
            <w:r>
              <w:rPr>
                <w:rFonts w:ascii="Noto Naskh Arabic" w:hAnsi="Noto Naskh Arabic" w:cs="Noto Naskh Arabic"/>
                <w:b w:val="0"/>
                <w:color w:val="1F2937"/>
                <w:sz w:val="18"/>
              </w:rPr>
              <w:t>الدورة الثانية</w:t>
            </w:r>
          </w:p>
        </w:tc>
        <w:tc>
          <w:tcPr>
            <w:tcW w:type="dxa" w:w="3421"/>
            <w:shd w:fill="DCE6F1"/>
          </w:tcPr>
          <w:p>
            <w:pPr>
              <w:jc w:val="right"/>
              <w:bidi w:val="1"/>
            </w:pPr>
            <w:r>
              <w:rPr>
                <w:rFonts w:ascii="Noto Naskh Arabic" w:hAnsi="Noto Naskh Arabic" w:cs="Noto Naskh Arabic"/>
                <w:b w:val="0"/>
                <w:color w:val="1F2937"/>
                <w:sz w:val="18"/>
              </w:rPr>
              <w:t>مقارنة القالب بقصة إبليس، وصقل اللغة والجداول والتطبيقات وضبط التصميم.</w:t>
            </w:r>
          </w:p>
        </w:tc>
        <w:tc>
          <w:tcPr>
            <w:tcW w:type="dxa" w:w="3421"/>
            <w:shd w:fill="DCE6F1"/>
          </w:tcPr>
          <w:p>
            <w:pPr>
              <w:jc w:val="right"/>
              <w:bidi w:val="1"/>
            </w:pPr>
            <w:r>
              <w:rPr>
                <w:rFonts w:ascii="Noto Naskh Arabic" w:hAnsi="Noto Naskh Arabic" w:cs="Noto Naskh Arabic"/>
                <w:b w:val="0"/>
                <w:color w:val="1F2937"/>
                <w:sz w:val="18"/>
              </w:rPr>
              <w:t>رفع الاتساق والوضوح والجاهزية للتسليم.</w:t>
            </w:r>
          </w:p>
        </w:tc>
      </w:tr>
    </w:tbl>
    <w:p>
      <w:pPr>
        <w:spacing w:before="120" w:after="60"/>
        <w:jc w:val="right"/>
        <w:bidi w:val="1"/>
      </w:pPr>
      <w:r>
        <w:rPr>
          <w:rFonts w:ascii="Noto Naskh Arabic" w:hAnsi="Noto Naskh Arabic" w:cs="Noto Naskh Arabic"/>
          <w:b/>
          <w:color w:val="B8860B"/>
          <w:sz w:val="24"/>
        </w:rPr>
        <w:t>المراجع والمنهج</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القرآن الكريم - أصل النص، مع إثبات المقاطع وفق ترتيب ملف Excel ومراجعة صحة نطاق السور والآيات.</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سيد قطب، في ظلال القرآن - المرجع التفسيري الرئيس لقراءة وحدة السياق والحركة الإيمانية والنفسية والاجتماعية.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الطبري، ابن كثير، القرطبي، السعدي - مراجع مساندة لضبط المعنى المشهور ومواضع الاحتمال عند الحاجة.</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التحليل النفسي والقيادي والإداري والتطبيقات المعاصرة صياغة أصلية ضمن إطار المشروع، وليست نقلاً حرفيًا من التفسير.</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المرجع الإلكتروني المستخدم للمراجعة: https://islamweb.net/ar/library/content/210/900/</w:t>
      </w:r>
    </w:p>
    <w:p>
      <w:pPr>
        <w:jc w:val="right"/>
        <w:bidi w:val="1"/>
      </w:pPr>
      <w:r>
        <w:rPr>
          <w:rFonts w:ascii="Noto Naskh Arabic" w:hAnsi="Noto Naskh Arabic" w:cs="Noto Naskh Arabic"/>
          <w:b/>
          <w:color w:val="B8860B"/>
          <w:sz w:val="19"/>
        </w:rPr>
        <w:t xml:space="preserve">• </w:t>
      </w:r>
      <w:r>
        <w:rPr>
          <w:rFonts w:ascii="Noto Naskh Arabic" w:hAnsi="Noto Naskh Arabic" w:cs="Noto Naskh Arabic"/>
          <w:b w:val="0"/>
          <w:color w:val="1F2937"/>
          <w:sz w:val="19"/>
        </w:rPr>
        <w:t>تم تجنب الإسرائيليات والتفاصيل التاريخية غير اللازمة، وحفظ الفرق بين دلالة النص والاستنباط التطبيقي.</w:t>
      </w:r>
    </w:p>
    <w:sectPr w:rsidR="00FC693F" w:rsidRPr="0006063C" w:rsidSect="00034616">
      <w:headerReference w:type="default" r:id="rId9"/>
      <w:footerReference w:type="default" r:id="rId10"/>
      <w:pgSz w:w="11906" w:h="16838"/>
      <w:pgMar w:top="765" w:right="822" w:bottom="765"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Noto Naskh Arabic" w:hAnsi="Noto Naskh Arabic" w:cs="Noto Naskh Arabic"/>
        <w:b w:val="0"/>
        <w:color w:val="6B7280"/>
        <w:sz w:val="16"/>
      </w:rPr>
      <w:t>إعداد وتحليل | أحمد لبيب</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bidi w:val="1"/>
    </w:pPr>
    <w:r>
      <w:rPr>
        <w:rFonts w:ascii="Noto Kufi Arabic" w:hAnsi="Noto Kufi Arabic" w:cs="Noto Kufi Arabic"/>
        <w:b/>
        <w:color w:val="1F4E79"/>
        <w:sz w:val="17"/>
      </w:rPr>
      <w:t>قصص القرآن | قراءة تدبرية تطبيقية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Noto Naskh Arabic" w:hAnsi="Noto Naskh Arabic" w:cs="Noto Naskh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لقمان</dc:title>
  <dc:subject>قصص القرآن - قراءة تدبرية تطبيقية</dc:subject>
  <dc:creator>أحمد لبيب</dc:creator>
  <cp:keywords>القرآن، القصص القرآني، في ظلال القرآن، تدبر، أخلاق، قيادة، إدارة</cp:keywords>
  <dc:description>generated by python-docx</dc:description>
  <cp:lastModifiedBy/>
  <cp:revision>1</cp:revision>
  <dcterms:created xsi:type="dcterms:W3CDTF">2013-12-23T23:15:00Z</dcterms:created>
  <dcterms:modified xsi:type="dcterms:W3CDTF">2013-12-23T23:15:00Z</dcterms:modified>
  <cp:category/>
</cp:coreProperties>
</file>