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030</w:t>
      </w:r>
    </w:p>
    <w:p>
      <w:pPr>
        <w:jc w:val="center"/>
        <w:bidi w:val="1"/>
      </w:pPr>
      <w:r>
        <w:rPr>
          <w:rFonts w:ascii="Noto Kufi Arabic" w:hAnsi="Noto Kufi Arabic" w:cs="Noto Kufi Arabic"/>
          <w:b/>
          <w:color w:val="1F4E79"/>
          <w:sz w:val="48"/>
        </w:rPr>
        <w:t>أصحاب السبت</w:t>
      </w:r>
    </w:p>
    <w:p>
      <w:pPr>
        <w:jc w:val="center"/>
        <w:bidi w:val="1"/>
      </w:pPr>
      <w:r>
        <w:rPr>
          <w:rFonts w:ascii="Noto Naskh Arabic" w:hAnsi="Noto Naskh Arabic" w:cs="Noto Naskh Arabic"/>
          <w:b/>
          <w:color w:val="B8860B"/>
          <w:sz w:val="28"/>
        </w:rPr>
        <w:t>التحايل الذي يحافظ على شكل القانون ليهدم معناه من الداخل</w:t>
      </w:r>
    </w:p>
    <w:p>
      <w:pPr>
        <w:jc w:val="center"/>
        <w:bidi w:val="1"/>
      </w:pPr>
      <w:r>
        <w:rPr>
          <w:rFonts w:ascii="Noto Naskh Arabic" w:hAnsi="Noto Naskh Arabic" w:cs="Noto Naskh Arabic"/>
          <w:b w:val="0"/>
          <w:color w:val="1F2937"/>
          <w:sz w:val="21"/>
        </w:rPr>
        <w:t>القيمة المحورية: الالتزام بالقيم ورفض الهندسة الشكلية للمعصية  |  التصنيف: أخلاق</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البقرة: الآية 65 | النساء: الآية 47 | الأعراف: من الآية 163 إلى الآية 166</w:t>
      </w:r>
    </w:p>
    <w:p>
      <w:r>
        <w:br w:type="page"/>
      </w:r>
    </w:p>
    <w:p>
      <w:pPr>
        <w:jc w:val="center"/>
        <w:bidi w:val="1"/>
      </w:pPr>
      <w:r>
        <w:rPr>
          <w:rFonts w:ascii="Noto Naskh Arabic" w:hAnsi="Noto Naskh Arabic" w:cs="Noto Naskh Arabic"/>
          <w:b w:val="0"/>
          <w:color w:val="6B7280"/>
          <w:sz w:val="17"/>
        </w:rPr>
        <w:t>ترتيب القصة في ملف Excel: 31</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الخطر ليس في مخالفة ظاهرة فقط؛ بل في بناء حيلة تمنح الضمير شعور الطاعة بينما تُفرغ الأمر من مقصده، ثم تحويل الحيلة إلى عرف يدافع عنه المجتمع.</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يكتشف الإنسان أنه لم يطع القيمة، بل أعاد تصميم الشكل حتى يحصل على المصلحة نفسها دون مواجهة ضميره؟</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رغبة واختبار → فسق سابق → تحايل واعتداء → تطبيع اجتماعي → وعظ ومساءلة → نسيان التذكير → عتو → عقوبة وخزي.</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البقرة - الآية 65</w:t>
            </w:r>
          </w:p>
          <w:p>
            <w:pPr>
              <w:jc w:val="both"/>
              <w:bidi w:val="1"/>
            </w:pPr>
            <w:r>
              <w:rPr>
                <w:rFonts w:ascii="Amiri Quran" w:hAnsi="Amiri Quran" w:cs="Amiri Quran"/>
                <w:b w:val="0"/>
                <w:color w:val="1F2937"/>
                <w:sz w:val="20"/>
              </w:rPr>
              <w:t>وَلَقَد عَلِمتُمُ الَّذينَ اعتَدَوا مِنكُم فِي السَّبتِ فَقُلنا لَهُم كونوا قِرَدَةً خاسِئينَ ﴿٦٥﴾</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ذكّر القرآن بني إسرائيل بمن اعتدوا في السبت فجاء المسخ خزيًا؛ فالعقوبة ارتبطت بالاعتداء المتعمد على الحد المعروف.</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الاختصار في البقرة يحول الواقعة إلى ذاكرة أخلاقية حاضرة، لا إلى فضول في تفاصيل المكان والطريقة.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النساء - الآية 47</w:t>
            </w:r>
          </w:p>
          <w:p>
            <w:pPr>
              <w:jc w:val="both"/>
              <w:bidi w:val="1"/>
            </w:pPr>
            <w:r>
              <w:rPr>
                <w:rFonts w:ascii="Amiri Quran" w:hAnsi="Amiri Quran" w:cs="Amiri Quran"/>
                <w:b w:val="0"/>
                <w:color w:val="1F2937"/>
                <w:sz w:val="20"/>
              </w:rPr>
              <w:t>يا أَيُّهَا الَّذينَ أوتُوا الكِتابَ آمِنوا بِما نَزَّلنا مُصَدِّقًا لِما مَعَكُم مِن قَبلِ أَن نَطمِسَ وُجوهًا فَنَرُدَّها عَلىٰ أَدبارِها أَو نَلعَنَهُم كَما لَعَنّا أَصحابَ السَّبتِ ۚ وَكانَ أَمرُ اللَّهِ مَفعولًا ﴿٤٧﴾</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جاء التحذير من طمس الوجوه أو اللعن كما لُعن أصحاب السبت؛ فالقصة أصبحت معيارًا يوقظ من يكرر منطق الالتواء بعد قيام الحجة.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ربط السياق بين تصديق الوحي الجديد واحترام العهد السابق؛ من يتلاعب بالمبدأ القديم مهيأ لرفض الحق الجديد.</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الأعراف - الآيات من 163 إلى 166</w:t>
            </w:r>
          </w:p>
          <w:p>
            <w:pPr>
              <w:jc w:val="both"/>
              <w:bidi w:val="1"/>
            </w:pPr>
            <w:r>
              <w:rPr>
                <w:rFonts w:ascii="Amiri Quran" w:hAnsi="Amiri Quran" w:cs="Amiri Quran"/>
                <w:b w:val="0"/>
                <w:color w:val="1F2937"/>
                <w:sz w:val="20"/>
              </w:rPr>
              <w:t>وَاسأَلهُم عَنِ القَريَةِ الَّتي كانَت حاضِرَةَ البَحرِ إِذ يَعدونَ فِي السَّبتِ إِذ تَأتيهِم حيتانُهُم يَومَ سَبتِهِم شُرَّعًا وَيَومَ لا يَسبِتونَ ۙ لا تَأتيهِم ۚ كَذٰلِكَ نَبلوهُم بِما كانوا يَفسُقونَ ﴿١٦٣﴾ وَإِذ قالَت أُمَّةٌ مِنهُم لِمَ تَعِظونَ قَومًا ۙ اللَّهُ مُهلِكُهُم أَو مُعَذِّبُهُم عَذابًا شَديدًا ۖ قالوا مَعذِرَةً إِلىٰ رَبِّكُم وَلَعَلَّهُم يَتَّقونَ ﴿١٦٤﴾ فَلَمّا نَسوا ما ذُكِّروا بِهِ أَنجَينَا الَّذينَ يَنهَونَ عَنِ السّوءِ وَأَخَذنَا الَّذينَ ظَلَموا بِعَذابٍ بَئيسٍ بِما كانوا يَفسُقونَ ﴿١٦٥﴾ فَلَمّا عَتَوا عَن ما نُهوا عَنهُ قُلنا لَهُم كونوا قِرَدَةً خاسِئينَ ﴿١٦٦﴾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كانت القرية حاضرة البحر، وتأتي الحيتان يوم السبت ظاهرة ولا تأتي في غيره؛ فالاختبار جاء في نقطة الرغبة والحرمان.</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فسر السياق الابتلاء بفسقهم؛ فالامتحان كشف اتجاهًا سابقًا ولم يصنع الشر من فراغ.</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انقسم المجتمع إلى معتدين، وناهين عن السوء، وفئة تسأل عن جدوى الوعظ؛ فالأزمة الأخلاقية أنتجت مواقف اجتماعية مختلفة.</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قال الناهون معذرة إلى ربكم ولعلهم يتقون؛ فالإصلاح عندهم أداء أمانة وفتح لاحتمال الرجوع، لا ضمان للنتيجة.</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لما نُسي التذكير نجّى الله الذين ينهون عن السوء وأخذ الظالمين؛ فالموقف الفاعل من المنكر دخل في معيار النجاة المذكور.</w:t>
            </w:r>
          </w:p>
          <w:p>
            <w:pPr>
              <w:jc w:val="right"/>
              <w:bidi w:val="1"/>
            </w:pPr>
            <w:r>
              <w:rPr>
                <w:rFonts w:ascii="Noto Naskh Arabic" w:hAnsi="Noto Naskh Arabic" w:cs="Noto Naskh Arabic"/>
                <w:b/>
                <w:color w:val="B8860B"/>
                <w:sz w:val="20"/>
              </w:rPr>
              <w:t xml:space="preserve">6. </w:t>
            </w:r>
            <w:r>
              <w:rPr>
                <w:rFonts w:ascii="Noto Naskh Arabic" w:hAnsi="Noto Naskh Arabic" w:cs="Noto Naskh Arabic"/>
                <w:b w:val="0"/>
                <w:color w:val="1F2937"/>
                <w:sz w:val="20"/>
              </w:rPr>
              <w:t>عندما تجاوزوا العصيان إلى العتو جاء المسخ؛ العتو هو انتقال المخالفة إلى استكبار مستقر على الحد.</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ظهور الحيتان في يوم المنع جعل الاختبار مباشرًا عند نقطة المصلحة؛ القيم تُختبر عندما يصبح الالتزام مكلفًا لا عندما يوافق الرغبة.</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التحايل أخطر من الخطأ العابر لأنه يحشد الذكاء لخدمة الشهوة، ثم يمنح الفاعل لغة قانونية تحميه من الاعتراف.</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وصف الفعل بالاعتداء يعيد الحكم إلى جوهره: تجاوز الحد، مهما كان الشكل الخارجي مصممًا لإخفاء التجاوز.</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وجود فئة تنهى عن السوء يؤكد أن فساد البيئة لا يلغي مسؤولية الكلمة والموقف العملي.</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سؤال لم تعظون قد يصدر من يأس لا من رضا، لكنه يكشف خطر تحويل توقع الفشل إلى مبرر للصمت.</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جواب معذرة إلى ربكم يحرر المصلح من عبودية النتائج؛ عليه البلاغ المسؤول، وليس عليه ضمان استجابة الآخرين.</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النجاة صرحت بالذين ينهون عن السوء، فتجعل الحياد أمام التحايل المنظم موضع مراجعة، دون الجزم بما سكت عنه النص في شأن كل فئة.</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نسيان ما ذُكروا به ليس فقدان ذاكرة، بل إسقاط للذكر من القرار حتى تصبح المخالفة طبيعية.</w:t>
      </w:r>
    </w:p>
    <w:p>
      <w:pPr>
        <w:jc w:val="both"/>
        <w:bidi w:val="1"/>
      </w:pPr>
      <w:r>
        <w:rPr>
          <w:rFonts w:ascii="Noto Naskh Arabic" w:hAnsi="Noto Naskh Arabic" w:cs="Noto Naskh Arabic"/>
          <w:b/>
          <w:color w:val="B8860B"/>
          <w:sz w:val="21"/>
        </w:rPr>
        <w:t xml:space="preserve">9. </w:t>
      </w:r>
      <w:r>
        <w:rPr>
          <w:rFonts w:ascii="Noto Naskh Arabic" w:hAnsi="Noto Naskh Arabic" w:cs="Noto Naskh Arabic"/>
          <w:b w:val="0"/>
          <w:color w:val="1F2937"/>
          <w:sz w:val="21"/>
        </w:rPr>
        <w:t>العتو مرحلة يتوقف فيها الفاعل عن الشعور بالحاجة إلى الحيلة نفسها؛ يتحول الاعتداء إلى هوية واستعلاء.</w:t>
      </w:r>
    </w:p>
    <w:p>
      <w:pPr>
        <w:jc w:val="both"/>
        <w:bidi w:val="1"/>
      </w:pPr>
      <w:r>
        <w:rPr>
          <w:rFonts w:ascii="Noto Naskh Arabic" w:hAnsi="Noto Naskh Arabic" w:cs="Noto Naskh Arabic"/>
          <w:b/>
          <w:color w:val="B8860B"/>
          <w:sz w:val="21"/>
        </w:rPr>
        <w:t xml:space="preserve">10. </w:t>
      </w:r>
      <w:r>
        <w:rPr>
          <w:rFonts w:ascii="Noto Naskh Arabic" w:hAnsi="Noto Naskh Arabic" w:cs="Noto Naskh Arabic"/>
          <w:b w:val="0"/>
          <w:color w:val="1F2937"/>
          <w:sz w:val="21"/>
        </w:rPr>
        <w:t>المسخ يطابق انهيار المعنى الإنساني قبل الصورة: عقل يُسخر لخداع الأمر بدل الارتفاع به.</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عرف أصحاب السبت الحد، ثم جاء الاختبار عند موضع رغبتهم، فتحولت القدرة على التفكير عند المعتدين إلى وسيلة للالتفاف على المقصد. لم يعد السؤال هل احترموا روح الأمر، بل كيف يحتفظون بالمصلحة مع صورة ظاهرية توهم الالتزام. وفي المجتمع نهى قوم عن السوء، وسأل آخرون عن جدوى الوعظ، فأعلن المصلحون أنهم يؤدون المعذرة ويفتحون باب التقوى. وعندما نُسي التذكير واستقر العتو جاءت العاقبة. فالقصة تحذر من الذكاء المنفصل عن الأمانة، ومن قانونية الشكل عندما تهدم القيمة.</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الاختبار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تأتيهم حيتانهم يوم سبتهم</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توقع أن تُختبر القيمة عند أقوى مصلحة.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الدافع السابق</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بما كانوا يفسقون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عالج الاتجاه الداخلي قبل تصميم الضوابط.</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الحيلة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إذ يعدون في السبت</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الشكل القانوني يغطي الاعتداء.</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التطبيع</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نسوا ما ذكروا به</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راقب تحول الاستثناء إلى عادة.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الموقف الاجتماعي</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ينهَون عن السوء</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تكن محايدًا أمام تحايل منظم.</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اليأس</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لم تعظون قوما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توقع الفشل يلغي الواجب.</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الأمانة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معذرة إلى ربكم</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أدِّ دورك دون ادعاء التحكم بالنتائج.</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احتمال الإصلاح</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ولعلهم يتقون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اترك باب الرجوع مفتوحًا.</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العتو</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عتوا عما نهوا عنه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اكتشف لحظة تحول الخطأ إلى كبر.</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العاقبة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كونوا قردة خاسئين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افهم أن العبث بالقيمة يهدم كرامة الإنسان.</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اسأل هل احترمت المقصد أم صممت مخرجًا شكليًا للرغبة.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تعلم الأبناء تجميل المخالفة بل مواجهة الدافع وتصحيح القرار.</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اختبر السياسات ضد التحايل ولا تكتفِ بالامتثال الورقي.</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راقب مؤشرات الالتفاف على الضوابط والحوافز التي تشجعه.</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ارفض العقود أو المعاملات التي تحقق المحظور بتغيير الاسم فقط.</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احم المصلحين من ثقافة السخرية واليأس من التغيير.</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أداء الحجة وفتح باب التقوى دون ضمان استجابة.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استخدم دراسات حالة تفرق بين نص القاعدة ومقصدها الأخلاقي.</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يذكر القرآن في هذه الآيات تفاصيل وسائل الصيد أو الخنادق المنسوبة إلى القصة، فلا تُجعل جزءًا قطعيًا من الوثيقة.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اختلف المفسرون في مصير الفئة التي سألت عن جدوى الوعظ، والنص صرح بنجاة الناهين وأخذ الظالمين؛ فلا نجزم بما سكت عنه.</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تطبيق القصة على الامتثال القانوني الحديث لا يساوي بين كل حيلة تنظيمية وحكم القصة إلا بقدر تحقق المعنى الأخلاقي.</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السور والآيات والنص آليًا، ويبقى التدقيق المصحفي البشري النهائي للرسم وعلامات الوقف قبل النشر الرسمي.</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98.0%</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أوجهًا تفسيرية معتبرة، والصياغة هنا خلاصة أصلية لا استنساخًا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 متماسك، وقد تتطلب المراجعة النهائية للسلسلة كاملة اختصار انتقالات أو توحيد بعض المصطلحات.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حُفظ منطق قصة إبليس في الانتقال من المؤثر إلى التفكير والقرار والسلوك والعاقبة، مع مرونة تفرضها طبيعة كل قصة.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الصقل في دورتين فعليتين، ومع ذلك قد يضيف محرر عربي متخصص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مع القيمة والمهارة والهدف في Excel، وتبقى مراجعة شاملة بعد اكتمال جميع قصص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98.8%</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المقاطع وفق ترتيب ملف Excel ومراجعة صحة نطاق السور والآيات.</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لقراءة وحدة السياق والحركة الإيمانية والنفسية والاجتماعية.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 مساندة لضبط المعنى المشهور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والإداري والتطبيقات المعاصرة صياغة أصلية ضمن إطار المشروع، وليست نقلاً حرفيًا من التفسير.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المرجع الإلكتروني المستخدم للمراجعة: https://www.islamweb.net/ar/library/content/210/453/</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الإسرائيليات والتفاصيل التاريخية غير اللازمة، وحفظ الفرق بين دلالة النص والاستنباط التطبيقي.</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أصحاب السبت</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