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Noto Kufi Arabic" w:hAnsi="Noto Kufi Arabic" w:cs="Noto Kufi Arabic"/>
          <w:b/>
          <w:color w:val="B8860B"/>
          <w:sz w:val="22"/>
        </w:rPr>
        <w:t>032</w:t>
      </w:r>
    </w:p>
    <w:p>
      <w:pPr>
        <w:jc w:val="center"/>
        <w:bidi w:val="1"/>
      </w:pPr>
      <w:r>
        <w:rPr>
          <w:rFonts w:ascii="Noto Kufi Arabic" w:hAnsi="Noto Kufi Arabic" w:cs="Noto Kufi Arabic"/>
          <w:b/>
          <w:color w:val="1F4E79"/>
          <w:sz w:val="48"/>
        </w:rPr>
        <w:t>أصحاب الفيل</w:t>
      </w:r>
    </w:p>
    <w:p>
      <w:pPr>
        <w:jc w:val="center"/>
        <w:bidi w:val="1"/>
      </w:pPr>
      <w:r>
        <w:rPr>
          <w:rFonts w:ascii="Noto Naskh Arabic" w:hAnsi="Noto Naskh Arabic" w:cs="Noto Naskh Arabic"/>
          <w:b/>
          <w:color w:val="B8860B"/>
          <w:sz w:val="28"/>
        </w:rPr>
        <w:t>كيد القوة الذي يسقط عندما يصطدم بحدود التدبير الإلهي</w:t>
      </w:r>
    </w:p>
    <w:p>
      <w:pPr>
        <w:jc w:val="center"/>
        <w:bidi w:val="1"/>
      </w:pPr>
      <w:r>
        <w:rPr>
          <w:rFonts w:ascii="Noto Naskh Arabic" w:hAnsi="Noto Naskh Arabic" w:cs="Noto Naskh Arabic"/>
          <w:b w:val="0"/>
          <w:color w:val="1F2937"/>
          <w:sz w:val="21"/>
        </w:rPr>
        <w:t>القيمة المحورية: حماية القيم الكبرى وفهم حدود القوة والتخطيط  |  التصنيف: قيادة</w:t>
      </w:r>
    </w:p>
    <w:tbl>
      <w:tblPr>
        <w:tblW w:type="auto" w:w="0"/>
        <w:jc w:val="center"/>
        <w:tblLayout w:type="fixed"/>
        <w:tblLook w:firstColumn="1" w:firstRow="1" w:lastColumn="0" w:lastRow="0" w:noHBand="0" w:noVBand="1" w:val="04A0"/>
      </w:tblPr>
      <w:tblGrid>
        <w:gridCol w:w="9354"/>
      </w:tblGrid>
      <w:tr>
        <w:tc>
          <w:tcPr>
            <w:tcW w:type="dxa" w:w="10262"/>
            <w:shd w:fill="FFF7E3"/>
            <w:tcBorders>
              <w:top w:val="single" w:sz="8" w:color="D6B656"/>
              <w:left w:val="single" w:sz="8" w:color="D6B656"/>
              <w:bottom w:val="single" w:sz="8" w:color="D6B656"/>
              <w:right w:val="single" w:sz="8" w:color="D6B656"/>
            </w:tcBorders>
          </w:tcPr>
          <w:p>
            <w:pPr>
              <w:jc w:val="right"/>
              <w:bidi w:val="1"/>
            </w:pPr>
            <w:r>
              <w:rPr>
                <w:rFonts w:ascii="Noto Naskh Arabic" w:hAnsi="Noto Naskh Arabic" w:cs="Noto Naskh Arabic"/>
                <w:b w:val="0"/>
                <w:color w:val="1F2937"/>
                <w:sz w:val="19"/>
              </w:rPr>
              <w:t>منهج العمل: القرآن الكريم أصل النص، وفي ظلال القرآن المرجع التفسيري الرئيس، مع مراجعة المعنى العام في التفاسير المعتبرة عند الحاجة. الصياغة والتحليل والتطبيقات أصلية ومبنية على قالب قصة إبليس.</w:t>
            </w:r>
          </w:p>
        </w:tc>
      </w:tr>
    </w:tbl>
    <w:p>
      <w:pPr>
        <w:jc w:val="center"/>
        <w:bidi w:val="1"/>
      </w:pPr>
      <w:r>
        <w:rPr>
          <w:rFonts w:ascii="Noto Naskh Arabic" w:hAnsi="Noto Naskh Arabic" w:cs="Noto Naskh Arabic"/>
          <w:b w:val="0"/>
          <w:color w:val="6B7280"/>
          <w:sz w:val="18"/>
        </w:rPr>
        <w:t>مواضع القصة: الفيل: من الآية 1 إلى الآية 5</w:t>
      </w:r>
    </w:p>
    <w:p>
      <w:r>
        <w:br w:type="page"/>
      </w:r>
    </w:p>
    <w:p>
      <w:pPr>
        <w:jc w:val="center"/>
        <w:bidi w:val="1"/>
      </w:pPr>
      <w:r>
        <w:rPr>
          <w:rFonts w:ascii="Noto Naskh Arabic" w:hAnsi="Noto Naskh Arabic" w:cs="Noto Naskh Arabic"/>
          <w:b w:val="0"/>
          <w:color w:val="6B7280"/>
          <w:sz w:val="17"/>
        </w:rPr>
        <w:t>ترتيب القصة في ملف Excel: 33</w:t>
      </w:r>
    </w:p>
    <w:p>
      <w:pPr>
        <w:spacing w:before="160" w:after="100"/>
        <w:jc w:val="right"/>
        <w:bidi w:val="1"/>
      </w:pPr>
      <w:r>
        <w:rPr>
          <w:rFonts w:ascii="Noto Kufi Arabic" w:hAnsi="Noto Kufi Arabic" w:cs="Noto Kufi Arabic"/>
          <w:b/>
          <w:color w:val="1F4E79"/>
          <w:sz w:val="28"/>
        </w:rPr>
        <w:t>مدخل القصة ومحورها</w:t>
      </w:r>
    </w:p>
    <w:tbl>
      <w:tblPr>
        <w:tblW w:type="auto" w:w="0"/>
        <w:jc w:val="center"/>
        <w:tblLayout w:type="fixed"/>
        <w:tblLook w:firstColumn="1" w:firstRow="1" w:lastColumn="0" w:lastRow="0" w:noHBand="0" w:noVBand="1" w:val="04A0"/>
      </w:tblPr>
      <w:tblGrid>
        <w:gridCol w:w="5131"/>
        <w:gridCol w:w="5131"/>
      </w:tblGrid>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المحور المركزي</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القوة المادية قد تبدو كاملة في عددها وأدواتها، لكنها لا تملك ضمان نجاح مقصد فاسد، وقد يسقط كيدها من حيث لا يدخل في نموذجها الحسابي.</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السؤال الإنساني</w:t>
            </w:r>
          </w:p>
        </w:tc>
        <w:tc>
          <w:tcPr>
            <w:tcW w:type="dxa" w:w="7483"/>
            <w:vAlign w:val="center"/>
            <w:shd w:fill="FFFFFF"/>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كيف يخطط الإنسان للقوة دون أن يعبدها أو يظن أن كثرة الوسائل تمنح المشروع شرعية أو حصانة من الانهيار؟</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الحركة الكبرى</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مقصد عدواني → كيد منظم → ثقة بالأداة الضخمة → تدخل من خارج الحساب → انهيار التماسك → بقاء القيمة المحمية → درس في حدود القوة.</w:t>
            </w:r>
          </w:p>
        </w:tc>
      </w:tr>
    </w:tbl>
    <w:p>
      <w:pPr>
        <w:spacing w:before="160" w:after="100"/>
        <w:jc w:val="right"/>
        <w:bidi w:val="1"/>
      </w:pPr>
      <w:r>
        <w:rPr>
          <w:rFonts w:ascii="Noto Kufi Arabic" w:hAnsi="Noto Kufi Arabic" w:cs="Noto Kufi Arabic"/>
          <w:b/>
          <w:color w:val="1F4E79"/>
          <w:sz w:val="28"/>
        </w:rPr>
        <w:t>الآيات + الشرح</w:t>
      </w: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1. سورة الفيل - الآيات من 1 إلى 5</w:t>
            </w:r>
          </w:p>
          <w:p>
            <w:pPr>
              <w:jc w:val="both"/>
              <w:bidi w:val="1"/>
            </w:pPr>
            <w:r>
              <w:rPr>
                <w:rFonts w:ascii="Amiri Quran" w:hAnsi="Amiri Quran" w:cs="Amiri Quran"/>
                <w:b w:val="0"/>
                <w:color w:val="1F2937"/>
                <w:sz w:val="20"/>
              </w:rPr>
              <w:t>بِسْمِ اللَّهِ الرَّحْمَٰنِ الرَّحِيمِ أَلَم تَرَ كَيفَ فَعَلَ رَبُّكَ بِأَصحابِ الفيلِ ﴿١﴾ أَلَم يَجعَل كَيدَهُم في تَضليلٍ ﴿٢﴾ وَأَرسَلَ عَلَيهِم طَيرًا أَبابيلَ ﴿٣﴾ تَرميهِم بِحِجارَةٍ مِن سِجّيلٍ ﴿٤﴾ فَجَعَلَهُم كَعَصفٍ مَأكولٍ ﴿٥﴾</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جاء الاستفهام ألم تر ليجعل الحدث حاضرًا في الوعي، ولو لم يشهده المخاطب بعينه؛ فآثاره ومعناه من اليقين القريب.</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نسب الفعل إلى ربك، فالحماية جاءت من تدبير الله لا من تفوق عسكري لأهل مكة.</w:t>
            </w:r>
          </w:p>
          <w:p>
            <w:pPr>
              <w:jc w:val="right"/>
              <w:bidi w:val="1"/>
            </w:pPr>
            <w:r>
              <w:rPr>
                <w:rFonts w:ascii="Noto Naskh Arabic" w:hAnsi="Noto Naskh Arabic" w:cs="Noto Naskh Arabic"/>
                <w:b/>
                <w:color w:val="B8860B"/>
                <w:sz w:val="20"/>
              </w:rPr>
              <w:t xml:space="preserve">3. </w:t>
            </w:r>
            <w:r>
              <w:rPr>
                <w:rFonts w:ascii="Noto Naskh Arabic" w:hAnsi="Noto Naskh Arabic" w:cs="Noto Naskh Arabic"/>
                <w:b w:val="0"/>
                <w:color w:val="1F2937"/>
                <w:sz w:val="20"/>
              </w:rPr>
              <w:t>جعل الله كيدهم في تضليل؛ فبدأ إسقاط المشروع من خطته ووجهته قبل وصف أداة الهلاك.</w:t>
            </w:r>
          </w:p>
          <w:p>
            <w:pPr>
              <w:jc w:val="right"/>
              <w:bidi w:val="1"/>
            </w:pPr>
            <w:r>
              <w:rPr>
                <w:rFonts w:ascii="Noto Naskh Arabic" w:hAnsi="Noto Naskh Arabic" w:cs="Noto Naskh Arabic"/>
                <w:b/>
                <w:color w:val="B8860B"/>
                <w:sz w:val="20"/>
              </w:rPr>
              <w:t xml:space="preserve">4. </w:t>
            </w:r>
            <w:r>
              <w:rPr>
                <w:rFonts w:ascii="Noto Naskh Arabic" w:hAnsi="Noto Naskh Arabic" w:cs="Noto Naskh Arabic"/>
                <w:b w:val="0"/>
                <w:color w:val="1F2937"/>
                <w:sz w:val="20"/>
              </w:rPr>
              <w:t>أرسل عليهم طيرًا أبابيل ترميهم بحجارة من سجيل؛ جاءت الأداة من خارج حساب القوة الغازية وتشكيلاتها.</w:t>
            </w:r>
          </w:p>
          <w:p>
            <w:pPr>
              <w:jc w:val="right"/>
              <w:bidi w:val="1"/>
            </w:pPr>
            <w:r>
              <w:rPr>
                <w:rFonts w:ascii="Noto Naskh Arabic" w:hAnsi="Noto Naskh Arabic" w:cs="Noto Naskh Arabic"/>
                <w:b/>
                <w:color w:val="B8860B"/>
                <w:sz w:val="20"/>
              </w:rPr>
              <w:t xml:space="preserve">5. </w:t>
            </w:r>
            <w:r>
              <w:rPr>
                <w:rFonts w:ascii="Noto Naskh Arabic" w:hAnsi="Noto Naskh Arabic" w:cs="Noto Naskh Arabic"/>
                <w:b w:val="0"/>
                <w:color w:val="1F2937"/>
                <w:sz w:val="20"/>
              </w:rPr>
              <w:t>صاروا كعصف مأكول؛ انتهى الاستعراض العسكري إلى بقايا فاقدة للتماسك والقيمة.</w:t>
            </w:r>
          </w:p>
        </w:tc>
      </w:tr>
    </w:tbl>
    <w:p>
      <w:pPr>
        <w:spacing w:after="20"/>
      </w:pPr>
    </w:p>
    <w:p>
      <w:pPr>
        <w:spacing w:before="160" w:after="100"/>
        <w:jc w:val="right"/>
        <w:bidi w:val="1"/>
      </w:pPr>
      <w:r>
        <w:rPr>
          <w:rFonts w:ascii="Noto Kufi Arabic" w:hAnsi="Noto Kufi Arabic" w:cs="Noto Kufi Arabic"/>
          <w:b/>
          <w:color w:val="1F4E79"/>
          <w:sz w:val="28"/>
        </w:rPr>
        <w:t>التحليل الحركي والنفسي</w:t>
      </w:r>
    </w:p>
    <w:p>
      <w:pPr>
        <w:jc w:val="both"/>
        <w:bidi w:val="1"/>
      </w:pPr>
      <w:r>
        <w:rPr>
          <w:rFonts w:ascii="Noto Naskh Arabic" w:hAnsi="Noto Naskh Arabic" w:cs="Noto Naskh Arabic"/>
          <w:b/>
          <w:color w:val="B8860B"/>
          <w:sz w:val="21"/>
        </w:rPr>
        <w:t xml:space="preserve">1. </w:t>
      </w:r>
      <w:r>
        <w:rPr>
          <w:rFonts w:ascii="Noto Naskh Arabic" w:hAnsi="Noto Naskh Arabic" w:cs="Noto Naskh Arabic"/>
          <w:b w:val="0"/>
          <w:color w:val="1F2937"/>
          <w:sz w:val="21"/>
        </w:rPr>
        <w:t>السورة لا تبدأ بتعداد جيش أصحاب الفيل، بل تبدأ بسؤال عن فعل الله؛ فتسحب مركز المشهد من القوة الغازية إلى التدبير الأعلى.</w:t>
      </w:r>
    </w:p>
    <w:p>
      <w:pPr>
        <w:jc w:val="both"/>
        <w:bidi w:val="1"/>
      </w:pPr>
      <w:r>
        <w:rPr>
          <w:rFonts w:ascii="Noto Naskh Arabic" w:hAnsi="Noto Naskh Arabic" w:cs="Noto Naskh Arabic"/>
          <w:b/>
          <w:color w:val="B8860B"/>
          <w:sz w:val="21"/>
        </w:rPr>
        <w:t xml:space="preserve">2. </w:t>
      </w:r>
      <w:r>
        <w:rPr>
          <w:rFonts w:ascii="Noto Naskh Arabic" w:hAnsi="Noto Naskh Arabic" w:cs="Noto Naskh Arabic"/>
          <w:b w:val="0"/>
          <w:color w:val="1F2937"/>
          <w:sz w:val="21"/>
        </w:rPr>
        <w:t>تعبير كيدهم يبين أن المشروع لم يكن حركة عفوية، بل قصدًا وخطة؛ ومع ذلك لم تنقذ جودة التخطيط فساد الغاية.</w:t>
      </w:r>
    </w:p>
    <w:p>
      <w:pPr>
        <w:jc w:val="both"/>
        <w:bidi w:val="1"/>
      </w:pPr>
      <w:r>
        <w:rPr>
          <w:rFonts w:ascii="Noto Naskh Arabic" w:hAnsi="Noto Naskh Arabic" w:cs="Noto Naskh Arabic"/>
          <w:b/>
          <w:color w:val="B8860B"/>
          <w:sz w:val="21"/>
        </w:rPr>
        <w:t xml:space="preserve">3. </w:t>
      </w:r>
      <w:r>
        <w:rPr>
          <w:rFonts w:ascii="Noto Naskh Arabic" w:hAnsi="Noto Naskh Arabic" w:cs="Noto Naskh Arabic"/>
          <w:b w:val="0"/>
          <w:color w:val="1F2937"/>
          <w:sz w:val="21"/>
        </w:rPr>
        <w:t>في تضليل يعني أن الخطة فقدت طريقها ونتيجتها؛ قد يعمل كل عنصر تشغيلي ثم يكون مجموع المشروع متجهًا إلى العدم.</w:t>
      </w:r>
    </w:p>
    <w:p>
      <w:pPr>
        <w:jc w:val="both"/>
        <w:bidi w:val="1"/>
      </w:pPr>
      <w:r>
        <w:rPr>
          <w:rFonts w:ascii="Noto Naskh Arabic" w:hAnsi="Noto Naskh Arabic" w:cs="Noto Naskh Arabic"/>
          <w:b/>
          <w:color w:val="B8860B"/>
          <w:sz w:val="21"/>
        </w:rPr>
        <w:t xml:space="preserve">4. </w:t>
      </w:r>
      <w:r>
        <w:rPr>
          <w:rFonts w:ascii="Noto Naskh Arabic" w:hAnsi="Noto Naskh Arabic" w:cs="Noto Naskh Arabic"/>
          <w:b w:val="0"/>
          <w:color w:val="1F2937"/>
          <w:sz w:val="21"/>
        </w:rPr>
        <w:t>الفيل رمز قوة غير مألوفة في بيئة العرب، لكن السورة تحطم الربط بين ضخامة الأداة وحتمية النتيجة.</w:t>
      </w:r>
    </w:p>
    <w:p>
      <w:pPr>
        <w:jc w:val="both"/>
        <w:bidi w:val="1"/>
      </w:pPr>
      <w:r>
        <w:rPr>
          <w:rFonts w:ascii="Noto Naskh Arabic" w:hAnsi="Noto Naskh Arabic" w:cs="Noto Naskh Arabic"/>
          <w:b/>
          <w:color w:val="B8860B"/>
          <w:sz w:val="21"/>
        </w:rPr>
        <w:t xml:space="preserve">5. </w:t>
      </w:r>
      <w:r>
        <w:rPr>
          <w:rFonts w:ascii="Noto Naskh Arabic" w:hAnsi="Noto Naskh Arabic" w:cs="Noto Naskh Arabic"/>
          <w:b w:val="0"/>
          <w:color w:val="1F2937"/>
          <w:sz w:val="21"/>
        </w:rPr>
        <w:t>الطير الأبابيل والحجارة الصغيرة بالنسبة إلى الفيل تعيدان تعريف الفاعلية؛ ليست قيمة الأداة في حجمها بل في موقعها من تقدير الله.</w:t>
      </w:r>
    </w:p>
    <w:p>
      <w:pPr>
        <w:jc w:val="both"/>
        <w:bidi w:val="1"/>
      </w:pPr>
      <w:r>
        <w:rPr>
          <w:rFonts w:ascii="Noto Naskh Arabic" w:hAnsi="Noto Naskh Arabic" w:cs="Noto Naskh Arabic"/>
          <w:b/>
          <w:color w:val="B8860B"/>
          <w:sz w:val="21"/>
        </w:rPr>
        <w:t xml:space="preserve">6. </w:t>
      </w:r>
      <w:r>
        <w:rPr>
          <w:rFonts w:ascii="Noto Naskh Arabic" w:hAnsi="Noto Naskh Arabic" w:cs="Noto Naskh Arabic"/>
          <w:b w:val="0"/>
          <w:color w:val="1F2937"/>
          <w:sz w:val="21"/>
        </w:rPr>
        <w:t>العصف المأكول صورة لفقدان البنية بعد أن كانت تبدو متماسكة؛ الانهيار قد يكون أسرع من بناء المظهر العسكري والسياسي.</w:t>
      </w:r>
    </w:p>
    <w:p>
      <w:pPr>
        <w:jc w:val="both"/>
        <w:bidi w:val="1"/>
      </w:pPr>
      <w:r>
        <w:rPr>
          <w:rFonts w:ascii="Noto Naskh Arabic" w:hAnsi="Noto Naskh Arabic" w:cs="Noto Naskh Arabic"/>
          <w:b/>
          <w:color w:val="B8860B"/>
          <w:sz w:val="21"/>
        </w:rPr>
        <w:t xml:space="preserve">7. </w:t>
      </w:r>
      <w:r>
        <w:rPr>
          <w:rFonts w:ascii="Noto Naskh Arabic" w:hAnsi="Noto Naskh Arabic" w:cs="Noto Naskh Arabic"/>
          <w:b w:val="0"/>
          <w:color w:val="1F2937"/>
          <w:sz w:val="21"/>
        </w:rPr>
        <w:t>حماية البيت في هذا الحدث فضل إلهي وتدبير خاص، فلا تتحول القصة إلى إذن بالكسل أو ترك واجب الحماية والأخذ بالأسباب.</w:t>
      </w:r>
    </w:p>
    <w:p>
      <w:pPr>
        <w:jc w:val="both"/>
        <w:bidi w:val="1"/>
      </w:pPr>
      <w:r>
        <w:rPr>
          <w:rFonts w:ascii="Noto Naskh Arabic" w:hAnsi="Noto Naskh Arabic" w:cs="Noto Naskh Arabic"/>
          <w:b/>
          <w:color w:val="B8860B"/>
          <w:sz w:val="21"/>
        </w:rPr>
        <w:t xml:space="preserve">8. </w:t>
      </w:r>
      <w:r>
        <w:rPr>
          <w:rFonts w:ascii="Noto Naskh Arabic" w:hAnsi="Noto Naskh Arabic" w:cs="Noto Naskh Arabic"/>
          <w:b w:val="0"/>
          <w:color w:val="1F2937"/>
          <w:sz w:val="21"/>
        </w:rPr>
        <w:t>القصة تربي المجتمع الذي ورث النجاة على عبادة رب البيت لا تقديس الموقع أو الاعتماد على مجد تاريخي.</w:t>
      </w:r>
    </w:p>
    <w:p>
      <w:pPr>
        <w:jc w:val="both"/>
        <w:bidi w:val="1"/>
      </w:pPr>
      <w:r>
        <w:rPr>
          <w:rFonts w:ascii="Noto Naskh Arabic" w:hAnsi="Noto Naskh Arabic" w:cs="Noto Naskh Arabic"/>
          <w:b/>
          <w:color w:val="B8860B"/>
          <w:sz w:val="21"/>
        </w:rPr>
        <w:t xml:space="preserve">9. </w:t>
      </w:r>
      <w:r>
        <w:rPr>
          <w:rFonts w:ascii="Noto Naskh Arabic" w:hAnsi="Noto Naskh Arabic" w:cs="Noto Naskh Arabic"/>
          <w:b w:val="0"/>
          <w:color w:val="1F2937"/>
          <w:sz w:val="21"/>
        </w:rPr>
        <w:t>في منظور القيادة، الشرعية والغاية والأخلاق ليست إضافات تجميلية؛ فسادها قد يجعل التخطيط المتقن كيدًا في تضليل.</w:t>
      </w:r>
    </w:p>
    <w:p>
      <w:pPr>
        <w:spacing w:before="160" w:after="100"/>
        <w:jc w:val="right"/>
        <w:bidi w:val="1"/>
      </w:pPr>
      <w:r>
        <w:rPr>
          <w:rFonts w:ascii="Noto Kufi Arabic" w:hAnsi="Noto Kufi Arabic" w:cs="Noto Kufi Arabic"/>
          <w:b/>
          <w:color w:val="1F4E79"/>
          <w:sz w:val="28"/>
        </w:rPr>
        <w:t>الخلاصة</w:t>
      </w:r>
    </w:p>
    <w:tbl>
      <w:tblPr>
        <w:tblW w:type="auto" w:w="0"/>
        <w:jc w:val="center"/>
        <w:tblLook w:firstColumn="1" w:firstRow="1" w:lastColumn="0" w:lastRow="0" w:noHBand="0" w:noVBand="1" w:val="04A0"/>
      </w:tblPr>
      <w:tblGrid>
        <w:gridCol w:w="10262"/>
      </w:tblGrid>
      <w:tr>
        <w:tc>
          <w:tcPr>
            <w:tcW w:type="dxa" w:w="10262"/>
            <w:shd w:fill="EEF4F9"/>
            <w:tcBorders>
              <w:top w:val="single" w:sz="6" w:color="9FBAD0"/>
              <w:left w:val="single" w:sz="6" w:color="9FBAD0"/>
              <w:bottom w:val="single" w:sz="6" w:color="9FBAD0"/>
              <w:right w:val="single" w:sz="6" w:color="9FBAD0"/>
            </w:tcBorders>
          </w:tcPr>
          <w:p>
            <w:pPr>
              <w:jc w:val="both"/>
              <w:bidi w:val="1"/>
            </w:pPr>
            <w:r>
              <w:rPr>
                <w:rFonts w:ascii="Noto Naskh Arabic" w:hAnsi="Noto Naskh Arabic" w:cs="Noto Naskh Arabic"/>
                <w:b w:val="0"/>
                <w:color w:val="1F2937"/>
                <w:sz w:val="22"/>
              </w:rPr>
              <w:t>جاء أصحاب الفيل بقوة ضخمة وخطة تستهدف البيت، فبدت المعادلة الأرضية محسومة. لكن السورة لم تمنح الفيل مركز البطولة، بل سألت عن فعل الله، ثم حكمت على المشروع من داخله: جعل كيدهم في تضليل. جاءت أداة لم تدخل في حسابهم، وتفكك الجيش حتى صار كعصف مأكول. لا تقول القصة إن التخطيط غير مهم، بل تقول إن الخطة الفاسدة لا تكتسب حقًا من قوتها، وإن الوسائل لا تحيط بكل أسباب الوجود، وإن حماية القيمة الكبرى تستدعي الشكر والعبادة لا الغرور التاريخي.</w:t>
            </w:r>
          </w:p>
        </w:tc>
      </w:tr>
    </w:tbl>
    <w:p>
      <w:pPr>
        <w:spacing w:before="160" w:after="100"/>
        <w:jc w:val="right"/>
        <w:bidi w:val="1"/>
      </w:pPr>
      <w:r>
        <w:rPr>
          <w:rFonts w:ascii="Noto Kufi Arabic" w:hAnsi="Noto Kufi Arabic" w:cs="Noto Kufi Arabic"/>
          <w:b/>
          <w:color w:val="1F4E79"/>
          <w:sz w:val="28"/>
        </w:rPr>
        <w:t>المرحلة | النص | التطبيق على الإنسان</w:t>
      </w:r>
    </w:p>
    <w:tbl>
      <w:tblPr>
        <w:tblW w:type="auto" w:w="0"/>
        <w:jc w:val="center"/>
        <w:tblLayout w:type="fixed"/>
        <w:tblLook w:firstColumn="1" w:firstRow="1" w:lastColumn="0" w:lastRow="0" w:noHBand="0" w:noVBand="1" w:val="04A0"/>
      </w:tblPr>
      <w:tblGrid>
        <w:gridCol w:w="3421"/>
        <w:gridCol w:w="3421"/>
        <w:gridCol w:w="3421"/>
      </w:tblGrid>
      <w:tr>
        <w:trPr>
          <w:tblHeader w:val="true"/>
        </w:trPr>
        <w:tc>
          <w:tcPr>
            <w:tcW w:type="dxa" w:w="2041"/>
            <w:shd w:fill="1F4E79"/>
            <w:vAlign w:val="center"/>
          </w:tcPr>
          <w:p>
            <w:pPr>
              <w:jc w:val="center"/>
              <w:bidi w:val="1"/>
            </w:pPr>
            <w:r>
              <w:rPr>
                <w:rFonts w:ascii="Noto Kufi Arabic" w:hAnsi="Noto Kufi Arabic" w:cs="Noto Kufi Arabic"/>
                <w:b/>
                <w:color w:val="FFFFFF"/>
                <w:sz w:val="18"/>
              </w:rPr>
              <w:t>المرحلة</w:t>
            </w:r>
          </w:p>
        </w:tc>
        <w:tc>
          <w:tcPr>
            <w:tcW w:type="dxa" w:w="2835"/>
            <w:shd w:fill="1F4E79"/>
            <w:vAlign w:val="center"/>
          </w:tcPr>
          <w:p>
            <w:pPr>
              <w:jc w:val="center"/>
              <w:bidi w:val="1"/>
            </w:pPr>
            <w:r>
              <w:rPr>
                <w:rFonts w:ascii="Noto Kufi Arabic" w:hAnsi="Noto Kufi Arabic" w:cs="Noto Kufi Arabic"/>
                <w:b/>
                <w:color w:val="FFFFFF"/>
                <w:sz w:val="18"/>
              </w:rPr>
              <w:t>النص أو المعنى المحوري</w:t>
            </w:r>
          </w:p>
        </w:tc>
        <w:tc>
          <w:tcPr>
            <w:tcW w:type="dxa" w:w="4649"/>
            <w:shd w:fill="1F4E79"/>
            <w:vAlign w:val="center"/>
          </w:tcPr>
          <w:p>
            <w:pPr>
              <w:jc w:val="center"/>
              <w:bidi w:val="1"/>
            </w:pPr>
            <w:r>
              <w:rPr>
                <w:rFonts w:ascii="Noto Kufi Arabic" w:hAnsi="Noto Kufi Arabic" w:cs="Noto Kufi Arabic"/>
                <w:b/>
                <w:color w:val="FFFFFF"/>
                <w:sz w:val="18"/>
              </w:rPr>
              <w:t>التطبيق على الإنسان</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المقصد</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أصحاب الفيل</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افحص غاية القوة قبل الانبهار بأداتها.</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الخطة</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كيدهم</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تجعل جودة الخطة تستر فساد الهدف.</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الحكم</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في تضليل</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اختبر هل المشروع يتحرك نحو قيمة أم نحو عدم.</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وهم الحجم</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الفيل</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تساوِ ضخامة الوسيلة بضمان النجاح.</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المفاجأة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طيرًا أبابيل</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احتفظ بسيناريوهات خارج نموذجك المعتاد.</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الأداة الصغيرة</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بحجارة من سجيل</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تحتقر عنصرًا صغيرًا في موضع حاسم.</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الانهيار</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كعصف مأكول</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راقب تماسك النظام لا مظهره فقط.</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الحماية</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فعل ربك</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انسب النجاة إلى فضل الله مع أداء الواجب.</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ما بعد النجاة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ربك</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حوّل الحماية إلى عبادة ومسؤولية لا غرور.</w:t>
            </w:r>
          </w:p>
        </w:tc>
      </w:tr>
    </w:tbl>
    <w:p>
      <w:pPr>
        <w:spacing w:before="160" w:after="100"/>
        <w:jc w:val="right"/>
        <w:bidi w:val="1"/>
      </w:pPr>
      <w:r>
        <w:rPr>
          <w:rFonts w:ascii="Noto Kufi Arabic" w:hAnsi="Noto Kufi Arabic" w:cs="Noto Kufi Arabic"/>
          <w:b/>
          <w:color w:val="1F4E79"/>
          <w:sz w:val="28"/>
        </w:rPr>
        <w:t>التطبيقات العملية</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1871"/>
            <w:shd w:fill="1F4E79"/>
          </w:tcPr>
          <w:p>
            <w:pPr>
              <w:jc w:val="center"/>
              <w:bidi w:val="1"/>
            </w:pPr>
            <w:r>
              <w:rPr>
                <w:rFonts w:ascii="Noto Kufi Arabic" w:hAnsi="Noto Kufi Arabic" w:cs="Noto Kufi Arabic"/>
                <w:b/>
                <w:color w:val="FFFFFF"/>
                <w:sz w:val="19"/>
              </w:rPr>
              <w:t>المجال</w:t>
            </w:r>
          </w:p>
        </w:tc>
        <w:tc>
          <w:tcPr>
            <w:tcW w:type="dxa" w:w="7654"/>
            <w:shd w:fill="1F4E79"/>
          </w:tcPr>
          <w:p>
            <w:pPr>
              <w:jc w:val="center"/>
              <w:bidi w:val="1"/>
            </w:pPr>
            <w:r>
              <w:rPr>
                <w:rFonts w:ascii="Noto Kufi Arabic" w:hAnsi="Noto Kufi Arabic" w:cs="Noto Kufi Arabic"/>
                <w:b/>
                <w:color w:val="FFFFFF"/>
                <w:sz w:val="19"/>
              </w:rPr>
              <w:t>التطبيق</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الحياة الشخصية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تجعل قوة الطرف الآخر تلغي قدرتك على الثبات والعمل.</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الأسرة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علّم الأبناء أن الوسيلة القوية لا تجعل المقصد صحيحًا.</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القيادة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راجع شرعية الغاية قبل تعبئة الموارد للمشروع.</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الإدارة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أدر مخاطر الأحداث النادرة ولا تبن الخطة على غرور السيطرة الكاملة.</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أخلاقيات العمل</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ارفض مشروعًا ظالمًا ولو كان منظمًا وممولًا وقابلًا للتنفيذ.</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المجتمع</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احم الرموز والقيم بالعمل والشكر دون تحويلها إلى عصبية جوفاء.</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الدعوة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اربط النعمة بربها لا بالمكان أو التاريخ وحدهما.</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التعليم</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استخدم القصة لشرح الفرق بين القوة والشرعية، والحجم والفاعلية.</w:t>
            </w:r>
          </w:p>
        </w:tc>
      </w:tr>
    </w:tbl>
    <w:p>
      <w:pPr>
        <w:spacing w:before="160" w:after="100"/>
        <w:jc w:val="right"/>
        <w:bidi w:val="1"/>
      </w:pPr>
      <w:r>
        <w:rPr>
          <w:rFonts w:ascii="Noto Kufi Arabic" w:hAnsi="Noto Kufi Arabic" w:cs="Noto Kufi Arabic"/>
          <w:b/>
          <w:color w:val="1F4E79"/>
          <w:sz w:val="28"/>
        </w:rPr>
        <w:t>ضوابط الفهم والاستنباط</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السورة لا تفصل أسماء القادة أو سنة الحدث أو مسار الجيش، فلا تدخل الروايات التاريخية بوصفها نصًا قرآنيًا.</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الحدث آية خاصة ولا يصح تحويله إلى وعد آلي بأن كل مقدس أو مظلوم سيُحمى دون ابتلاء أو تكليف بالأسباب.</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التطبيق الاستراتيجي لا يلغي البعد العقدي الرئيس: الفعل لله والنجاة تستوجب عبادة رب البيت.</w:t>
      </w:r>
    </w:p>
    <w:p>
      <w:pPr>
        <w:spacing w:before="160" w:after="100"/>
        <w:jc w:val="right"/>
        <w:bidi w:val="1"/>
      </w:pPr>
      <w:r>
        <w:rPr>
          <w:rFonts w:ascii="Noto Kufi Arabic" w:hAnsi="Noto Kufi Arabic" w:cs="Noto Kufi Arabic"/>
          <w:b/>
          <w:color w:val="1F4E79"/>
          <w:sz w:val="28"/>
        </w:rPr>
        <w:t>تقرير ضبط الجودة</w:t>
      </w:r>
    </w:p>
    <w:tbl>
      <w:tblPr>
        <w:tblW w:type="auto" w:w="0"/>
        <w:jc w:val="center"/>
        <w:tblLayout w:type="fixed"/>
        <w:tblLook w:firstColumn="1" w:firstRow="1" w:lastColumn="0" w:lastRow="0" w:noHBand="0" w:noVBand="1" w:val="04A0"/>
      </w:tblPr>
      <w:tblGrid>
        <w:gridCol w:w="2052"/>
        <w:gridCol w:w="2052"/>
        <w:gridCol w:w="2052"/>
        <w:gridCol w:w="2052"/>
        <w:gridCol w:w="2052"/>
      </w:tblGrid>
      <w:tr>
        <w:trPr>
          <w:tblHeader w:val="true"/>
        </w:trPr>
        <w:tc>
          <w:tcPr>
            <w:tcW w:type="dxa" w:w="1247"/>
            <w:shd w:fill="1F4E79"/>
          </w:tcPr>
          <w:p>
            <w:pPr>
              <w:jc w:val="center"/>
              <w:bidi w:val="1"/>
            </w:pPr>
            <w:r>
              <w:rPr>
                <w:rFonts w:ascii="Noto Kufi Arabic" w:hAnsi="Noto Kufi Arabic" w:cs="Noto Kufi Arabic"/>
                <w:b/>
                <w:color w:val="FFFFFF"/>
                <w:sz w:val="16"/>
              </w:rPr>
              <w:t>المراجعة</w:t>
            </w:r>
          </w:p>
        </w:tc>
        <w:tc>
          <w:tcPr>
            <w:tcW w:type="dxa" w:w="1701"/>
            <w:shd w:fill="1F4E79"/>
          </w:tcPr>
          <w:p>
            <w:pPr>
              <w:jc w:val="center"/>
              <w:bidi w:val="1"/>
            </w:pPr>
            <w:r>
              <w:rPr>
                <w:rFonts w:ascii="Noto Kufi Arabic" w:hAnsi="Noto Kufi Arabic" w:cs="Noto Kufi Arabic"/>
                <w:b/>
                <w:color w:val="FFFFFF"/>
                <w:sz w:val="16"/>
              </w:rPr>
              <w:t>المعيار</w:t>
            </w:r>
          </w:p>
        </w:tc>
        <w:tc>
          <w:tcPr>
            <w:tcW w:type="dxa" w:w="850"/>
            <w:shd w:fill="1F4E79"/>
          </w:tcPr>
          <w:p>
            <w:pPr>
              <w:jc w:val="center"/>
              <w:bidi w:val="1"/>
            </w:pPr>
            <w:r>
              <w:rPr>
                <w:rFonts w:ascii="Noto Kufi Arabic" w:hAnsi="Noto Kufi Arabic" w:cs="Noto Kufi Arabic"/>
                <w:b/>
                <w:color w:val="FFFFFF"/>
                <w:sz w:val="16"/>
              </w:rPr>
              <w:t>الإنجاز</w:t>
            </w:r>
          </w:p>
        </w:tc>
        <w:tc>
          <w:tcPr>
            <w:tcW w:type="dxa" w:w="3458"/>
            <w:shd w:fill="1F4E79"/>
          </w:tcPr>
          <w:p>
            <w:pPr>
              <w:jc w:val="center"/>
              <w:bidi w:val="1"/>
            </w:pPr>
            <w:r>
              <w:rPr>
                <w:rFonts w:ascii="Noto Kufi Arabic" w:hAnsi="Noto Kufi Arabic" w:cs="Noto Kufi Arabic"/>
                <w:b/>
                <w:color w:val="FFFFFF"/>
                <w:sz w:val="16"/>
              </w:rPr>
              <w:t>لماذا لم يصل إلى 100%؟</w:t>
            </w:r>
          </w:p>
        </w:tc>
        <w:tc>
          <w:tcPr>
            <w:tcW w:type="dxa" w:w="2268"/>
            <w:shd w:fill="1F4E79"/>
          </w:tcPr>
          <w:p>
            <w:pPr>
              <w:jc w:val="center"/>
              <w:bidi w:val="1"/>
            </w:pPr>
            <w:r>
              <w:rPr>
                <w:rFonts w:ascii="Noto Kufi Arabic" w:hAnsi="Noto Kufi Arabic" w:cs="Noto Kufi Arabic"/>
                <w:b/>
                <w:color w:val="FFFFFF"/>
                <w:sz w:val="16"/>
              </w:rPr>
              <w:t>الإجراء المتبقي</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1</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الدقة القرآنية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99.6%</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تمت مطابقة السور والآيات والنص آليًا، ويبقى التدقيق المصحفي البشري النهائي للرسم وعلامات الوقف قبل النشر الرسمي.</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مصحفية نهائية.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2</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التفسير</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98.6%</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في ظلال القرآن هو المرجع الرئيس، لكن بعض المواضع تحتمل أوجهًا تفسيرية معتبرة، والصياغة هنا خلاصة أصلية لا استنساخًا للتفسير.</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علمية متخصصة لمواضع الاحتمال.</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3</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تدفق القصة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99.3%</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تدفق القصة متماسك، وقد تتطلب المراجعة النهائية للسلسلة كاملة اختصار انتقالات أو توحيد بعض المصطلحات.</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تدفق المجموعة كاملة.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4</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منطق قصة إبليس</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99.2%</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حُفظ منطق قصة إبليس في الانتقال من المؤثر إلى التفكير والقرار والسلوك والعاقبة، مع مرونة تفرضها طبيعة كل قصة.</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اتساق القالب بعد اكتمال السلسلة.</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5</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الصقل اللغوي</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99.0%</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 الصقل في دورتين فعليتين، ومع ذلك قد يضيف محرر عربي متخصص تحسينات دقيقة في الإيقاع والترقيم.</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تدقيق لغوي بشري نهائي.</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6</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إطار المشروع</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99.2%</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تمت المطابقة مع القيمة والمهارة والهدف في Excel، وتبقى مراجعة شاملة بعد اكتمال جميع قصص المشروع.</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موحدة مع Excel وبقية القصص.</w:t>
            </w:r>
          </w:p>
        </w:tc>
      </w:tr>
      <w:tr>
        <w:trPr>
          <w:cantSplit/>
        </w:trPr>
        <w:tc>
          <w:tcPr>
            <w:tcW w:type="dxa" w:w="1247"/>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النتيجة</w:t>
            </w:r>
          </w:p>
        </w:tc>
        <w:tc>
          <w:tcPr>
            <w:tcW w:type="dxa" w:w="1701"/>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الجاهزية الإجمالية</w:t>
            </w:r>
          </w:p>
        </w:tc>
        <w:tc>
          <w:tcPr>
            <w:tcW w:type="dxa" w:w="850"/>
            <w:shd w:fill="FFF7E3"/>
            <w:tcBorders>
              <w:top w:val="single" w:sz="7" w:color="D6B656"/>
              <w:left w:val="single" w:sz="7" w:color="D6B656"/>
              <w:bottom w:val="single" w:sz="7" w:color="D6B656"/>
              <w:right w:val="single" w:sz="7" w:color="D6B656"/>
            </w:tcBorders>
          </w:tcPr>
          <w:p>
            <w:pPr>
              <w:jc w:val="center"/>
              <w:bidi w:val="1"/>
            </w:pPr>
            <w:r>
              <w:rPr>
                <w:rFonts w:ascii="Noto Naskh Arabic" w:hAnsi="Noto Naskh Arabic" w:cs="Noto Naskh Arabic"/>
                <w:b/>
                <w:color w:val="B8860B"/>
                <w:sz w:val="17"/>
              </w:rPr>
              <w:t>99.2%</w:t>
            </w:r>
          </w:p>
        </w:tc>
        <w:tc>
          <w:tcPr>
            <w:tcW w:type="dxa" w:w="345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تظل المراجعة البشرية المتخصصة قبل النشر النهائي جزءًا من الحوكمة العلمية.</w:t>
            </w:r>
          </w:p>
        </w:tc>
        <w:tc>
          <w:tcPr>
            <w:tcW w:type="dxa" w:w="226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مراجعة نهائية موحدة للمجموعة كاملة.</w:t>
            </w:r>
          </w:p>
        </w:tc>
      </w:tr>
    </w:tbl>
    <w:p>
      <w:pPr>
        <w:spacing w:before="120" w:after="60"/>
        <w:jc w:val="right"/>
        <w:bidi w:val="1"/>
      </w:pPr>
      <w:r>
        <w:rPr>
          <w:rFonts w:ascii="Noto Naskh Arabic" w:hAnsi="Noto Naskh Arabic" w:cs="Noto Naskh Arabic"/>
          <w:b/>
          <w:color w:val="B8860B"/>
          <w:sz w:val="24"/>
        </w:rPr>
        <w:t>سجل التحسين التكراري</w:t>
      </w:r>
    </w:p>
    <w:tbl>
      <w:tblPr>
        <w:tblW w:type="auto" w:w="0"/>
        <w:jc w:val="center"/>
        <w:tblLook w:firstColumn="1" w:firstRow="1" w:lastColumn="0" w:lastRow="0" w:noHBand="0" w:noVBand="1" w:val="04A0"/>
      </w:tblPr>
      <w:tblGrid>
        <w:gridCol w:w="3421"/>
        <w:gridCol w:w="3421"/>
        <w:gridCol w:w="3421"/>
      </w:tblGrid>
      <w:tr>
        <w:trPr>
          <w:tblHeader w:val="true"/>
        </w:trPr>
        <w:tc>
          <w:tcPr>
            <w:tcW w:type="dxa" w:w="3421"/>
            <w:shd w:fill="1F4E79"/>
          </w:tcPr>
          <w:p>
            <w:pPr>
              <w:jc w:val="center"/>
              <w:bidi w:val="1"/>
            </w:pPr>
            <w:r>
              <w:rPr>
                <w:rFonts w:ascii="Noto Kufi Arabic" w:hAnsi="Noto Kufi Arabic" w:cs="Noto Kufi Arabic"/>
                <w:b/>
                <w:color w:val="FFFFFF"/>
                <w:sz w:val="17"/>
              </w:rPr>
              <w:t>الدورة</w:t>
            </w:r>
          </w:p>
        </w:tc>
        <w:tc>
          <w:tcPr>
            <w:tcW w:type="dxa" w:w="3421"/>
            <w:shd w:fill="1F4E79"/>
          </w:tcPr>
          <w:p>
            <w:pPr>
              <w:jc w:val="center"/>
              <w:bidi w:val="1"/>
            </w:pPr>
            <w:r>
              <w:rPr>
                <w:rFonts w:ascii="Noto Kufi Arabic" w:hAnsi="Noto Kufi Arabic" w:cs="Noto Kufi Arabic"/>
                <w:b/>
                <w:color w:val="FFFFFF"/>
                <w:sz w:val="17"/>
              </w:rPr>
              <w:t>ما تم فحصه وتحسينه</w:t>
            </w:r>
          </w:p>
        </w:tc>
        <w:tc>
          <w:tcPr>
            <w:tcW w:type="dxa" w:w="3421"/>
            <w:shd w:fill="1F4E79"/>
          </w:tcPr>
          <w:p>
            <w:pPr>
              <w:jc w:val="center"/>
              <w:bidi w:val="1"/>
            </w:pPr>
            <w:r>
              <w:rPr>
                <w:rFonts w:ascii="Noto Kufi Arabic" w:hAnsi="Noto Kufi Arabic" w:cs="Noto Kufi Arabic"/>
                <w:b/>
                <w:color w:val="FFFFFF"/>
                <w:sz w:val="17"/>
              </w:rPr>
              <w:t>الأثر</w:t>
            </w:r>
          </w:p>
        </w:tc>
      </w:tr>
      <w:tr>
        <w:trPr>
          <w:cantSplit/>
        </w:trPr>
        <w:tc>
          <w:tcPr>
            <w:tcW w:type="dxa" w:w="3421"/>
            <w:shd w:fill="F7FAFD"/>
          </w:tcPr>
          <w:p>
            <w:pPr>
              <w:jc w:val="right"/>
              <w:bidi w:val="1"/>
            </w:pPr>
            <w:r>
              <w:rPr>
                <w:rFonts w:ascii="Noto Naskh Arabic" w:hAnsi="Noto Naskh Arabic" w:cs="Noto Naskh Arabic"/>
                <w:b w:val="0"/>
                <w:color w:val="1F2937"/>
                <w:sz w:val="18"/>
              </w:rPr>
              <w:t>الدورة الأولى</w:t>
            </w:r>
          </w:p>
        </w:tc>
        <w:tc>
          <w:tcPr>
            <w:tcW w:type="dxa" w:w="3421"/>
            <w:shd w:fill="F7FAFD"/>
          </w:tcPr>
          <w:p>
            <w:pPr>
              <w:jc w:val="right"/>
              <w:bidi w:val="1"/>
            </w:pPr>
            <w:r>
              <w:rPr>
                <w:rFonts w:ascii="Noto Naskh Arabic" w:hAnsi="Noto Naskh Arabic" w:cs="Noto Naskh Arabic"/>
                <w:b w:val="0"/>
                <w:color w:val="1F2937"/>
                <w:sz w:val="18"/>
              </w:rPr>
              <w:t>مطابقة الآيات والعناوين وتسلسل المقاطع، وتقوية الربط بين السبب والقرار والنتيجة.</w:t>
            </w:r>
          </w:p>
        </w:tc>
        <w:tc>
          <w:tcPr>
            <w:tcW w:type="dxa" w:w="3421"/>
            <w:shd w:fill="F7FAFD"/>
          </w:tcPr>
          <w:p>
            <w:pPr>
              <w:jc w:val="right"/>
              <w:bidi w:val="1"/>
            </w:pPr>
            <w:r>
              <w:rPr>
                <w:rFonts w:ascii="Noto Naskh Arabic" w:hAnsi="Noto Naskh Arabic" w:cs="Noto Naskh Arabic"/>
                <w:b w:val="0"/>
                <w:color w:val="1F2937"/>
                <w:sz w:val="18"/>
              </w:rPr>
              <w:t>رفع الدقة النصية وتماسك القصة.</w:t>
            </w:r>
          </w:p>
        </w:tc>
      </w:tr>
      <w:tr>
        <w:trPr>
          <w:cantSplit/>
        </w:trPr>
        <w:tc>
          <w:tcPr>
            <w:tcW w:type="dxa" w:w="3421"/>
            <w:shd w:fill="DCE6F1"/>
          </w:tcPr>
          <w:p>
            <w:pPr>
              <w:jc w:val="right"/>
              <w:bidi w:val="1"/>
            </w:pPr>
            <w:r>
              <w:rPr>
                <w:rFonts w:ascii="Noto Naskh Arabic" w:hAnsi="Noto Naskh Arabic" w:cs="Noto Naskh Arabic"/>
                <w:b w:val="0"/>
                <w:color w:val="1F2937"/>
                <w:sz w:val="18"/>
              </w:rPr>
              <w:t>الدورة الثانية</w:t>
            </w:r>
          </w:p>
        </w:tc>
        <w:tc>
          <w:tcPr>
            <w:tcW w:type="dxa" w:w="3421"/>
            <w:shd w:fill="DCE6F1"/>
          </w:tcPr>
          <w:p>
            <w:pPr>
              <w:jc w:val="right"/>
              <w:bidi w:val="1"/>
            </w:pPr>
            <w:r>
              <w:rPr>
                <w:rFonts w:ascii="Noto Naskh Arabic" w:hAnsi="Noto Naskh Arabic" w:cs="Noto Naskh Arabic"/>
                <w:b w:val="0"/>
                <w:color w:val="1F2937"/>
                <w:sz w:val="18"/>
              </w:rPr>
              <w:t>مقارنة القالب بقصة إبليس، وصقل اللغة والجداول والتطبيقات وضبط التصميم.</w:t>
            </w:r>
          </w:p>
        </w:tc>
        <w:tc>
          <w:tcPr>
            <w:tcW w:type="dxa" w:w="3421"/>
            <w:shd w:fill="DCE6F1"/>
          </w:tcPr>
          <w:p>
            <w:pPr>
              <w:jc w:val="right"/>
              <w:bidi w:val="1"/>
            </w:pPr>
            <w:r>
              <w:rPr>
                <w:rFonts w:ascii="Noto Naskh Arabic" w:hAnsi="Noto Naskh Arabic" w:cs="Noto Naskh Arabic"/>
                <w:b w:val="0"/>
                <w:color w:val="1F2937"/>
                <w:sz w:val="18"/>
              </w:rPr>
              <w:t>رفع الاتساق والوضوح والجاهزية للتسليم.</w:t>
            </w:r>
          </w:p>
        </w:tc>
      </w:tr>
    </w:tbl>
    <w:p>
      <w:pPr>
        <w:spacing w:before="120" w:after="60"/>
        <w:jc w:val="right"/>
        <w:bidi w:val="1"/>
      </w:pPr>
      <w:r>
        <w:rPr>
          <w:rFonts w:ascii="Noto Naskh Arabic" w:hAnsi="Noto Naskh Arabic" w:cs="Noto Naskh Arabic"/>
          <w:b/>
          <w:color w:val="B8860B"/>
          <w:sz w:val="24"/>
        </w:rPr>
        <w:t>المراجع والمنهج</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القرآن الكريم - أصل النص، مع إثبات المقاطع وفق ترتيب ملف Excel ومراجعة صحة نطاق السور والآيات.</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سيد قطب، في ظلال القرآن - المرجع التفسيري الرئيس لقراءة وحدة السياق والحركة الإيمانية والنفسية والاجتماعية.</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الطبري، ابن كثير، القرطبي، السعدي - مراجع مساندة لضبط المعنى المشهور ومواضع الاحتمال عند الحاجة.</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التحليل النفسي والقيادي والإداري والتطبيقات المعاصرة صياغة أصلية ضمن إطار المشروع، وليست نقلاً حرفيًا من التفسير.</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المرجع الإلكتروني المستخدم للمراجعة: https://www.islamweb.net/ar/library/content/210/1211/</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تم تجنب الإسرائيليات والتفاصيل التاريخية غير اللازمة، وحفظ الفرق بين دلالة النص والاستنباط التطبيقي.</w:t>
      </w:r>
    </w:p>
    <w:sectPr w:rsidR="00FC693F" w:rsidRPr="0006063C" w:rsidSect="00034616">
      <w:headerReference w:type="default" r:id="rId9"/>
      <w:footerReference w:type="default" r:id="rId10"/>
      <w:pgSz w:w="11906" w:h="16838"/>
      <w:pgMar w:top="765" w:right="822" w:bottom="765"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Naskh Arabic" w:hAnsi="Noto Naskh Arabic" w:cs="Noto Naskh Arabic"/>
        <w:b w:val="0"/>
        <w:color w:val="6B7280"/>
        <w:sz w:val="16"/>
      </w:rPr>
      <w:t>إعداد وتحليل | أحمد لبيب</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ascii="Noto Kufi Arabic" w:hAnsi="Noto Kufi Arabic" w:cs="Noto Kufi Arabic"/>
        <w:b/>
        <w:color w:val="1F4E79"/>
        <w:sz w:val="17"/>
      </w:rPr>
      <w:t>قصص القرآن | قراءة تدبرية تطبيقية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oto Naskh Arabic" w:hAnsi="Noto Naskh Arabic" w:cs="Noto Naskh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أصحاب الفيل</dc:title>
  <dc:subject>قصص القرآن - قراءة تدبرية تطبيقية</dc:subject>
  <dc:creator>أحمد لبيب</dc:creator>
  <cp:keywords>القرآن، القصص القرآني، في ظلال القرآن، تدبر، أخلاق، قيادة، إدارة</cp:keywords>
  <dc:description>generated by python-docx</dc:description>
  <cp:lastModifiedBy/>
  <cp:revision>1</cp:revision>
  <dcterms:created xsi:type="dcterms:W3CDTF">2013-12-23T23:15:00Z</dcterms:created>
  <dcterms:modified xsi:type="dcterms:W3CDTF">2013-12-23T23:15:00Z</dcterms:modified>
  <cp:category/>
</cp:coreProperties>
</file>