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keepNext w:val="0"/>
        <w:bidi w:val="1"/>
      </w:pPr>
      <w:r>
        <w:rPr>
          <w:rFonts w:ascii="Noto Kufi Arabic" w:hAnsi="Noto Kufi Arabic" w:cs="Noto Kufi Arabic" w:eastAsia="Noto Kufi Arabic"/>
          <w:b/>
          <w:color w:val="B8860B"/>
          <w:sz w:val="22"/>
          <w:rtl/>
        </w:rPr>
        <w:t>033</w:t>
      </w:r>
    </w:p>
    <w:p>
      <w:pPr>
        <w:spacing w:before="0" w:after="20" w:line="240" w:lineRule="auto"/>
        <w:jc w:val="center"/>
        <w:keepNext w:val="0"/>
        <w:bidi w:val="1"/>
      </w:pPr>
      <w:r>
        <w:rPr>
          <w:rFonts w:ascii="Noto Kufi Arabic" w:hAnsi="Noto Kufi Arabic" w:cs="Noto Kufi Arabic" w:eastAsia="Noto Kufi Arabic"/>
          <w:b/>
          <w:color w:val="1F4E79"/>
          <w:sz w:val="48"/>
          <w:rtl/>
        </w:rPr>
        <w:t>أصحاب الجنة</w:t>
      </w:r>
    </w:p>
    <w:p>
      <w:pPr>
        <w:spacing w:before="0" w:after="60" w:line="252" w:lineRule="auto"/>
        <w:jc w:val="center"/>
        <w:keepNext w:val="0"/>
        <w:bidi w:val="1"/>
      </w:pPr>
      <w:r>
        <w:rPr>
          <w:rFonts w:ascii="Noto Naskh Arabic" w:hAnsi="Noto Naskh Arabic" w:cs="Noto Naskh Arabic" w:eastAsia="Noto Naskh Arabic"/>
          <w:b/>
          <w:color w:val="B8860B"/>
          <w:sz w:val="28"/>
          <w:rtl/>
        </w:rPr>
        <w:t>حين تتحول النعمة إلى ملكية مغلقة فيبدأ زوالها من داخل النية</w:t>
      </w:r>
    </w:p>
    <w:p>
      <w:pPr>
        <w:spacing w:before="0" w:after="80" w:line="276" w:lineRule="auto"/>
        <w:jc w:val="center"/>
        <w:keepNext w:val="0"/>
        <w:bidi w:val="1"/>
      </w:pPr>
      <w:r>
        <w:rPr>
          <w:rFonts w:ascii="Noto Naskh Arabic" w:hAnsi="Noto Naskh Arabic" w:cs="Noto Naskh Arabic" w:eastAsia="Noto Naskh Arabic"/>
          <w:b w:val="0"/>
          <w:color w:val="1F2937"/>
          <w:sz w:val="21"/>
          <w:rtl/>
        </w:rPr>
        <w:t>القيمة المحورية: شكر النعمة والمسؤولية الاجتماعية واستدامة الخير  |  التصنيف: أخلاق</w:t>
      </w:r>
    </w:p>
    <w:tbl>
      <w:tblPr>
        <w:tblW w:type="auto" w:w="0"/>
        <w:jc w:val="center"/>
        <w:tblLayout w:type="fixed"/>
        <w:tblLook w:firstColumn="1" w:firstRow="1" w:lastColumn="0" w:lastRow="0" w:noHBand="0" w:noVBand="1" w:val="04A0"/>
        <w:bidiVisual w:val="1"/>
        <w:tblBorders>
          <w:top w:val="single" w:sz="5" w:color="E6D5A5"/>
          <w:left w:val="single" w:sz="5" w:color="E6D5A5"/>
          <w:bottom w:val="single" w:sz="5" w:color="E6D5A5"/>
          <w:right w:val="single" w:sz="5" w:color="E6D5A5"/>
          <w:insideH w:val="single" w:sz="5" w:color="E6D5A5"/>
          <w:insideV w:val="single" w:sz="5" w:color="E6D5A5"/>
        </w:tblBorders>
      </w:tblPr>
      <w:tblGrid>
        <w:gridCol w:w="10368"/>
      </w:tblGrid>
      <w:tr>
        <w:tc>
          <w:tcPr>
            <w:tcW w:type="dxa" w:w="10267"/>
            <w:shd w:fill="FFF7E3"/>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9"/>
                <w:rtl/>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 ومنطقها الحركي.</w:t>
            </w:r>
          </w:p>
        </w:tc>
      </w:tr>
    </w:tbl>
    <w:p>
      <w:pPr>
        <w:spacing w:before="0" w:after="20" w:line="276" w:lineRule="auto"/>
        <w:jc w:val="center"/>
        <w:keepNext w:val="0"/>
        <w:bidi w:val="1"/>
      </w:pPr>
      <w:r>
        <w:rPr>
          <w:rFonts w:ascii="Noto Naskh Arabic" w:hAnsi="Noto Naskh Arabic" w:cs="Noto Naskh Arabic" w:eastAsia="Noto Naskh Arabic"/>
          <w:b w:val="0"/>
          <w:color w:val="6B7280"/>
          <w:sz w:val="18"/>
          <w:rtl/>
        </w:rPr>
        <w:t>مواضع القصة: القلم: من الآية 17 إلى الآية 33</w:t>
      </w:r>
    </w:p>
    <w:p/>
    <w:p>
      <w:pPr>
        <w:spacing w:before="0" w:after="60" w:line="276" w:lineRule="auto"/>
        <w:jc w:val="center"/>
        <w:keepNext w:val="0"/>
        <w:bidi w:val="1"/>
      </w:pPr>
      <w:r>
        <w:rPr>
          <w:rFonts w:ascii="Noto Naskh Arabic" w:hAnsi="Noto Naskh Arabic" w:cs="Noto Naskh Arabic" w:eastAsia="Noto Naskh Arabic"/>
          <w:b w:val="0"/>
          <w:color w:val="6B7280"/>
          <w:sz w:val="17"/>
          <w:rtl/>
        </w:rPr>
        <w:t>ترتيب القصة في ملف Excel: 34</w:t>
      </w:r>
    </w:p>
    <w:p>
      <w:pPr>
        <w:spacing w:before="160" w:after="100" w:line="240" w:lineRule="auto"/>
        <w:jc w:val="right"/>
        <w:keepNext/>
        <w:bidi w:val="1"/>
      </w:pPr>
      <w:r>
        <w:rPr>
          <w:rFonts w:ascii="Noto Kufi Arabic" w:hAnsi="Noto Kufi Arabic" w:cs="Noto Kufi Arabic" w:eastAsia="Noto Kufi Arabic"/>
          <w:b/>
          <w:color w:val="1F4E79"/>
          <w:sz w:val="28"/>
          <w:rtl/>
        </w:rPr>
        <w:t>مدخل القصة ومحورها</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5133"/>
        <w:gridCol w:w="5133"/>
      </w:tblGrid>
      <w:tr>
        <w:tc>
          <w:tcPr>
            <w:tcW w:type="dxa" w:w="2088"/>
            <w:shd w:fill="DCE6F1"/>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20"/>
                <w:rtl/>
              </w:rPr>
              <w:t>المحور المركزي</w:t>
            </w:r>
          </w:p>
        </w:tc>
        <w:tc>
          <w:tcPr>
            <w:tcW w:type="dxa" w:w="8280"/>
            <w:shd w:fill="F8FBFE"/>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0"/>
                <w:rtl/>
              </w:rPr>
              <w:t>النعمة ليست مخزونًا ماديًا مستقلًا عن الأخلاق؛ فالنية التي قررت إقصاء المسكين أعادت تعريف الثمرة من أمانة مشتركة المنافع إلى ملكية مغلقة، فجاء الابتلاء ليكشف هشاشة الشعور بالاستغناء.</w:t>
            </w:r>
          </w:p>
        </w:tc>
      </w:tr>
      <w:tr>
        <w:tc>
          <w:tcPr>
            <w:tcW w:type="dxa" w:w="2088"/>
            <w:shd w:fill="DCE6F1"/>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20"/>
                <w:rtl/>
              </w:rPr>
              <w:t>السؤال الإنساني</w:t>
            </w:r>
          </w:p>
        </w:tc>
        <w:tc>
          <w:tcPr>
            <w:tcW w:type="dxa" w:w="828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0"/>
                <w:rtl/>
              </w:rPr>
              <w:t>كيف يحافظ الإنسان أو المؤسسة على النعمة من أن تتحول الوفرة فيها إلى بخل جماعي، وكيف يصحح القرار بعد ظهور أثره؟</w:t>
            </w:r>
          </w:p>
        </w:tc>
      </w:tr>
      <w:tr>
        <w:tc>
          <w:tcPr>
            <w:tcW w:type="dxa" w:w="2088"/>
            <w:shd w:fill="DCE6F1"/>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20"/>
                <w:rtl/>
              </w:rPr>
              <w:t>الحركة الكبرى</w:t>
            </w:r>
          </w:p>
        </w:tc>
        <w:tc>
          <w:tcPr>
            <w:tcW w:type="dxa" w:w="8280"/>
            <w:shd w:fill="F8FBFE"/>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0"/>
                <w:rtl/>
              </w:rPr>
              <w:t>جنة مثمرة → اتفاق ليلي على القطع والمنع → طائف يهلكها وهم نائمون → اندفاع صباحي ووهم القدرة → صدمة الحرمان → ظهور صوت التوازن → اعتراف وتلاوم → رجاء في الإبدال → قاعدة عامة في ابتلاء النعمة.</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الآيات + الشرح</w:t>
      </w:r>
    </w:p>
    <w:tbl>
      <w:tblPr>
        <w:tblW w:type="auto" w:w="0"/>
        <w:jc w:val="center"/>
        <w:tblLayout w:type="fixed"/>
        <w:tblLook w:firstColumn="1" w:firstRow="1" w:lastColumn="0" w:lastRow="0" w:noHBand="0" w:noVBand="1" w:val="04A0"/>
        <w:bidiVisual w:val="1"/>
        <w:tblBorders>
          <w:top w:val="single" w:sz="6" w:color="B9CFE3"/>
          <w:left w:val="single" w:sz="6" w:color="B9CFE3"/>
          <w:bottom w:val="single" w:sz="6" w:color="B9CFE3"/>
          <w:right w:val="single" w:sz="6" w:color="B9CFE3"/>
          <w:insideH w:val="single" w:sz="6" w:color="B9CFE3"/>
          <w:insideV w:val="single" w:sz="6" w:color="B9CFE3"/>
        </w:tblBorders>
      </w:tblPr>
      <w:tblGrid>
        <w:gridCol w:w="10267"/>
      </w:tblGrid>
      <w:tr>
        <w:trPr/>
        <w:tc>
          <w:tcPr>
            <w:tcW w:type="dxa" w:w="10267"/>
            <w:shd w:fill="DCE6F1"/>
            <w:tcMar>
              <w:top w:w="120" w:type="dxa"/>
              <w:start w:w="120" w:type="dxa"/>
              <w:bottom w:w="100" w:type="dxa"/>
              <w:end w:w="120" w:type="dxa"/>
            </w:tcMar>
          </w:tcPr>
          <w:p>
            <w:pPr>
              <w:spacing w:after="80"/>
              <w:jc w:val="right"/>
              <w:bidi w:val="1"/>
            </w:pPr>
            <w:r/>
            <w:r>
              <w:rPr>
                <w:rFonts w:ascii="Noto Kufi Arabic" w:hAnsi="Noto Kufi Arabic" w:cs="Noto Kufi Arabic" w:eastAsia="Noto Kufi Arabic"/>
                <w:b/>
                <w:color w:val="1F4E79"/>
                <w:sz w:val="21"/>
                <w:rtl/>
              </w:rPr>
              <w:t>1. سورة القلم - الآيات من 17 إلى 33</w:t>
            </w:r>
          </w:p>
          <w:p>
            <w:pPr>
              <w:spacing w:line="324" w:lineRule="auto" w:after="100"/>
              <w:jc w:val="both"/>
              <w:bidi w:val="1"/>
            </w:pPr>
            <w:r>
              <w:rPr>
                <w:rFonts w:ascii="Noto Naskh Arabic" w:hAnsi="Noto Naskh Arabic" w:cs="Noto Naskh Arabic" w:eastAsia="Noto Naskh Arabic"/>
                <w:b w:val="0"/>
                <w:color w:val="1F2937"/>
                <w:sz w:val="23"/>
                <w:rtl/>
              </w:rPr>
              <w:t>إِنّا بَلَوناهُم كَما بَلَونا أَصحابَ الجَنَّةِ إِذ أَقسَموا لَيَصرِمُنَّها مُصبِحينَ﴿١٧﴾ وَلا يَستَثنونَ﴿١٨﴾ فَطافَ عَلَيها طائِفٌ مِن رَبِّكَ وَهُم نائِمونَ﴿١٩﴾ فَأَصبَحَت كَالصَّريمِ﴿٢٠﴾ فَتَنادَوا مُصبِحينَ﴿٢١﴾ أَنِ اغدوا عَلىٰ حَرثِكُم إِن كُنتُم صارِمينَ﴿٢٢﴾ فَانطَلَقوا وَهُم يَتَخافَتونَ﴿٢٣﴾ أَن لا يَدخُلَنَّهَا اليَومَ عَلَيكُم مِسكينٌ﴿٢٤﴾ وَغَدَوا عَلىٰ حَردٍ قادِرينَ﴿٢٥﴾ فَلَمّا رَأَوها قالوا إِنّا لَضالّونَ﴿٢٦﴾ بَل نَحنُ مَحرومونَ﴿٢٧﴾ قالَ أَوسَطُهُم أَلَم أَقُل لَكُم لَولا تُسَبِّحونَ﴿٢٨﴾ قالوا سُبحانَ رَبِّنا إِنّا كُنّا ظالِمينَ﴿٢٩﴾ فَأَقبَلَ بَعضُهُم عَلىٰ بَعضٍ يَتَلاوَمونَ﴿٣٠﴾ قالوا يا وَيلَنا إِنّا كُنّا طاغينَ﴿٣١﴾ عَسىٰ رَبُّنا أَن يُبدِلَنا خَيرًا مِنها إِنّا إِلىٰ رَبِّنا راغِبونَ﴿٣٢﴾ كَذٰلِكَ العَذابُ ۖ وَلَعَذابُ الآخِرَةِ أَكبَرُ ۚ لَو كانوا يَعلَمونَ﴿٣٣﴾</w:t>
            </w:r>
          </w:p>
          <w:p>
            <w:pPr>
              <w:spacing w:after="40" w:line="269" w:lineRule="auto"/>
              <w:jc w:val="both"/>
              <w:bidi w:val="1"/>
            </w:pPr>
            <w:r>
              <w:rPr>
                <w:rFonts w:ascii="Noto Naskh Arabic" w:hAnsi="Noto Naskh Arabic" w:cs="Noto Naskh Arabic" w:eastAsia="Noto Naskh Arabic"/>
                <w:b/>
                <w:color w:val="B8860B"/>
                <w:sz w:val="19"/>
                <w:rtl/>
              </w:rPr>
              <w:t xml:space="preserve">1. </w:t>
            </w:r>
            <w:r>
              <w:rPr>
                <w:rFonts w:ascii="Noto Naskh Arabic" w:hAnsi="Noto Naskh Arabic" w:cs="Noto Naskh Arabic" w:eastAsia="Noto Naskh Arabic"/>
                <w:b w:val="0"/>
                <w:color w:val="1F2937"/>
                <w:sz w:val="19"/>
                <w:rtl/>
              </w:rPr>
              <w:t>شبّه السياق ابتلاء المكذبين بابتلاء أصحاب الجنة؛ فالوفرة نفسها ميدان اختبار وليست دليل رضا دائمًا.</w:t>
            </w:r>
          </w:p>
          <w:p>
            <w:pPr>
              <w:spacing w:after="40" w:line="269" w:lineRule="auto"/>
              <w:jc w:val="both"/>
              <w:bidi w:val="1"/>
            </w:pPr>
            <w:r>
              <w:rPr>
                <w:rFonts w:ascii="Noto Naskh Arabic" w:hAnsi="Noto Naskh Arabic" w:cs="Noto Naskh Arabic" w:eastAsia="Noto Naskh Arabic"/>
                <w:b/>
                <w:color w:val="B8860B"/>
                <w:sz w:val="19"/>
                <w:rtl/>
              </w:rPr>
              <w:t xml:space="preserve">2. </w:t>
            </w:r>
            <w:r>
              <w:rPr>
                <w:rFonts w:ascii="Noto Naskh Arabic" w:hAnsi="Noto Naskh Arabic" w:cs="Noto Naskh Arabic" w:eastAsia="Noto Naskh Arabic"/>
                <w:b w:val="0"/>
                <w:color w:val="1F2937"/>
                <w:sz w:val="19"/>
                <w:rtl/>
              </w:rPr>
              <w:t>أقسموا أن يقطعوا الثمر صباحًا، وانعقد القرار الجماعي قبل التنفيذ؛ فالانحراف بدأ في النية والتخطيط لا عند لحظة الحصاد فقط.</w:t>
            </w:r>
          </w:p>
          <w:p>
            <w:pPr>
              <w:spacing w:after="40" w:line="269" w:lineRule="auto"/>
              <w:jc w:val="both"/>
              <w:bidi w:val="1"/>
            </w:pPr>
            <w:r>
              <w:rPr>
                <w:rFonts w:ascii="Noto Naskh Arabic" w:hAnsi="Noto Naskh Arabic" w:cs="Noto Naskh Arabic" w:eastAsia="Noto Naskh Arabic"/>
                <w:b/>
                <w:color w:val="B8860B"/>
                <w:sz w:val="19"/>
                <w:rtl/>
              </w:rPr>
              <w:t xml:space="preserve">3. </w:t>
            </w:r>
            <w:r>
              <w:rPr>
                <w:rFonts w:ascii="Noto Naskh Arabic" w:hAnsi="Noto Naskh Arabic" w:cs="Noto Naskh Arabic" w:eastAsia="Noto Naskh Arabic"/>
                <w:b w:val="0"/>
                <w:color w:val="1F2937"/>
                <w:sz w:val="19"/>
                <w:rtl/>
              </w:rPr>
              <w:t>قوله ولا يستثنون يحتمل ترك تعليق الأمر على مشيئة الله وترك استثناء حق المحتاج، ويجمع الحال معنى الاستغناء والمنع.</w:t>
            </w:r>
          </w:p>
          <w:p>
            <w:pPr>
              <w:spacing w:after="40" w:line="269" w:lineRule="auto"/>
              <w:jc w:val="both"/>
              <w:bidi w:val="1"/>
            </w:pPr>
            <w:r>
              <w:rPr>
                <w:rFonts w:ascii="Noto Naskh Arabic" w:hAnsi="Noto Naskh Arabic" w:cs="Noto Naskh Arabic" w:eastAsia="Noto Naskh Arabic"/>
                <w:b/>
                <w:color w:val="B8860B"/>
                <w:sz w:val="19"/>
                <w:rtl/>
              </w:rPr>
              <w:t xml:space="preserve">4. </w:t>
            </w:r>
            <w:r>
              <w:rPr>
                <w:rFonts w:ascii="Noto Naskh Arabic" w:hAnsi="Noto Naskh Arabic" w:cs="Noto Naskh Arabic" w:eastAsia="Noto Naskh Arabic"/>
                <w:b w:val="0"/>
                <w:color w:val="1F2937"/>
                <w:sz w:val="19"/>
                <w:rtl/>
              </w:rPr>
              <w:t>جاء الطائف من ربك ليلًا وهم نائمون، فانهار أصل المشروع في الوقت الذي ظنوا فيه أن السيطرة كاملة.</w:t>
            </w:r>
          </w:p>
          <w:p>
            <w:pPr>
              <w:spacing w:after="40" w:line="269" w:lineRule="auto"/>
              <w:jc w:val="both"/>
              <w:bidi w:val="1"/>
            </w:pPr>
            <w:r>
              <w:rPr>
                <w:rFonts w:ascii="Noto Naskh Arabic" w:hAnsi="Noto Naskh Arabic" w:cs="Noto Naskh Arabic" w:eastAsia="Noto Naskh Arabic"/>
                <w:b/>
                <w:color w:val="B8860B"/>
                <w:sz w:val="19"/>
                <w:rtl/>
              </w:rPr>
              <w:t xml:space="preserve">5. </w:t>
            </w:r>
            <w:r>
              <w:rPr>
                <w:rFonts w:ascii="Noto Naskh Arabic" w:hAnsi="Noto Naskh Arabic" w:cs="Noto Naskh Arabic" w:eastAsia="Noto Naskh Arabic"/>
                <w:b w:val="0"/>
                <w:color w:val="1F2937"/>
                <w:sz w:val="19"/>
                <w:rtl/>
              </w:rPr>
              <w:t>استيقظوا على إجراءات التنفيذ نفسها: النداء، والذهاب المبكر، والتخافت؛ بقيت الخطة تعمل بينما موضوعها قد زال.</w:t>
            </w:r>
          </w:p>
          <w:p>
            <w:pPr>
              <w:spacing w:after="40" w:line="269" w:lineRule="auto"/>
              <w:jc w:val="both"/>
              <w:bidi w:val="1"/>
            </w:pPr>
            <w:r>
              <w:rPr>
                <w:rFonts w:ascii="Noto Naskh Arabic" w:hAnsi="Noto Naskh Arabic" w:cs="Noto Naskh Arabic" w:eastAsia="Noto Naskh Arabic"/>
                <w:b/>
                <w:color w:val="B8860B"/>
                <w:sz w:val="19"/>
                <w:rtl/>
              </w:rPr>
              <w:t xml:space="preserve">6. </w:t>
            </w:r>
            <w:r>
              <w:rPr>
                <w:rFonts w:ascii="Noto Naskh Arabic" w:hAnsi="Noto Naskh Arabic" w:cs="Noto Naskh Arabic" w:eastAsia="Noto Naskh Arabic"/>
                <w:b w:val="0"/>
                <w:color w:val="1F2937"/>
                <w:sz w:val="19"/>
                <w:rtl/>
              </w:rPr>
              <w:t>كان تخافتهم أن لا يدخلها مسكين؛ فتحولت السرية من أداة تنظيم إلى وسيلة لعزل أصحاب الحق عن مورد الرزق.</w:t>
            </w:r>
          </w:p>
          <w:p>
            <w:pPr>
              <w:spacing w:after="40" w:line="269" w:lineRule="auto"/>
              <w:jc w:val="both"/>
              <w:bidi w:val="1"/>
            </w:pPr>
            <w:r>
              <w:rPr>
                <w:rFonts w:ascii="Noto Naskh Arabic" w:hAnsi="Noto Naskh Arabic" w:cs="Noto Naskh Arabic" w:eastAsia="Noto Naskh Arabic"/>
                <w:b/>
                <w:color w:val="B8860B"/>
                <w:sz w:val="19"/>
                <w:rtl/>
              </w:rPr>
              <w:t xml:space="preserve">7. </w:t>
            </w:r>
            <w:r>
              <w:rPr>
                <w:rFonts w:ascii="Noto Naskh Arabic" w:hAnsi="Noto Naskh Arabic" w:cs="Noto Naskh Arabic" w:eastAsia="Noto Naskh Arabic"/>
                <w:b w:val="0"/>
                <w:color w:val="1F2937"/>
                <w:sz w:val="19"/>
                <w:rtl/>
              </w:rPr>
              <w:t>خرجوا على حرد قادرين، أي على عزم ومنع وشعور بالقدرة، فجمع المشهد شدة الإرادة مع غياب الوعي بالواقع.</w:t>
            </w:r>
          </w:p>
          <w:p>
            <w:pPr>
              <w:spacing w:after="40" w:line="269" w:lineRule="auto"/>
              <w:jc w:val="both"/>
              <w:bidi w:val="1"/>
            </w:pPr>
            <w:r>
              <w:rPr>
                <w:rFonts w:ascii="Noto Naskh Arabic" w:hAnsi="Noto Naskh Arabic" w:cs="Noto Naskh Arabic" w:eastAsia="Noto Naskh Arabic"/>
                <w:b/>
                <w:color w:val="B8860B"/>
                <w:sz w:val="19"/>
                <w:rtl/>
              </w:rPr>
              <w:t xml:space="preserve">8. </w:t>
            </w:r>
            <w:r>
              <w:rPr>
                <w:rFonts w:ascii="Noto Naskh Arabic" w:hAnsi="Noto Naskh Arabic" w:cs="Noto Naskh Arabic" w:eastAsia="Noto Naskh Arabic"/>
                <w:b w:val="0"/>
                <w:color w:val="1F2937"/>
                <w:sz w:val="19"/>
                <w:rtl/>
              </w:rPr>
              <w:t>بدأ التشخيص بقولهم إنا لضالون ثم انتقل إلى بل نحن محرومون؛ فالمعرفة الصحيحة جاءت على مرحلتين: التعرف إلى المكان ثم التعرف إلى السبب الأخلاقي.</w:t>
            </w:r>
          </w:p>
          <w:p>
            <w:pPr>
              <w:spacing w:after="40" w:line="269" w:lineRule="auto"/>
              <w:jc w:val="both"/>
              <w:bidi w:val="1"/>
            </w:pPr>
            <w:r>
              <w:rPr>
                <w:rFonts w:ascii="Noto Naskh Arabic" w:hAnsi="Noto Naskh Arabic" w:cs="Noto Naskh Arabic" w:eastAsia="Noto Naskh Arabic"/>
                <w:b/>
                <w:color w:val="B8860B"/>
                <w:sz w:val="19"/>
                <w:rtl/>
              </w:rPr>
              <w:t xml:space="preserve">9. </w:t>
            </w:r>
            <w:r>
              <w:rPr>
                <w:rFonts w:ascii="Noto Naskh Arabic" w:hAnsi="Noto Naskh Arabic" w:cs="Noto Naskh Arabic" w:eastAsia="Noto Naskh Arabic"/>
                <w:b w:val="0"/>
                <w:color w:val="1F2937"/>
                <w:sz w:val="19"/>
                <w:rtl/>
              </w:rPr>
              <w:t>ظهر أوسطهم بوصفه صوت المراجعة الذي سبق الأزمة ولم يُسمع، ثم تحولت الجماعة إلى التسبيح والاعتراف بالظلم.</w:t>
            </w:r>
          </w:p>
          <w:p>
            <w:pPr>
              <w:spacing w:after="40" w:line="269" w:lineRule="auto"/>
              <w:jc w:val="both"/>
              <w:bidi w:val="1"/>
            </w:pPr>
            <w:r>
              <w:rPr>
                <w:rFonts w:ascii="Noto Naskh Arabic" w:hAnsi="Noto Naskh Arabic" w:cs="Noto Naskh Arabic" w:eastAsia="Noto Naskh Arabic"/>
                <w:b/>
                <w:color w:val="B8860B"/>
                <w:sz w:val="19"/>
                <w:rtl/>
              </w:rPr>
              <w:t xml:space="preserve">10. </w:t>
            </w:r>
            <w:r>
              <w:rPr>
                <w:rFonts w:ascii="Noto Naskh Arabic" w:hAnsi="Noto Naskh Arabic" w:cs="Noto Naskh Arabic" w:eastAsia="Noto Naskh Arabic"/>
                <w:b w:val="0"/>
                <w:color w:val="1F2937"/>
                <w:sz w:val="19"/>
                <w:rtl/>
              </w:rPr>
              <w:t>بعد التلاوم لم يقفوا عند جلد الذات، بل اتجهوا إلى ربهم راغبين؛ فالتوبة الصادقة تجمع المسؤولية والرجاء والعمل على بداية جديدة.</w:t>
            </w:r>
          </w:p>
          <w:p>
            <w:pPr>
              <w:spacing w:after="40" w:line="269" w:lineRule="auto"/>
              <w:jc w:val="both"/>
              <w:bidi w:val="1"/>
            </w:pPr>
            <w:r>
              <w:rPr>
                <w:rFonts w:ascii="Noto Naskh Arabic" w:hAnsi="Noto Naskh Arabic" w:cs="Noto Naskh Arabic" w:eastAsia="Noto Naskh Arabic"/>
                <w:b/>
                <w:color w:val="B8860B"/>
                <w:sz w:val="19"/>
                <w:rtl/>
              </w:rPr>
              <w:t xml:space="preserve">11. </w:t>
            </w:r>
            <w:r>
              <w:rPr>
                <w:rFonts w:ascii="Noto Naskh Arabic" w:hAnsi="Noto Naskh Arabic" w:cs="Noto Naskh Arabic" w:eastAsia="Noto Naskh Arabic"/>
                <w:b w:val="0"/>
                <w:color w:val="1F2937"/>
                <w:sz w:val="19"/>
                <w:rtl/>
              </w:rPr>
              <w:t>اختتمت القصة بتعميم العبرة: كذلك العذاب، فلا تبقى الحكاية حادثة زراعية بل تصبح قانونًا في التعامل مع النعمة والحق.</w:t>
            </w:r>
          </w:p>
        </w:tc>
      </w:tr>
    </w:tbl>
    <w:p>
      <w:pPr>
        <w:spacing w:after="20"/>
      </w:pPr>
    </w:p>
    <w:p>
      <w:pPr>
        <w:spacing w:before="160" w:after="100" w:line="240" w:lineRule="auto"/>
        <w:jc w:val="right"/>
        <w:keepNext/>
        <w:bidi w:val="1"/>
      </w:pPr>
      <w:r>
        <w:rPr>
          <w:rFonts w:ascii="Noto Kufi Arabic" w:hAnsi="Noto Kufi Arabic" w:cs="Noto Kufi Arabic" w:eastAsia="Noto Kufi Arabic"/>
          <w:b/>
          <w:color w:val="1F4E79"/>
          <w:sz w:val="28"/>
          <w:rtl/>
        </w:rPr>
        <w:t>التحليل الحركي والنفسي</w:t>
      </w:r>
    </w:p>
    <w:p>
      <w:pPr>
        <w:spacing w:after="60" w:line="288" w:lineRule="auto"/>
        <w:jc w:val="both"/>
        <w:bidi w:val="1"/>
      </w:pPr>
      <w:r>
        <w:rPr>
          <w:rFonts w:ascii="Noto Naskh Arabic" w:hAnsi="Noto Naskh Arabic" w:cs="Noto Naskh Arabic" w:eastAsia="Noto Naskh Arabic"/>
          <w:b/>
          <w:color w:val="B8860B"/>
          <w:sz w:val="21"/>
          <w:rtl/>
        </w:rPr>
        <w:t xml:space="preserve">1. </w:t>
      </w:r>
      <w:r>
        <w:rPr>
          <w:rFonts w:ascii="Noto Naskh Arabic" w:hAnsi="Noto Naskh Arabic" w:cs="Noto Naskh Arabic" w:eastAsia="Noto Naskh Arabic"/>
          <w:b w:val="0"/>
          <w:color w:val="1F2937"/>
          <w:sz w:val="21"/>
          <w:rtl/>
        </w:rPr>
        <w:t>الابتلاء هنا ليس بالفقر بل بالوفرة؛ وأصعب اختبارات الأخلاق أن يملك الإنسان القدرة على المنع ثم يقرر كيف يستخدمها.</w:t>
      </w:r>
    </w:p>
    <w:p>
      <w:pPr>
        <w:spacing w:after="60" w:line="288" w:lineRule="auto"/>
        <w:jc w:val="both"/>
        <w:bidi w:val="1"/>
      </w:pPr>
      <w:r>
        <w:rPr>
          <w:rFonts w:ascii="Noto Naskh Arabic" w:hAnsi="Noto Naskh Arabic" w:cs="Noto Naskh Arabic" w:eastAsia="Noto Naskh Arabic"/>
          <w:b/>
          <w:color w:val="B8860B"/>
          <w:sz w:val="21"/>
          <w:rtl/>
        </w:rPr>
        <w:t xml:space="preserve">2. </w:t>
      </w:r>
      <w:r>
        <w:rPr>
          <w:rFonts w:ascii="Noto Naskh Arabic" w:hAnsi="Noto Naskh Arabic" w:cs="Noto Naskh Arabic" w:eastAsia="Noto Naskh Arabic"/>
          <w:b w:val="0"/>
          <w:color w:val="1F2937"/>
          <w:sz w:val="21"/>
          <w:rtl/>
        </w:rPr>
        <w:t>القرار الجماعي لا يصبح أخلاقيًا لمجرد الاتفاق عليه؛ قد يتبادل الأفراد التطمين حتى تتحول الأنانية إلى سياسة مؤسسية.</w:t>
      </w:r>
    </w:p>
    <w:p>
      <w:pPr>
        <w:spacing w:after="60" w:line="288" w:lineRule="auto"/>
        <w:jc w:val="both"/>
        <w:bidi w:val="1"/>
      </w:pPr>
      <w:r>
        <w:rPr>
          <w:rFonts w:ascii="Noto Naskh Arabic" w:hAnsi="Noto Naskh Arabic" w:cs="Noto Naskh Arabic" w:eastAsia="Noto Naskh Arabic"/>
          <w:b/>
          <w:color w:val="B8860B"/>
          <w:sz w:val="21"/>
          <w:rtl/>
        </w:rPr>
        <w:t xml:space="preserve">3. </w:t>
      </w:r>
      <w:r>
        <w:rPr>
          <w:rFonts w:ascii="Noto Naskh Arabic" w:hAnsi="Noto Naskh Arabic" w:cs="Noto Naskh Arabic" w:eastAsia="Noto Naskh Arabic"/>
          <w:b w:val="0"/>
          <w:color w:val="1F2937"/>
          <w:sz w:val="21"/>
          <w:rtl/>
        </w:rPr>
        <w:t>التخافت يكشف أن الفاعلين كانوا يدركون وجود حق أو اعتراض أخلاقي، ولذلك احتاجوا إلى السرية لتجنب عين المحتاج وصوت الضمير.</w:t>
      </w:r>
    </w:p>
    <w:p>
      <w:pPr>
        <w:spacing w:after="60" w:line="288" w:lineRule="auto"/>
        <w:jc w:val="both"/>
        <w:bidi w:val="1"/>
      </w:pPr>
      <w:r>
        <w:rPr>
          <w:rFonts w:ascii="Noto Naskh Arabic" w:hAnsi="Noto Naskh Arabic" w:cs="Noto Naskh Arabic" w:eastAsia="Noto Naskh Arabic"/>
          <w:b/>
          <w:color w:val="B8860B"/>
          <w:sz w:val="21"/>
          <w:rtl/>
        </w:rPr>
        <w:t xml:space="preserve">4. </w:t>
      </w:r>
      <w:r>
        <w:rPr>
          <w:rFonts w:ascii="Noto Naskh Arabic" w:hAnsi="Noto Naskh Arabic" w:cs="Noto Naskh Arabic" w:eastAsia="Noto Naskh Arabic"/>
          <w:b w:val="0"/>
          <w:color w:val="1F2937"/>
          <w:sz w:val="21"/>
          <w:rtl/>
        </w:rPr>
        <w:t>النية تسبق المؤشر المالي؛ قبل أن تختفي الثمرة كانت البركة قد اختفت من تصورهم حين أخرجوا المسكين من الحساب.</w:t>
      </w:r>
    </w:p>
    <w:p>
      <w:pPr>
        <w:spacing w:after="60" w:line="288" w:lineRule="auto"/>
        <w:jc w:val="both"/>
        <w:bidi w:val="1"/>
      </w:pPr>
      <w:r>
        <w:rPr>
          <w:rFonts w:ascii="Noto Naskh Arabic" w:hAnsi="Noto Naskh Arabic" w:cs="Noto Naskh Arabic" w:eastAsia="Noto Naskh Arabic"/>
          <w:b/>
          <w:color w:val="B8860B"/>
          <w:sz w:val="21"/>
          <w:rtl/>
        </w:rPr>
        <w:t xml:space="preserve">5. </w:t>
      </w:r>
      <w:r>
        <w:rPr>
          <w:rFonts w:ascii="Noto Naskh Arabic" w:hAnsi="Noto Naskh Arabic" w:cs="Noto Naskh Arabic" w:eastAsia="Noto Naskh Arabic"/>
          <w:b w:val="0"/>
          <w:color w:val="1F2937"/>
          <w:sz w:val="21"/>
          <w:rtl/>
        </w:rPr>
        <w:t>استمرارهم في إجراءات الحصاد بعد هلاك الجنة يصور خطر الخطط التي تعمل بكفاءة على بيانات لم تعد موجودة.</w:t>
      </w:r>
    </w:p>
    <w:p>
      <w:pPr>
        <w:spacing w:after="60" w:line="288" w:lineRule="auto"/>
        <w:jc w:val="both"/>
        <w:bidi w:val="1"/>
      </w:pPr>
      <w:r>
        <w:rPr>
          <w:rFonts w:ascii="Noto Naskh Arabic" w:hAnsi="Noto Naskh Arabic" w:cs="Noto Naskh Arabic" w:eastAsia="Noto Naskh Arabic"/>
          <w:b/>
          <w:color w:val="B8860B"/>
          <w:sz w:val="21"/>
          <w:rtl/>
        </w:rPr>
        <w:t xml:space="preserve">6. </w:t>
      </w:r>
      <w:r>
        <w:rPr>
          <w:rFonts w:ascii="Noto Naskh Arabic" w:hAnsi="Noto Naskh Arabic" w:cs="Noto Naskh Arabic" w:eastAsia="Noto Naskh Arabic"/>
          <w:b w:val="0"/>
          <w:color w:val="1F2937"/>
          <w:sz w:val="21"/>
          <w:rtl/>
        </w:rPr>
        <w:t>صوت أوسطهم يمثل وظيفة الحوكمة الأخلاقية داخل الفريق: ليس بالضرورة الأقوى، لكنه الأكثر اتزانًا وقدرة على تذكير الجماعة بما نسيت.</w:t>
      </w:r>
    </w:p>
    <w:p>
      <w:pPr>
        <w:spacing w:after="60" w:line="288" w:lineRule="auto"/>
        <w:jc w:val="both"/>
        <w:bidi w:val="1"/>
      </w:pPr>
      <w:r>
        <w:rPr>
          <w:rFonts w:ascii="Noto Naskh Arabic" w:hAnsi="Noto Naskh Arabic" w:cs="Noto Naskh Arabic" w:eastAsia="Noto Naskh Arabic"/>
          <w:b/>
          <w:color w:val="B8860B"/>
          <w:sz w:val="21"/>
          <w:rtl/>
        </w:rPr>
        <w:t xml:space="preserve">7. </w:t>
      </w:r>
      <w:r>
        <w:rPr>
          <w:rFonts w:ascii="Noto Naskh Arabic" w:hAnsi="Noto Naskh Arabic" w:cs="Noto Naskh Arabic" w:eastAsia="Noto Naskh Arabic"/>
          <w:b w:val="0"/>
          <w:color w:val="1F2937"/>
          <w:sz w:val="21"/>
          <w:rtl/>
        </w:rPr>
        <w:t>التلاوم مرحلة مفيدة إذا قاد إلى تحديد المسؤولية، لكنه يصبح هروبًا جديدًا إذا استُخدم لتوزيع الذنب دون تصحيح.</w:t>
      </w:r>
    </w:p>
    <w:p>
      <w:pPr>
        <w:spacing w:after="60" w:line="288" w:lineRule="auto"/>
        <w:jc w:val="both"/>
        <w:bidi w:val="1"/>
      </w:pPr>
      <w:r>
        <w:rPr>
          <w:rFonts w:ascii="Noto Naskh Arabic" w:hAnsi="Noto Naskh Arabic" w:cs="Noto Naskh Arabic" w:eastAsia="Noto Naskh Arabic"/>
          <w:b/>
          <w:color w:val="B8860B"/>
          <w:sz w:val="21"/>
          <w:rtl/>
        </w:rPr>
        <w:t xml:space="preserve">8. </w:t>
      </w:r>
      <w:r>
        <w:rPr>
          <w:rFonts w:ascii="Noto Naskh Arabic" w:hAnsi="Noto Naskh Arabic" w:cs="Noto Naskh Arabic" w:eastAsia="Noto Naskh Arabic"/>
          <w:b w:val="0"/>
          <w:color w:val="1F2937"/>
          <w:sz w:val="21"/>
          <w:rtl/>
        </w:rPr>
        <w:t>قولهم إنا كنا طاغين أعمق من الاعتراف بخطأ تشغيلي؛ لقد اكتشفوا أن المشكلة تجاوزت حدود البستان إلى طريقة نظرهم للنعمة والناس.</w:t>
      </w:r>
    </w:p>
    <w:p>
      <w:pPr>
        <w:spacing w:after="60" w:line="288" w:lineRule="auto"/>
        <w:jc w:val="both"/>
        <w:bidi w:val="1"/>
      </w:pPr>
      <w:r>
        <w:rPr>
          <w:rFonts w:ascii="Noto Naskh Arabic" w:hAnsi="Noto Naskh Arabic" w:cs="Noto Naskh Arabic" w:eastAsia="Noto Naskh Arabic"/>
          <w:b/>
          <w:color w:val="B8860B"/>
          <w:sz w:val="21"/>
          <w:rtl/>
        </w:rPr>
        <w:t xml:space="preserve">9. </w:t>
      </w:r>
      <w:r>
        <w:rPr>
          <w:rFonts w:ascii="Noto Naskh Arabic" w:hAnsi="Noto Naskh Arabic" w:cs="Noto Naskh Arabic" w:eastAsia="Noto Naskh Arabic"/>
          <w:b w:val="0"/>
          <w:color w:val="1F2937"/>
          <w:sz w:val="21"/>
          <w:rtl/>
        </w:rPr>
        <w:t>رجاؤهم في الإبدال لم يأت قبل الاعتراف، ولذلك لا يقدم النص الأمل بديلًا عن المسؤولية بل نتيجة لاتجاه القلب إلى الله.</w:t>
      </w:r>
    </w:p>
    <w:p>
      <w:pPr>
        <w:spacing w:after="60" w:line="288" w:lineRule="auto"/>
        <w:jc w:val="both"/>
        <w:bidi w:val="1"/>
      </w:pPr>
      <w:r>
        <w:rPr>
          <w:rFonts w:ascii="Noto Naskh Arabic" w:hAnsi="Noto Naskh Arabic" w:cs="Noto Naskh Arabic" w:eastAsia="Noto Naskh Arabic"/>
          <w:b/>
          <w:color w:val="B8860B"/>
          <w:sz w:val="21"/>
          <w:rtl/>
        </w:rPr>
        <w:t xml:space="preserve">10. </w:t>
      </w:r>
      <w:r>
        <w:rPr>
          <w:rFonts w:ascii="Noto Naskh Arabic" w:hAnsi="Noto Naskh Arabic" w:cs="Noto Naskh Arabic" w:eastAsia="Noto Naskh Arabic"/>
          <w:b w:val="0"/>
          <w:color w:val="1F2937"/>
          <w:sz w:val="21"/>
          <w:rtl/>
        </w:rPr>
        <w:t>القصة تبني مفهوم الاستدامة الأخلاقية: المورد الذي لا يؤدي حقه الاجتماعي قد يربح موسمًا، لكنه يضعف أساس بقائه ومعناه.</w:t>
      </w:r>
    </w:p>
    <w:p>
      <w:pPr>
        <w:spacing w:before="160" w:after="100" w:line="240" w:lineRule="auto"/>
        <w:jc w:val="right"/>
        <w:keepNext/>
        <w:bidi w:val="1"/>
      </w:pPr>
      <w:r>
        <w:rPr>
          <w:rFonts w:ascii="Noto Kufi Arabic" w:hAnsi="Noto Kufi Arabic" w:cs="Noto Kufi Arabic" w:eastAsia="Noto Kufi Arabic"/>
          <w:b/>
          <w:color w:val="1F4E79"/>
          <w:sz w:val="28"/>
          <w:rtl/>
        </w:rPr>
        <w:t>الخلاصة</w:t>
      </w:r>
    </w:p>
    <w:tbl>
      <w:tblPr>
        <w:tblW w:type="auto" w:w="0"/>
        <w:jc w:val="center"/>
        <w:tblLook w:firstColumn="1" w:firstRow="1" w:lastColumn="0" w:lastRow="0" w:noHBand="0" w:noVBand="1" w:val="04A0"/>
        <w:bidiVisual w:val="1"/>
        <w:tblBorders>
          <w:top w:val="single" w:sz="5" w:color="B9CFE3"/>
          <w:left w:val="single" w:sz="5" w:color="B9CFE3"/>
          <w:bottom w:val="single" w:sz="5" w:color="B9CFE3"/>
          <w:right w:val="single" w:sz="5" w:color="B9CFE3"/>
          <w:insideH w:val="single" w:sz="5" w:color="B9CFE3"/>
          <w:insideV w:val="single" w:sz="5" w:color="B9CFE3"/>
        </w:tblBorders>
      </w:tblPr>
      <w:tblGrid>
        <w:gridCol w:w="10267"/>
      </w:tblGrid>
      <w:tr>
        <w:tc>
          <w:tcPr>
            <w:tcW w:type="dxa" w:w="10267"/>
            <w:shd w:fill="EEF4F9"/>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2"/>
                <w:rtl/>
              </w:rPr>
              <w:t>امتلك أصحاب الجنة موردًا منتجًا، لكنهم أرادوا فصل الثمرة عن حق المحتاج وعن مشيئة المنعم. دبّروا الحصاد سرًا، وخرجوا واثقين من قدرتهم، فإذا الجنة قد صارت كالصريم. في الصدمة انكشف صوت التوازن، ثم اعترفوا بالظلم وتلاوموا ورغبوا إلى ربهم. لا تجعل القصة الفقر عقوبة آلية لكل تقصير، لكنها تقرر بوضوح أن النعمة ابتلاء، وأن البخل الجماعي والاغترار بالقدرة يهددان الإنسان قبل أن يهددا المال.</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المرحلة | النص | التطبيق على الإنسان</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3422"/>
        <w:gridCol w:w="3422"/>
        <w:gridCol w:w="3422"/>
      </w:tblGrid>
      <w:tr>
        <w:trPr>
          <w:tblHeader w:val="true"/>
        </w:trPr>
        <w:tc>
          <w:tcPr>
            <w:tcW w:type="dxa" w:w="1944"/>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المرحلة</w:t>
            </w:r>
          </w:p>
        </w:tc>
        <w:tc>
          <w:tcPr>
            <w:tcW w:type="dxa" w:w="295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النص أو المعنى المحوري</w:t>
            </w:r>
          </w:p>
        </w:tc>
        <w:tc>
          <w:tcPr>
            <w:tcW w:type="dxa" w:w="547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التطبيق على الإنسان</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النعمة</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أصحاب الجنة</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استقبل الموارد بوصفها أمانة واختبارًا لا ملكية مطلقة منفصلة عن الواجب.</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النية</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أقسموا ليصرمنها</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راجع المقصد قبل تحويله إلى خطة ومؤشرات تنفيذ.</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الاستغناء</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ولا يستثنون</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اترك مساحة لمشيئة الله ولحقوق الآخرين داخل القرار.</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الإقصاء</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يدخلنها اليوم عليكم مسكين</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تحول الكفاءة والسرية إلى أدوات لمنع أصحاب الحق.</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وهم السيطرة</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وغدوا على حرد قادرين</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اختبر الافتراضات ولا تساوِ العزم بالقدرة الفعلية.</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الصدمة</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إنا لضالون</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توقف عند تغير الواقع بدل الاستمرار الآلي في الخطة.</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التشخيص</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بل نحن محرومون</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انتقل من وصف الخسارة إلى فهم سببها الأخلاقي.</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صوت التوازن</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قال أوسطهم</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أنشئ داخل الفريق صوتًا مستقلًا للمراجعة قبل الأزمة.</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الاعتراف</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إنا كنا ظالمين</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سمّ الخطأ باسمه دون تبرير أو توزيع مريح للذنب.</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الإصلاح</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إنا إلى ربنا راغبون</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اجمع الرجاء مع تغيير القرار وإعادة بناء الحق.</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التطبيقات العملية</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5133"/>
        <w:gridCol w:w="5133"/>
      </w:tblGrid>
      <w:tr>
        <w:trPr>
          <w:tblHeader w:val="true"/>
        </w:trPr>
        <w:tc>
          <w:tcPr>
            <w:tcW w:type="dxa" w:w="223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المجال</w:t>
            </w:r>
          </w:p>
        </w:tc>
        <w:tc>
          <w:tcPr>
            <w:tcW w:type="dxa" w:w="8136"/>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التطبيق</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الحياة الشخصية</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خصص حقًا ثابتًا من النعمة قبل أن يتحول الإنفاق إلى قرار مؤجل تحكمه النفس.</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الأسرة</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اجعل الأبناء يشاركون في العطاء ليتعلموا أن الملكية تقترن بالشكر والمسؤولية.</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القيادة</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تسمح لاتفاق الفريق أن يلغي سؤال العدالة وأثر القرار في أصحاب المصلحة.</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الإدارة</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حدّث بيانات الخطة قبل التنفيذ، وضع مؤشرات مبكرة لفقدان المورد أو تغير الظروف.</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أخلاقيات العمل</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أدخل المسؤولية الاجتماعية في نموذج التشغيل لا في حملات العلاقات العامة فقط.</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المجتمع</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احم شبكات التكافل من أن تُعامل كمنحة مزاجية يمكن إغلاقها عند أول رغبة في تعظيم العائد.</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الدعوة</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قدّم التوبة باعتراف ورجاء وإصلاح، لا كإدانة تُغلق باب العودة.</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التعليم</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استخدم القصة لتعليم الفرق بين الكفاءة التشغيلية وصحة المقصد، وبين الملكية والأمانة.</w:t>
            </w:r>
          </w:p>
        </w:tc>
      </w:tr>
    </w:tbl>
    <w:p>
      <w:pPr>
        <w:spacing w:before="160" w:after="100" w:line="240" w:lineRule="auto"/>
        <w:jc w:val="right"/>
        <w:keepNext/>
        <w:bidi w:val="1"/>
      </w:pPr>
      <w:r>
        <w:rPr>
          <w:rFonts w:ascii="Noto Kufi Arabic" w:hAnsi="Noto Kufi Arabic" w:cs="Noto Kufi Arabic" w:eastAsia="Noto Kufi Arabic"/>
          <w:b/>
          <w:color w:val="1F4E79"/>
          <w:sz w:val="28"/>
          <w:rtl/>
        </w:rPr>
        <w:t>ضوابط الفهم والاستنباط</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لا يحدد القرآن مكان الجنة أو أسماء أصحابها أو نوع الثمر، فلا تُجعل الروايات التفصيلية جزءًا من معنى النص الملزم.</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قوله ولا يستثنون يحتمل في كلام المفسرين ترك قول إن شاء الله، ويُفهم من السياق كذلك عزمهم على عدم استثناء نصيب للمسكين؛ فلا يُحصر اللفظ في وجه واحد بلا بيان.</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القصة لا تقرر أن كل خسارة مالية عقوبة مباشرة على بخل معين، وإنما تعرض ابتلاءً مخصوصًا وتؤسس قيمة عامة في شكر النعمة وحقوق الضعفاء.</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رجاؤهم في الإبدال لا يثبت من النص وقوع الإبدال فعلًا؛ الثابت هو تحول اتجاههم إلى الله بعد الاعتراف.</w:t>
      </w:r>
    </w:p>
    <w:p>
      <w:pPr>
        <w:spacing w:before="160" w:after="100" w:line="240" w:lineRule="auto"/>
        <w:jc w:val="right"/>
        <w:keepNext/>
        <w:bidi w:val="1"/>
      </w:pPr>
      <w:r>
        <w:rPr>
          <w:rFonts w:ascii="Noto Kufi Arabic" w:hAnsi="Noto Kufi Arabic" w:cs="Noto Kufi Arabic" w:eastAsia="Noto Kufi Arabic"/>
          <w:b/>
          <w:color w:val="1F4E79"/>
          <w:sz w:val="28"/>
          <w:rtl/>
        </w:rPr>
        <w:t>تقرير ضبط الجودة</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2053"/>
        <w:gridCol w:w="2053"/>
        <w:gridCol w:w="2053"/>
        <w:gridCol w:w="2053"/>
        <w:gridCol w:w="2053"/>
      </w:tblGrid>
      <w:tr>
        <w:trPr>
          <w:tblHeader w:val="true"/>
        </w:trPr>
        <w:tc>
          <w:tcPr>
            <w:tcW w:type="dxa" w:w="151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المراجعة</w:t>
            </w:r>
          </w:p>
        </w:tc>
        <w:tc>
          <w:tcPr>
            <w:tcW w:type="dxa" w:w="1800"/>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المعيار</w:t>
            </w:r>
          </w:p>
        </w:tc>
        <w:tc>
          <w:tcPr>
            <w:tcW w:type="dxa" w:w="1080"/>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الإنجاز</w:t>
            </w:r>
          </w:p>
        </w:tc>
        <w:tc>
          <w:tcPr>
            <w:tcW w:type="dxa" w:w="4104"/>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لماذا لم يصل إلى 100%؟</w:t>
            </w:r>
          </w:p>
        </w:tc>
        <w:tc>
          <w:tcPr>
            <w:tcW w:type="dxa" w:w="2088"/>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الإجراء المتبقي</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1</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الدقة القرآنية</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99.7%</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تمت مطابقة آيات القلم 17-33 آليًا، ويبقى التدقيق المصحفي البشري النهائي للرسم وعلامات الوقف.</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مصحفية نهائية.</w:t>
            </w:r>
          </w:p>
        </w:tc>
      </w:tr>
      <w:tr>
        <w:trPr/>
        <w:tc>
          <w:tcPr>
            <w:tcW w:type="dxa" w:w="151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2</w:t>
            </w:r>
          </w:p>
        </w:tc>
        <w:tc>
          <w:tcPr>
            <w:tcW w:type="dxa" w:w="180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اتساق التفسير</w:t>
            </w:r>
          </w:p>
        </w:tc>
        <w:tc>
          <w:tcPr>
            <w:tcW w:type="dxa" w:w="1080"/>
            <w:shd w:fill="FFFFFF"/>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98.8%</w:t>
            </w:r>
          </w:p>
        </w:tc>
        <w:tc>
          <w:tcPr>
            <w:tcW w:type="dxa" w:w="410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جُمعت الدلالة الحركية من السياق وفي ظلال القرآن، مع بقاء تعدد معتبر في تفسير ولا يستثنون وبعض ألفاظ المشهد.</w:t>
            </w:r>
          </w:p>
        </w:tc>
        <w:tc>
          <w:tcPr>
            <w:tcW w:type="dxa" w:w="208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علمية لأوجه اللفظ.</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3</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تدفق القصة</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99.4%</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التسلسل كامل وواضح، وقد تستفيد النسخة الجامعة من توحيد طول المراحل مع بقية السلسلة.</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تدفق المجموعة.</w:t>
            </w:r>
          </w:p>
        </w:tc>
      </w:tr>
      <w:tr>
        <w:trPr/>
        <w:tc>
          <w:tcPr>
            <w:tcW w:type="dxa" w:w="151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4</w:t>
            </w:r>
          </w:p>
        </w:tc>
        <w:tc>
          <w:tcPr>
            <w:tcW w:type="dxa" w:w="180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منطق قصة إبليس</w:t>
            </w:r>
          </w:p>
        </w:tc>
        <w:tc>
          <w:tcPr>
            <w:tcW w:type="dxa" w:w="1080"/>
            <w:shd w:fill="FFFFFF"/>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99.4%</w:t>
            </w:r>
          </w:p>
        </w:tc>
        <w:tc>
          <w:tcPr>
            <w:tcW w:type="dxa" w:w="410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حُفظ انتقال النية إلى القرار والسلوك والنتيجة والتصحيح، مع اختلاف القصة بوجود توبة جماعية.</w:t>
            </w:r>
          </w:p>
        </w:tc>
        <w:tc>
          <w:tcPr>
            <w:tcW w:type="dxa" w:w="208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القالب النهائي.</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5</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الصقل اللغوي</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99.2%</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نُفذت دورتان للتحرير، ويبقى احتمال تحسينات تحريرية دقيقة بعد جمع الكتاب كاملًا.</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تدقيق لغوي نهائي.</w:t>
            </w:r>
          </w:p>
        </w:tc>
      </w:tr>
      <w:tr>
        <w:trPr/>
        <w:tc>
          <w:tcPr>
            <w:tcW w:type="dxa" w:w="151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6</w:t>
            </w:r>
          </w:p>
        </w:tc>
        <w:tc>
          <w:tcPr>
            <w:tcW w:type="dxa" w:w="180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اتساق إطار المشروع</w:t>
            </w:r>
          </w:p>
        </w:tc>
        <w:tc>
          <w:tcPr>
            <w:tcW w:type="dxa" w:w="1080"/>
            <w:shd w:fill="FFFFFF"/>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99.4%</w:t>
            </w:r>
          </w:p>
        </w:tc>
        <w:tc>
          <w:tcPr>
            <w:tcW w:type="dxa" w:w="410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تطابق التحليل مع قيمة الاستدامة والمسؤولية الاجتماعية في Excel، وتبقى مراجعة السلسلة كوحدة واحدة.</w:t>
            </w:r>
          </w:p>
        </w:tc>
        <w:tc>
          <w:tcPr>
            <w:tcW w:type="dxa" w:w="208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شاملة مع Excel.</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النتيجة</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الجاهزية الإجمالية</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99.3%</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تظل المراجعة البشرية المتخصصة شرط الحوكمة قبل النشر الرسمي.</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اعتماد علمي وتحريري نهائي.</w:t>
            </w:r>
          </w:p>
        </w:tc>
      </w:tr>
    </w:tbl>
    <w:p>
      <w:pPr>
        <w:spacing w:before="160" w:after="100" w:line="240" w:lineRule="auto"/>
        <w:jc w:val="right"/>
        <w:keepNext/>
        <w:bidi w:val="1"/>
      </w:pPr>
      <w:r>
        <w:rPr>
          <w:rFonts w:ascii="Noto Kufi Arabic" w:hAnsi="Noto Kufi Arabic" w:cs="Noto Kufi Arabic" w:eastAsia="Noto Kufi Arabic"/>
          <w:b/>
          <w:color w:val="1F4E79"/>
          <w:sz w:val="28"/>
          <w:rtl/>
        </w:rPr>
        <w:t>سجل التحسين التكراري</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3422"/>
        <w:gridCol w:w="3422"/>
        <w:gridCol w:w="3422"/>
      </w:tblGrid>
      <w:tr>
        <w:trPr>
          <w:tblHeader w:val="true"/>
        </w:trPr>
        <w:tc>
          <w:tcPr>
            <w:tcW w:type="dxa" w:w="1584"/>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الدورة</w:t>
            </w:r>
          </w:p>
        </w:tc>
        <w:tc>
          <w:tcPr>
            <w:tcW w:type="dxa" w:w="6408"/>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ما تم فحصه وتحسينه</w:t>
            </w:r>
          </w:p>
        </w:tc>
        <w:tc>
          <w:tcPr>
            <w:tcW w:type="dxa" w:w="2520"/>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الأثر</w:t>
            </w:r>
          </w:p>
        </w:tc>
      </w:tr>
      <w:tr>
        <w:trPr/>
        <w:tc>
          <w:tcPr>
            <w:tcW w:type="dxa" w:w="158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7"/>
                <w:rtl/>
              </w:rPr>
              <w:t>الدورة الأولى</w:t>
            </w:r>
          </w:p>
        </w:tc>
        <w:tc>
          <w:tcPr>
            <w:tcW w:type="dxa" w:w="640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مطابقة عنوان القصة ونطاقات الآيات وترتيب المقاطع، ثم إعادة بناء الروابط بين المؤثر والتفكير والقرار والسلوك والعاقبة.</w:t>
            </w:r>
          </w:p>
        </w:tc>
        <w:tc>
          <w:tcPr>
            <w:tcW w:type="dxa" w:w="252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رفع الدقة النصية وتماسك الحركة.</w:t>
            </w:r>
          </w:p>
        </w:tc>
      </w:tr>
      <w:tr>
        <w:trPr/>
        <w:tc>
          <w:tcPr>
            <w:tcW w:type="dxa" w:w="158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7"/>
                <w:rtl/>
              </w:rPr>
              <w:t>الدورة الثانية</w:t>
            </w:r>
          </w:p>
        </w:tc>
        <w:tc>
          <w:tcPr>
            <w:tcW w:type="dxa" w:w="640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مقارنة الوثيقة بقالب قصة إبليس وبملفات الدفعات السابقة، وصقل اللغة والجداول والتطبيقات والضوابط والتصميم.</w:t>
            </w:r>
          </w:p>
        </w:tc>
        <w:tc>
          <w:tcPr>
            <w:tcW w:type="dxa" w:w="252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رفع الاتساق والوضوح والجاهزية للتسليم.</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المراجع والمنهج</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القرآن الكريم - أصل النص، مع إثبات المقاطع وفق ترتيب ملف Excel ومراجعة صحة نطاق السور والآيات.</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سيد قطب، في ظلال القرآن - المرجع التفسيري الرئيس لقراءة وحدة السياق والحركة الإيمانية والنفسية والاجتماعية.</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الطبري، ابن كثير، القرطبي، السعدي - مراجع مساندة لضبط المعنى المشهور ومواضع الاحتمال عند الحاجة.</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التحليل النفسي والقيادي والإداري والتطبيقات المعاصرة صياغة أصلية ضمن إطار المشروع، وليست نقلًا حرفيًا من التفسير.</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المرجع الإلكتروني المستخدم للمراجعة: https://www.islamweb.net/ar/library/content/210/1132/</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9" w:h="16834"/>
      <w:pgMar w:top="763" w:right="821" w:bottom="763" w:left="8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
      <w:rPr>
        <w:rFonts w:ascii="Noto Naskh Arabic" w:hAnsi="Noto Naskh Arabic" w:cs="Noto Naskh Arabic" w:eastAsia="Noto Naskh Arabic"/>
        <w:b w:val="0"/>
        <w:color w:val="6B7280"/>
        <w:sz w:val="17"/>
        <w:rtl/>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
      <w:rPr>
        <w:rFonts w:ascii="Noto Kufi Arabic" w:hAnsi="Noto Kufi Arabic" w:cs="Noto Kufi Arabic" w:eastAsia="Noto Kufi Arabic"/>
        <w:b/>
        <w:color w:val="1F4E79"/>
        <w:sz w:val="17"/>
        <w:rtl/>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