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keepNext w:val="0"/>
        <w:bidi w:val="1"/>
      </w:pPr>
      <w:r>
        <w:rPr>
          <w:rFonts w:ascii="Noto Kufi Arabic" w:hAnsi="Noto Kufi Arabic" w:cs="Noto Kufi Arabic" w:eastAsia="Noto Kufi Arabic"/>
          <w:b/>
          <w:color w:val="B8860B"/>
          <w:sz w:val="22"/>
          <w:rtl/>
        </w:rPr>
        <w:t>034</w:t>
      </w:r>
    </w:p>
    <w:p>
      <w:pPr>
        <w:spacing w:before="0" w:after="20" w:line="240" w:lineRule="auto"/>
        <w:jc w:val="center"/>
        <w:keepNext w:val="0"/>
        <w:bidi w:val="1"/>
      </w:pPr>
      <w:r>
        <w:rPr>
          <w:rFonts w:ascii="Noto Kufi Arabic" w:hAnsi="Noto Kufi Arabic" w:cs="Noto Kufi Arabic" w:eastAsia="Noto Kufi Arabic"/>
          <w:b/>
          <w:color w:val="1F4E79"/>
          <w:sz w:val="48"/>
          <w:rtl/>
        </w:rPr>
        <w:t>السامري</w:t>
      </w:r>
    </w:p>
    <w:p>
      <w:pPr>
        <w:spacing w:before="0" w:after="60" w:line="252" w:lineRule="auto"/>
        <w:jc w:val="center"/>
        <w:keepNext w:val="0"/>
        <w:bidi w:val="1"/>
      </w:pPr>
      <w:r>
        <w:rPr>
          <w:rFonts w:ascii="Noto Naskh Arabic" w:hAnsi="Noto Naskh Arabic" w:cs="Noto Naskh Arabic" w:eastAsia="Noto Naskh Arabic"/>
          <w:b/>
          <w:color w:val="B8860B"/>
          <w:sz w:val="28"/>
          <w:rtl/>
        </w:rPr>
        <w:t>كيف يصنع التضليل رمزًا محسوسًا ويستثمر الفراغ القيادي والذاكرة غير المحررة</w:t>
      </w:r>
    </w:p>
    <w:p>
      <w:pPr>
        <w:spacing w:before="0" w:after="80" w:line="276" w:lineRule="auto"/>
        <w:jc w:val="center"/>
        <w:keepNext w:val="0"/>
        <w:bidi w:val="1"/>
      </w:pPr>
      <w:r>
        <w:rPr>
          <w:rFonts w:ascii="Noto Naskh Arabic" w:hAnsi="Noto Naskh Arabic" w:cs="Noto Naskh Arabic" w:eastAsia="Noto Naskh Arabic"/>
          <w:b w:val="0"/>
          <w:color w:val="1F2937"/>
          <w:sz w:val="21"/>
          <w:rtl/>
        </w:rPr>
        <w:t>القيمة المحورية: التحقق من المعلومات وحماية الوعي من التضليل  |  التصنيف: إدارة</w:t>
      </w:r>
    </w:p>
    <w:tbl>
      <w:tblPr>
        <w:tblW w:type="auto" w:w="0"/>
        <w:jc w:val="center"/>
        <w:tblLayout w:type="fixed"/>
        <w:tblLook w:firstColumn="1" w:firstRow="1" w:lastColumn="0" w:lastRow="0" w:noHBand="0" w:noVBand="1" w:val="04A0"/>
        <w:bidiVisual w:val="1"/>
        <w:tblBorders>
          <w:top w:val="single" w:sz="5" w:color="E6D5A5"/>
          <w:left w:val="single" w:sz="5" w:color="E6D5A5"/>
          <w:bottom w:val="single" w:sz="5" w:color="E6D5A5"/>
          <w:right w:val="single" w:sz="5" w:color="E6D5A5"/>
          <w:insideH w:val="single" w:sz="5" w:color="E6D5A5"/>
          <w:insideV w:val="single" w:sz="5" w:color="E6D5A5"/>
        </w:tblBorders>
      </w:tblPr>
      <w:tblGrid>
        <w:gridCol w:w="10368"/>
      </w:tblGrid>
      <w:tr>
        <w:tc>
          <w:tcPr>
            <w:tcW w:type="dxa" w:w="10267"/>
            <w:shd w:fill="FFF7E3"/>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9"/>
                <w:rtl/>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 ومنطقها الحركي.</w:t>
            </w:r>
          </w:p>
        </w:tc>
      </w:tr>
    </w:tbl>
    <w:p>
      <w:pPr>
        <w:spacing w:before="0" w:after="20" w:line="276" w:lineRule="auto"/>
        <w:jc w:val="center"/>
        <w:keepNext w:val="0"/>
        <w:bidi w:val="1"/>
      </w:pPr>
      <w:r>
        <w:rPr>
          <w:rFonts w:ascii="Noto Naskh Arabic" w:hAnsi="Noto Naskh Arabic" w:cs="Noto Naskh Arabic" w:eastAsia="Noto Naskh Arabic"/>
          <w:b w:val="0"/>
          <w:color w:val="6B7280"/>
          <w:sz w:val="18"/>
          <w:rtl/>
        </w:rPr>
        <w:t>مواضع القصة: البقرة: 51-54 | الأعراف: 148-152 | طه: 85-97</w:t>
      </w:r>
    </w:p>
    <w:p/>
    <w:p>
      <w:pPr>
        <w:spacing w:before="0" w:after="60" w:line="276" w:lineRule="auto"/>
        <w:jc w:val="center"/>
        <w:keepNext w:val="0"/>
        <w:bidi w:val="1"/>
      </w:pPr>
      <w:r>
        <w:rPr>
          <w:rFonts w:ascii="Noto Naskh Arabic" w:hAnsi="Noto Naskh Arabic" w:cs="Noto Naskh Arabic" w:eastAsia="Noto Naskh Arabic"/>
          <w:b w:val="0"/>
          <w:color w:val="6B7280"/>
          <w:sz w:val="17"/>
          <w:rtl/>
        </w:rPr>
        <w:t>ترتيب القصة في ملف Excel: 35</w:t>
      </w:r>
    </w:p>
    <w:p>
      <w:pPr>
        <w:spacing w:before="160" w:after="100" w:line="240" w:lineRule="auto"/>
        <w:jc w:val="right"/>
        <w:keepNext/>
        <w:bidi w:val="1"/>
      </w:pPr>
      <w:r>
        <w:rPr>
          <w:rFonts w:ascii="Noto Kufi Arabic" w:hAnsi="Noto Kufi Arabic" w:cs="Noto Kufi Arabic" w:eastAsia="Noto Kufi Arabic"/>
          <w:b/>
          <w:color w:val="1F4E79"/>
          <w:sz w:val="28"/>
          <w:rtl/>
        </w:rPr>
        <w:t>مدخل القصة ومحورها</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المحور المركزي</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التضليل لا يبدأ دائمًا بكذبة لفظية؛ قد يبدأ بصناعة رمز محسوس، ثم إعطائه صوتًا واسمًا وقصة، فيتعلق به مجتمع لم يتحرر وعيه بعد من أنماط العبودية القديمة.</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السؤال الإنساني</w:t>
            </w:r>
          </w:p>
        </w:tc>
        <w:tc>
          <w:tcPr>
            <w:tcW w:type="dxa" w:w="828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كيف يحمي المجتمع وعيه عندما يجتمع الفراغ القيادي، والأثر النفسي للماضي، وصانع محتوى ماهر، وجمهور يبحث عن يقين سريع يراه ويسمعه؟</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الحركة الكبرى</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غياب موسى للميقات → فتنة في الجماعة → جمع الحلي وصناعة العجل → خوار وتسمية دينية كاذبة → تعطيل معيار العقل والوحي → تحذير هارون ورفضه → عودة موسى والتحقيق → مساءلة السامري → تبرير ذاتي → عزل المضلل وتحطيم الرمز.</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الآيات + الشرح</w:t>
      </w: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1. سورة البقرة - الآيات من 51 إلى 54</w:t>
            </w:r>
          </w:p>
          <w:p>
            <w:pPr>
              <w:spacing w:line="324" w:lineRule="auto" w:after="100"/>
              <w:jc w:val="both"/>
              <w:bidi w:val="1"/>
            </w:pPr>
            <w:r>
              <w:rPr>
                <w:rFonts w:ascii="Noto Naskh Arabic" w:hAnsi="Noto Naskh Arabic" w:cs="Noto Naskh Arabic" w:eastAsia="Noto Naskh Arabic"/>
                <w:b w:val="0"/>
                <w:color w:val="1F2937"/>
                <w:sz w:val="23"/>
                <w:rtl/>
              </w:rPr>
              <w:t>وَإِذ واعَدنا موسىٰ أَربَعينَ لَيلَةً ثُمَّ اتَّخَذتُمُ العِجلَ مِن بَعدِهِ وَأَنتُم ظالِمونَ﴿٥١﴾ ثُمَّ عَفَونا عَنكُم مِن بَعدِ ذٰلِكَ لَعَلَّكُم تَشكُرونَ﴿٥٢﴾ وَإِذ آتَينا موسَى الكِتابَ وَالفُرقانَ لَعَلَّكُم تَهتَدونَ﴿٥٣﴾ وَإِذ قالَ موسىٰ لِقَومِهِ يا قَومِ إِنَّكُم ظَلَمتُم أَنفُسَكُم بِاتِّخاذِكُمُ العِجلَ فَتوبوا إِلىٰ بارِئِكُم فَاقتُلوا أَنفُسَكُم ذٰلِكُم خَيرٌ لَكُم عِندَ بارِئِكُم فَتابَ عَلَيكُم ۚ إِنَّهُ هُوَ التَّوّابُ الرَّحيمُ﴿٥٤﴾</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واعد الله موسى أربعين ليلة، وفي زمن الغياب اتخذ قومه العجل؛ فالفراغ المؤقت كشف ضعفًا لم يكن قد عولج في بنية الوعي.</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جاء العفو بعد الظلم لتبقى إمكانية الرجوع قائمة، لكن التوبة لم تُعرض كشعور داخلي فقط بل كتكليف جاد يقطع مع الفتنة.</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ربط السياق النجاة والشكر، فالمجتمع الذي أُنقذ من فرعون لا يضمن ثباته إن حمل معه قابلية صناعة فرعون أو الصنم من جديد.</w:t>
            </w:r>
          </w:p>
        </w:tc>
      </w:tr>
    </w:tbl>
    <w:p>
      <w:pPr>
        <w:spacing w:after="20"/>
      </w:pP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2. سورة الأعراف - الآيات من 148 إلى 152</w:t>
            </w:r>
          </w:p>
          <w:p>
            <w:pPr>
              <w:spacing w:line="324" w:lineRule="auto" w:after="100"/>
              <w:jc w:val="both"/>
              <w:bidi w:val="1"/>
            </w:pPr>
            <w:r>
              <w:rPr>
                <w:rFonts w:ascii="Noto Naskh Arabic" w:hAnsi="Noto Naskh Arabic" w:cs="Noto Naskh Arabic" w:eastAsia="Noto Naskh Arabic"/>
                <w:b w:val="0"/>
                <w:color w:val="1F2937"/>
                <w:sz w:val="23"/>
                <w:rtl/>
              </w:rPr>
              <w:t>وَاتَّخَذَ قَومُ موسىٰ مِن بَعدِهِ مِن حُلِيِّهِم عِجلًا جَسَدًا لَهُ خُوارٌ ۚ أَلَم يَرَوا أَنَّهُ لا يُكَلِّمُهُم وَلا يَهديهِم سَبيلًا ۘ اتَّخَذوهُ وَكانوا ظالِمينَ﴿١٤٨﴾ وَلَمّا سُقِطَ في أَيديهِم وَرَأَوا أَنَّهُم قَد ضَلّوا قالوا لَئِن لَم يَرحَمنا رَبُّنا وَيَغفِر لَنا لَنَكونَنَّ مِنَ الخاسِرينَ﴿١٤٩﴾ وَلَمّا رَجَعَ موسىٰ إِلىٰ قَومِهِ غَضبانَ أَسِفًا قالَ بِئسَما خَلَفتُموني مِن بَعدي ۖ أَعَجِلتُم أَمرَ رَبِّكُم ۖ وَأَلقَى الأَلواحَ وَأَخَذَ بِرَأسِ أَخيهِ يَجُرُّهُ إِلَيهِ ۚ قالَ ابنَ أُمَّ إِنَّ القَومَ استَضعَفوني وَكادوا يَقتُلونَني فَلا تُشمِت بِيَ الأَعداءَ وَلا تَجعَلني مَعَ القَومِ الظّالِمينَ﴿١٥٠﴾ قالَ رَبِّ اغفِر لي وَلِأَخي وَأَدخِلنا في رَحمَتِكَ ۖ وَأَنتَ أَرحَمُ الرّاحِمينَ﴿١٥١﴾ إِنَّ الَّذينَ اتَّخَذُوا العِجلَ سَيَنالُهُم غَضَبٌ مِن رَبِّهِم وَذِلَّةٌ فِي الحَياةِ الدُّنيا ۚ وَكَذٰلِكَ نَجزِي المُفتَرينَ﴿١٥٢﴾</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اتخذ القوم من حليهم عجلًا جسدًا له خوار؛ اجتمع في الرمز بريق المادة وشكل الكائن والصوت المؤثر.</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وضع القرآن اختبارًا عقليًا مباشرًا: لا يكلمهم ولا يهديهم سبيلًا؛ فالمظهر المدهش لا يعوض غياب الهداية والقدرة.</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لما سقط في أيديهم ورأوا الضلال طلبوا الرحمة والمغفرة؛ تظهر هنا قابلية جزء من الجماعة للمراجعة بعد انكشاف الوهم.</w:t>
            </w:r>
          </w:p>
          <w:p>
            <w:pPr>
              <w:spacing w:after="40" w:line="269" w:lineRule="auto"/>
              <w:jc w:val="both"/>
              <w:bidi w:val="1"/>
            </w:pPr>
            <w:r>
              <w:rPr>
                <w:rFonts w:ascii="Noto Naskh Arabic" w:hAnsi="Noto Naskh Arabic" w:cs="Noto Naskh Arabic" w:eastAsia="Noto Naskh Arabic"/>
                <w:b/>
                <w:color w:val="B8860B"/>
                <w:sz w:val="19"/>
                <w:rtl/>
              </w:rPr>
              <w:t xml:space="preserve">4. </w:t>
            </w:r>
            <w:r>
              <w:rPr>
                <w:rFonts w:ascii="Noto Naskh Arabic" w:hAnsi="Noto Naskh Arabic" w:cs="Noto Naskh Arabic" w:eastAsia="Noto Naskh Arabic"/>
                <w:b w:val="0"/>
                <w:color w:val="1F2937"/>
                <w:sz w:val="19"/>
                <w:rtl/>
              </w:rPr>
              <w:t>رجع موسى غضبان أسفًا، فالموقف القيادي جمع الانفعال لقيمة منتهكة مع مساءلة المسؤولين عن الجماعة.</w:t>
            </w:r>
          </w:p>
          <w:p>
            <w:pPr>
              <w:spacing w:after="40" w:line="269" w:lineRule="auto"/>
              <w:jc w:val="both"/>
              <w:bidi w:val="1"/>
            </w:pPr>
            <w:r>
              <w:rPr>
                <w:rFonts w:ascii="Noto Naskh Arabic" w:hAnsi="Noto Naskh Arabic" w:cs="Noto Naskh Arabic" w:eastAsia="Noto Naskh Arabic"/>
                <w:b/>
                <w:color w:val="B8860B"/>
                <w:sz w:val="19"/>
                <w:rtl/>
              </w:rPr>
              <w:t xml:space="preserve">5. </w:t>
            </w:r>
            <w:r>
              <w:rPr>
                <w:rFonts w:ascii="Noto Naskh Arabic" w:hAnsi="Noto Naskh Arabic" w:cs="Noto Naskh Arabic" w:eastAsia="Noto Naskh Arabic"/>
                <w:b w:val="0"/>
                <w:color w:val="1F2937"/>
                <w:sz w:val="19"/>
                <w:rtl/>
              </w:rPr>
              <w:t>ختم المقطع بأن متخذي العجل ينالهم غضب وذلة، وأن الافتراء على المقدس ليس خطأً معلوماتيًا محايدًا بل فسادًا له أثر في المجتمع.</w:t>
            </w:r>
          </w:p>
        </w:tc>
      </w:tr>
    </w:tbl>
    <w:p>
      <w:pPr>
        <w:spacing w:after="20"/>
      </w:pP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3. سورة طه - الآيات من 85 إلى 97</w:t>
            </w:r>
          </w:p>
          <w:p>
            <w:pPr>
              <w:spacing w:line="324" w:lineRule="auto" w:after="100"/>
              <w:jc w:val="both"/>
              <w:bidi w:val="1"/>
            </w:pPr>
            <w:r>
              <w:rPr>
                <w:rFonts w:ascii="Noto Naskh Arabic" w:hAnsi="Noto Naskh Arabic" w:cs="Noto Naskh Arabic" w:eastAsia="Noto Naskh Arabic"/>
                <w:b w:val="0"/>
                <w:color w:val="1F2937"/>
                <w:sz w:val="23"/>
                <w:rtl/>
              </w:rPr>
              <w:t>قالَ فَإِنّا قَد فَتَنّا قَومَكَ مِن بَعدِكَ وَأَضَلَّهُمُ السّامِرِيُّ﴿٨٥﴾ فَرَجَعَ موسىٰ إِلىٰ قَومِهِ غَضبانَ أَسِفًا ۚ قالَ يا قَومِ أَلَم يَعِدكُم رَبُّكُم وَعدًا حَسَنًا ۚ أَفَطالَ عَلَيكُمُ العَهدُ أَم أَرَدتُم أَن يَحِلَّ عَلَيكُم غَضَبٌ مِن رَبِّكُم فَأَخلَفتُم مَوعِدي﴿٨٦﴾ قالوا ما أَخلَفنا مَوعِدَكَ بِمَلكِنا وَلـٰكِنّا حُمِّلنا أَوزارًا مِن زينَةِ القَومِ فَقَذَفناها فَكَذٰلِكَ أَلقَى السّامِرِيُّ﴿٨٧﴾ فَأَخرَجَ لَهُم عِجلًا جَسَدًا لَهُ خُوارٌ فَقالوا هـٰذا إِلـٰهُكُم وَإِلـٰهُ موسىٰ فَنَسِيَ﴿٨٨﴾ أَفَلا يَرَونَ أَلّا يَرجِعُ إِلَيهِم قَولًا وَلا يَملِكُ لَهُم ضَرًّا وَلا نَفعًا﴿٨٩﴾ وَلَقَد قالَ لَهُم هارونُ مِن قَبلُ يا قَومِ إِنَّما فُتِنتُم بِهِ ۖ وَإِنَّ رَبَّكُمُ الرَّحمـٰنُ فَاتَّبِعوني وَأَطيعوا أَمري﴿٩٠﴾ قالوا لَن نَبرَحَ عَلَيهِ عاكِفينَ حَتّىٰ يَرجِعَ إِلَينا موسىٰ﴿٩١﴾ قالَ يا هارونُ ما مَنَعَكَ إِذ رَأَيتَهُم ضَلّوا﴿٩٢﴾ أَلّا تَتَّبِعَنِ ۖ أَفَعَصَيتَ أَمري﴿٩٣﴾ قالَ يَا ابنَ أُمَّ لا تَأخُذ بِلِحيَتي وَلا بِرَأسي ۖ إِنّي خَشيتُ أَن تَقولَ فَرَّقتَ بَينَ بَني إِسرائيلَ وَلَم تَرقُب قَولي﴿٩٤﴾ قالَ فَما خَطبُكَ يا سامِرِيُّ﴿٩٥﴾ قالَ بَصُرتُ بِما لَم يَبصُروا بِهِ فَقَبَضتُ قَبضَةً مِن أَثَرِ الرَّسولِ فَنَبَذتُها وَكَذٰلِكَ سَوَّلَت لي نَفسي﴿٩٦﴾ قالَ فَاذهَب فَإِنَّ لَكَ فِي الحَياةِ أَن تَقولَ لا مِساسَ ۖ وَإِنَّ لَكَ مَوعِدًا لَن تُخلَفَهُ ۖ وَانظُر إِلىٰ إِلـٰهِكَ الَّذي ظَلتَ عَلَيهِ عاكِفًا ۖ لَنُحَرِّقَنَّهُ ثُمَّ لَنَنسِفَنَّهُ فِي اليَمِّ نَسفًا﴿٩٧﴾</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أخبر الله موسى بأن الفتنة وقعت وأن السامري أضلهم؛ وصل الإنذار إلى القيادة قبل أن ترى تفاصيل المشهد.</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عاد موسى غضبان أسفًا وسأل عن سبب إخلاف الوعد؛ بدأ بالمساءلة عن العقد الجماعي لا بوصف الحدث كحادث فردي منعزل.</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قدّم القوم تفسيرًا يخفف مسؤوليتهم، ثم ذكروا أوزار زينة القوم؛ فالجماعة المضللة تميل إلى صياغة رواية تجعلها منقادة لا مختارة.</w:t>
            </w:r>
          </w:p>
          <w:p>
            <w:pPr>
              <w:spacing w:after="40" w:line="269" w:lineRule="auto"/>
              <w:jc w:val="both"/>
              <w:bidi w:val="1"/>
            </w:pPr>
            <w:r>
              <w:rPr>
                <w:rFonts w:ascii="Noto Naskh Arabic" w:hAnsi="Noto Naskh Arabic" w:cs="Noto Naskh Arabic" w:eastAsia="Noto Naskh Arabic"/>
                <w:b/>
                <w:color w:val="B8860B"/>
                <w:sz w:val="19"/>
                <w:rtl/>
              </w:rPr>
              <w:t xml:space="preserve">4. </w:t>
            </w:r>
            <w:r>
              <w:rPr>
                <w:rFonts w:ascii="Noto Naskh Arabic" w:hAnsi="Noto Naskh Arabic" w:cs="Noto Naskh Arabic" w:eastAsia="Noto Naskh Arabic"/>
                <w:b w:val="0"/>
                <w:color w:val="1F2937"/>
                <w:sz w:val="19"/>
                <w:rtl/>
              </w:rPr>
              <w:t>أخرج السامري عجلًا له خوار، ثم جاءت العبارة المضللة: هذا إلهكم وإله موسى؛ الرمز احتاج إلى قصة تمنحه معنى دينيًا.</w:t>
            </w:r>
          </w:p>
          <w:p>
            <w:pPr>
              <w:spacing w:after="40" w:line="269" w:lineRule="auto"/>
              <w:jc w:val="both"/>
              <w:bidi w:val="1"/>
            </w:pPr>
            <w:r>
              <w:rPr>
                <w:rFonts w:ascii="Noto Naskh Arabic" w:hAnsi="Noto Naskh Arabic" w:cs="Noto Naskh Arabic" w:eastAsia="Noto Naskh Arabic"/>
                <w:b/>
                <w:color w:val="B8860B"/>
                <w:sz w:val="19"/>
                <w:rtl/>
              </w:rPr>
              <w:t xml:space="preserve">5. </w:t>
            </w:r>
            <w:r>
              <w:rPr>
                <w:rFonts w:ascii="Noto Naskh Arabic" w:hAnsi="Noto Naskh Arabic" w:cs="Noto Naskh Arabic" w:eastAsia="Noto Naskh Arabic"/>
                <w:b w:val="0"/>
                <w:color w:val="1F2937"/>
                <w:sz w:val="19"/>
                <w:rtl/>
              </w:rPr>
              <w:t>رد القرآن باختبار بسيط: لا يرجع إليهم قولًا ولا يملك لهم ضرًا ولا نفعًا؛ الحقيقة كانت متاحة قبل عودة موسى لمن أراد النظر.</w:t>
            </w:r>
          </w:p>
          <w:p>
            <w:pPr>
              <w:spacing w:after="40" w:line="269" w:lineRule="auto"/>
              <w:jc w:val="both"/>
              <w:bidi w:val="1"/>
            </w:pPr>
            <w:r>
              <w:rPr>
                <w:rFonts w:ascii="Noto Naskh Arabic" w:hAnsi="Noto Naskh Arabic" w:cs="Noto Naskh Arabic" w:eastAsia="Noto Naskh Arabic"/>
                <w:b/>
                <w:color w:val="B8860B"/>
                <w:sz w:val="19"/>
                <w:rtl/>
              </w:rPr>
              <w:t xml:space="preserve">6. </w:t>
            </w:r>
            <w:r>
              <w:rPr>
                <w:rFonts w:ascii="Noto Naskh Arabic" w:hAnsi="Noto Naskh Arabic" w:cs="Noto Naskh Arabic" w:eastAsia="Noto Naskh Arabic"/>
                <w:b w:val="0"/>
                <w:color w:val="1F2937"/>
                <w:sz w:val="19"/>
                <w:rtl/>
              </w:rPr>
              <w:t>حذّرهم هارون بأنهم فُتنوا وأن ربهم الرحمن، لكنهم ربطوا التراجع بعودة موسى؛ أوقفوا حكمهم الأخلاقي على حضور القائد الأعلى.</w:t>
            </w:r>
          </w:p>
          <w:p>
            <w:pPr>
              <w:spacing w:after="40" w:line="269" w:lineRule="auto"/>
              <w:jc w:val="both"/>
              <w:bidi w:val="1"/>
            </w:pPr>
            <w:r>
              <w:rPr>
                <w:rFonts w:ascii="Noto Naskh Arabic" w:hAnsi="Noto Naskh Arabic" w:cs="Noto Naskh Arabic" w:eastAsia="Noto Naskh Arabic"/>
                <w:b/>
                <w:color w:val="B8860B"/>
                <w:sz w:val="19"/>
                <w:rtl/>
              </w:rPr>
              <w:t xml:space="preserve">7. </w:t>
            </w:r>
            <w:r>
              <w:rPr>
                <w:rFonts w:ascii="Noto Naskh Arabic" w:hAnsi="Noto Naskh Arabic" w:cs="Noto Naskh Arabic" w:eastAsia="Noto Naskh Arabic"/>
                <w:b w:val="0"/>
                <w:color w:val="1F2937"/>
                <w:sz w:val="19"/>
                <w:rtl/>
              </w:rPr>
              <w:t>فسّر هارون موقفه بخوف تفريق بني إسرائيل؛ يكشف ذلك تعقيد إدارة الأزمة بين مواجهة الانحراف وحفظ وحدة قابلة للإصلاح.</w:t>
            </w:r>
          </w:p>
          <w:p>
            <w:pPr>
              <w:spacing w:after="40" w:line="269" w:lineRule="auto"/>
              <w:jc w:val="both"/>
              <w:bidi w:val="1"/>
            </w:pPr>
            <w:r>
              <w:rPr>
                <w:rFonts w:ascii="Noto Naskh Arabic" w:hAnsi="Noto Naskh Arabic" w:cs="Noto Naskh Arabic" w:eastAsia="Noto Naskh Arabic"/>
                <w:b/>
                <w:color w:val="B8860B"/>
                <w:sz w:val="19"/>
                <w:rtl/>
              </w:rPr>
              <w:t xml:space="preserve">8. </w:t>
            </w:r>
            <w:r>
              <w:rPr>
                <w:rFonts w:ascii="Noto Naskh Arabic" w:hAnsi="Noto Naskh Arabic" w:cs="Noto Naskh Arabic" w:eastAsia="Noto Naskh Arabic"/>
                <w:b w:val="0"/>
                <w:color w:val="1F2937"/>
                <w:sz w:val="19"/>
                <w:rtl/>
              </w:rPr>
              <w:t>سأل موسى السامري مباشرة: فما خطبك؛ انتقل التحقيق من الجمهور إلى صانع التضليل والمسؤول عن تصميم الرمز والرواية.</w:t>
            </w:r>
          </w:p>
          <w:p>
            <w:pPr>
              <w:spacing w:after="40" w:line="269" w:lineRule="auto"/>
              <w:jc w:val="both"/>
              <w:bidi w:val="1"/>
            </w:pPr>
            <w:r>
              <w:rPr>
                <w:rFonts w:ascii="Noto Naskh Arabic" w:hAnsi="Noto Naskh Arabic" w:cs="Noto Naskh Arabic" w:eastAsia="Noto Naskh Arabic"/>
                <w:b/>
                <w:color w:val="B8860B"/>
                <w:sz w:val="19"/>
                <w:rtl/>
              </w:rPr>
              <w:t xml:space="preserve">9. </w:t>
            </w:r>
            <w:r>
              <w:rPr>
                <w:rFonts w:ascii="Noto Naskh Arabic" w:hAnsi="Noto Naskh Arabic" w:cs="Noto Naskh Arabic" w:eastAsia="Noto Naskh Arabic"/>
                <w:b w:val="0"/>
                <w:color w:val="1F2937"/>
                <w:sz w:val="19"/>
                <w:rtl/>
              </w:rPr>
              <w:t>انتهى جواب السامري بقوله وكذلك سولت لي نفسي؛ مهما تعددت تفاصيل التبرير، أعاد النص مركز المسؤولية إلى اختيار النفس.</w:t>
            </w:r>
          </w:p>
          <w:p>
            <w:pPr>
              <w:spacing w:after="40" w:line="269" w:lineRule="auto"/>
              <w:jc w:val="both"/>
              <w:bidi w:val="1"/>
            </w:pPr>
            <w:r>
              <w:rPr>
                <w:rFonts w:ascii="Noto Naskh Arabic" w:hAnsi="Noto Naskh Arabic" w:cs="Noto Naskh Arabic" w:eastAsia="Noto Naskh Arabic"/>
                <w:b/>
                <w:color w:val="B8860B"/>
                <w:sz w:val="19"/>
                <w:rtl/>
              </w:rPr>
              <w:t xml:space="preserve">10. </w:t>
            </w:r>
            <w:r>
              <w:rPr>
                <w:rFonts w:ascii="Noto Naskh Arabic" w:hAnsi="Noto Naskh Arabic" w:cs="Noto Naskh Arabic" w:eastAsia="Noto Naskh Arabic"/>
                <w:b w:val="0"/>
                <w:color w:val="1F2937"/>
                <w:sz w:val="19"/>
                <w:rtl/>
              </w:rPr>
              <w:t>جاء الجزاء بالعزل، ثم أُحرق العجل ونُسف في اليم؛ لم يكتف الإصلاح بتفنيد الفكرة بل فكك البنية المادية التي كانت تعيد إنتاج الفتنة.</w:t>
            </w:r>
          </w:p>
        </w:tc>
      </w:tr>
    </w:tbl>
    <w:p>
      <w:pPr>
        <w:spacing w:after="20"/>
      </w:pPr>
    </w:p>
    <w:p>
      <w:pPr>
        <w:spacing w:before="160" w:after="100" w:line="240" w:lineRule="auto"/>
        <w:jc w:val="right"/>
        <w:keepNext/>
        <w:bidi w:val="1"/>
      </w:pPr>
      <w:r>
        <w:rPr>
          <w:rFonts w:ascii="Noto Kufi Arabic" w:hAnsi="Noto Kufi Arabic" w:cs="Noto Kufi Arabic" w:eastAsia="Noto Kufi Arabic"/>
          <w:b/>
          <w:color w:val="1F4E79"/>
          <w:sz w:val="28"/>
          <w:rtl/>
        </w:rPr>
        <w:t>التحليل الحركي والنفسي</w:t>
      </w:r>
    </w:p>
    <w:p>
      <w:pPr>
        <w:spacing w:after="60" w:line="288" w:lineRule="auto"/>
        <w:jc w:val="both"/>
        <w:bidi w:val="1"/>
      </w:pPr>
      <w:r>
        <w:rPr>
          <w:rFonts w:ascii="Noto Naskh Arabic" w:hAnsi="Noto Naskh Arabic" w:cs="Noto Naskh Arabic" w:eastAsia="Noto Naskh Arabic"/>
          <w:b/>
          <w:color w:val="B8860B"/>
          <w:sz w:val="21"/>
          <w:rtl/>
        </w:rPr>
        <w:t xml:space="preserve">1. </w:t>
      </w:r>
      <w:r>
        <w:rPr>
          <w:rFonts w:ascii="Noto Naskh Arabic" w:hAnsi="Noto Naskh Arabic" w:cs="Noto Naskh Arabic" w:eastAsia="Noto Naskh Arabic"/>
          <w:b w:val="0"/>
          <w:color w:val="1F2937"/>
          <w:sz w:val="21"/>
          <w:rtl/>
        </w:rPr>
        <w:t>نجاة الجسد من الاستبداد لا تعني تحرر الوعي من منطقه؛ بنو إسرائيل خرجوا من بيئة وثنية لكن صورة المعبود المحسوس بقيت قابلة للاستدعاء.</w:t>
      </w:r>
    </w:p>
    <w:p>
      <w:pPr>
        <w:spacing w:after="60" w:line="288" w:lineRule="auto"/>
        <w:jc w:val="both"/>
        <w:bidi w:val="1"/>
      </w:pPr>
      <w:r>
        <w:rPr>
          <w:rFonts w:ascii="Noto Naskh Arabic" w:hAnsi="Noto Naskh Arabic" w:cs="Noto Naskh Arabic" w:eastAsia="Noto Naskh Arabic"/>
          <w:b/>
          <w:color w:val="B8860B"/>
          <w:sz w:val="21"/>
          <w:rtl/>
        </w:rPr>
        <w:t xml:space="preserve">2. </w:t>
      </w:r>
      <w:r>
        <w:rPr>
          <w:rFonts w:ascii="Noto Naskh Arabic" w:hAnsi="Noto Naskh Arabic" w:cs="Noto Naskh Arabic" w:eastAsia="Noto Naskh Arabic"/>
          <w:b w:val="0"/>
          <w:color w:val="1F2937"/>
          <w:sz w:val="21"/>
          <w:rtl/>
        </w:rPr>
        <w:t>السامري لم يقدم حجة عقلية قوية؛ لقد صمم تجربة حسية: ذهب، وجسد، وصوت، وادعاء. التضليل الناجح قد ينتصر بالتصميم قبل البرهان.</w:t>
      </w:r>
    </w:p>
    <w:p>
      <w:pPr>
        <w:spacing w:after="60" w:line="288" w:lineRule="auto"/>
        <w:jc w:val="both"/>
        <w:bidi w:val="1"/>
      </w:pPr>
      <w:r>
        <w:rPr>
          <w:rFonts w:ascii="Noto Naskh Arabic" w:hAnsi="Noto Naskh Arabic" w:cs="Noto Naskh Arabic" w:eastAsia="Noto Naskh Arabic"/>
          <w:b/>
          <w:color w:val="B8860B"/>
          <w:sz w:val="21"/>
          <w:rtl/>
        </w:rPr>
        <w:t xml:space="preserve">3. </w:t>
      </w:r>
      <w:r>
        <w:rPr>
          <w:rFonts w:ascii="Noto Naskh Arabic" w:hAnsi="Noto Naskh Arabic" w:cs="Noto Naskh Arabic" w:eastAsia="Noto Naskh Arabic"/>
          <w:b w:val="0"/>
          <w:color w:val="1F2937"/>
          <w:sz w:val="21"/>
          <w:rtl/>
        </w:rPr>
        <w:t>الرمز صار مقنعًا لأن الجمهور شارك في مادته؛ حين يدفع الناس من حليهم إلى المشروع يصبح الرجوع عنه اعترافًا بخطئهم هم أيضًا.</w:t>
      </w:r>
    </w:p>
    <w:p>
      <w:pPr>
        <w:spacing w:after="60" w:line="288" w:lineRule="auto"/>
        <w:jc w:val="both"/>
        <w:bidi w:val="1"/>
      </w:pPr>
      <w:r>
        <w:rPr>
          <w:rFonts w:ascii="Noto Naskh Arabic" w:hAnsi="Noto Naskh Arabic" w:cs="Noto Naskh Arabic" w:eastAsia="Noto Naskh Arabic"/>
          <w:b/>
          <w:color w:val="B8860B"/>
          <w:sz w:val="21"/>
          <w:rtl/>
        </w:rPr>
        <w:t xml:space="preserve">4. </w:t>
      </w:r>
      <w:r>
        <w:rPr>
          <w:rFonts w:ascii="Noto Naskh Arabic" w:hAnsi="Noto Naskh Arabic" w:cs="Noto Naskh Arabic" w:eastAsia="Noto Naskh Arabic"/>
          <w:b w:val="0"/>
          <w:color w:val="1F2937"/>
          <w:sz w:val="21"/>
          <w:rtl/>
        </w:rPr>
        <w:t>عبارة هذا إلهكم وإله موسى أعادت تعريف غياب القائد: بدل انتظار الوحي، زُعم أن القائد نفسه أخطأ الطريق إلى إله حاضر أمامهم.</w:t>
      </w:r>
    </w:p>
    <w:p>
      <w:pPr>
        <w:spacing w:after="60" w:line="288" w:lineRule="auto"/>
        <w:jc w:val="both"/>
        <w:bidi w:val="1"/>
      </w:pPr>
      <w:r>
        <w:rPr>
          <w:rFonts w:ascii="Noto Naskh Arabic" w:hAnsi="Noto Naskh Arabic" w:cs="Noto Naskh Arabic" w:eastAsia="Noto Naskh Arabic"/>
          <w:b/>
          <w:color w:val="B8860B"/>
          <w:sz w:val="21"/>
          <w:rtl/>
        </w:rPr>
        <w:t xml:space="preserve">5. </w:t>
      </w:r>
      <w:r>
        <w:rPr>
          <w:rFonts w:ascii="Noto Naskh Arabic" w:hAnsi="Noto Naskh Arabic" w:cs="Noto Naskh Arabic" w:eastAsia="Noto Naskh Arabic"/>
          <w:b w:val="0"/>
          <w:color w:val="1F2937"/>
          <w:sz w:val="21"/>
          <w:rtl/>
        </w:rPr>
        <w:t>المعيار القرآني في نقد العجل عملي ومباشر: هل يتكلم؟ هل يهدي؟ هل يملك ضرًا أو نفعًا؟ وهي دعوة لفحص الادعاء بوظيفته لا بجاذبيته.</w:t>
      </w:r>
    </w:p>
    <w:p>
      <w:pPr>
        <w:spacing w:after="60" w:line="288" w:lineRule="auto"/>
        <w:jc w:val="both"/>
        <w:bidi w:val="1"/>
      </w:pPr>
      <w:r>
        <w:rPr>
          <w:rFonts w:ascii="Noto Naskh Arabic" w:hAnsi="Noto Naskh Arabic" w:cs="Noto Naskh Arabic" w:eastAsia="Noto Naskh Arabic"/>
          <w:b/>
          <w:color w:val="B8860B"/>
          <w:sz w:val="21"/>
          <w:rtl/>
        </w:rPr>
        <w:t xml:space="preserve">6. </w:t>
      </w:r>
      <w:r>
        <w:rPr>
          <w:rFonts w:ascii="Noto Naskh Arabic" w:hAnsi="Noto Naskh Arabic" w:cs="Noto Naskh Arabic" w:eastAsia="Noto Naskh Arabic"/>
          <w:b w:val="0"/>
          <w:color w:val="1F2937"/>
          <w:sz w:val="21"/>
          <w:rtl/>
        </w:rPr>
        <w:t>وجود هارون وتحذيره يبين أن المعلومات الصحيحة قد تكون متاحة، لكن الجمهور يرفضها عندما تهدد هويته الجديدة أو اندفاعه الجماعي.</w:t>
      </w:r>
    </w:p>
    <w:p>
      <w:pPr>
        <w:spacing w:after="60" w:line="288" w:lineRule="auto"/>
        <w:jc w:val="both"/>
        <w:bidi w:val="1"/>
      </w:pPr>
      <w:r>
        <w:rPr>
          <w:rFonts w:ascii="Noto Naskh Arabic" w:hAnsi="Noto Naskh Arabic" w:cs="Noto Naskh Arabic" w:eastAsia="Noto Naskh Arabic"/>
          <w:b/>
          <w:color w:val="B8860B"/>
          <w:sz w:val="21"/>
          <w:rtl/>
        </w:rPr>
        <w:t xml:space="preserve">7. </w:t>
      </w:r>
      <w:r>
        <w:rPr>
          <w:rFonts w:ascii="Noto Naskh Arabic" w:hAnsi="Noto Naskh Arabic" w:cs="Noto Naskh Arabic" w:eastAsia="Noto Naskh Arabic"/>
          <w:b w:val="0"/>
          <w:color w:val="1F2937"/>
          <w:sz w:val="21"/>
          <w:rtl/>
        </w:rPr>
        <w:t>تأجيل التراجع حتى عودة موسى يكشف الاعتماد المفرط على الشخصية؛ المؤسسة الناضجة تحتفظ بالمعيار عند غياب القائد.</w:t>
      </w:r>
    </w:p>
    <w:p>
      <w:pPr>
        <w:spacing w:after="60" w:line="288" w:lineRule="auto"/>
        <w:jc w:val="both"/>
        <w:bidi w:val="1"/>
      </w:pPr>
      <w:r>
        <w:rPr>
          <w:rFonts w:ascii="Noto Naskh Arabic" w:hAnsi="Noto Naskh Arabic" w:cs="Noto Naskh Arabic" w:eastAsia="Noto Naskh Arabic"/>
          <w:b/>
          <w:color w:val="B8860B"/>
          <w:sz w:val="21"/>
          <w:rtl/>
        </w:rPr>
        <w:t xml:space="preserve">8. </w:t>
      </w:r>
      <w:r>
        <w:rPr>
          <w:rFonts w:ascii="Noto Naskh Arabic" w:hAnsi="Noto Naskh Arabic" w:cs="Noto Naskh Arabic" w:eastAsia="Noto Naskh Arabic"/>
          <w:b w:val="0"/>
          <w:color w:val="1F2937"/>
          <w:sz w:val="21"/>
          <w:rtl/>
        </w:rPr>
        <w:t>موقف هارون يفتح مسألة إدارة الانقسام: ليس كل تأخر في المواجهة قبولًا بالباطل، وقد تكون هناك موازنة بين منع الفتنة ومنع الانهيار الداخلي.</w:t>
      </w:r>
    </w:p>
    <w:p>
      <w:pPr>
        <w:spacing w:after="60" w:line="288" w:lineRule="auto"/>
        <w:jc w:val="both"/>
        <w:bidi w:val="1"/>
      </w:pPr>
      <w:r>
        <w:rPr>
          <w:rFonts w:ascii="Noto Naskh Arabic" w:hAnsi="Noto Naskh Arabic" w:cs="Noto Naskh Arabic" w:eastAsia="Noto Naskh Arabic"/>
          <w:b/>
          <w:color w:val="B8860B"/>
          <w:sz w:val="21"/>
          <w:rtl/>
        </w:rPr>
        <w:t xml:space="preserve">9. </w:t>
      </w:r>
      <w:r>
        <w:rPr>
          <w:rFonts w:ascii="Noto Naskh Arabic" w:hAnsi="Noto Naskh Arabic" w:cs="Noto Naskh Arabic" w:eastAsia="Noto Naskh Arabic"/>
          <w:b w:val="0"/>
          <w:color w:val="1F2937"/>
          <w:sz w:val="21"/>
          <w:rtl/>
        </w:rPr>
        <w:t>موسى فصل دوائر المسؤولية: خاطب القوم، وراجع هارون، ثم حقق مع السامري؛ فلا تُختزل الأزمة المعقدة في متهم واحد يُعفي النظام كله.</w:t>
      </w:r>
    </w:p>
    <w:p>
      <w:pPr>
        <w:spacing w:after="60" w:line="288" w:lineRule="auto"/>
        <w:jc w:val="both"/>
        <w:bidi w:val="1"/>
      </w:pPr>
      <w:r>
        <w:rPr>
          <w:rFonts w:ascii="Noto Naskh Arabic" w:hAnsi="Noto Naskh Arabic" w:cs="Noto Naskh Arabic" w:eastAsia="Noto Naskh Arabic"/>
          <w:b/>
          <w:color w:val="B8860B"/>
          <w:sz w:val="21"/>
          <w:rtl/>
        </w:rPr>
        <w:t xml:space="preserve">10. </w:t>
      </w:r>
      <w:r>
        <w:rPr>
          <w:rFonts w:ascii="Noto Naskh Arabic" w:hAnsi="Noto Naskh Arabic" w:cs="Noto Naskh Arabic" w:eastAsia="Noto Naskh Arabic"/>
          <w:b w:val="0"/>
          <w:color w:val="1F2937"/>
          <w:sz w:val="21"/>
          <w:rtl/>
        </w:rPr>
        <w:t>قول السامري سولت لي نفسي يمنع تحويله إلى شخصية أسطورية خارجة عن سنن البشر؛ أصل الانحراف اختيار داخلي وجد أدوات وجمهورًا.</w:t>
      </w:r>
    </w:p>
    <w:p>
      <w:pPr>
        <w:spacing w:after="60" w:line="288" w:lineRule="auto"/>
        <w:jc w:val="both"/>
        <w:bidi w:val="1"/>
      </w:pPr>
      <w:r>
        <w:rPr>
          <w:rFonts w:ascii="Noto Naskh Arabic" w:hAnsi="Noto Naskh Arabic" w:cs="Noto Naskh Arabic" w:eastAsia="Noto Naskh Arabic"/>
          <w:b/>
          <w:color w:val="B8860B"/>
          <w:sz w:val="21"/>
          <w:rtl/>
        </w:rPr>
        <w:t xml:space="preserve">11. </w:t>
      </w:r>
      <w:r>
        <w:rPr>
          <w:rFonts w:ascii="Noto Naskh Arabic" w:hAnsi="Noto Naskh Arabic" w:cs="Noto Naskh Arabic" w:eastAsia="Noto Naskh Arabic"/>
          <w:b w:val="0"/>
          <w:color w:val="1F2937"/>
          <w:sz w:val="21"/>
          <w:rtl/>
        </w:rPr>
        <w:t>تحطيم العجل يقرر أن معالجة التضليل تحتاج تفكيك المنصة والرمز وآلية الانتشار، لا إصدار بيان تصحيحي مع بقاء الأداة تعمل.</w:t>
      </w:r>
    </w:p>
    <w:p>
      <w:pPr>
        <w:spacing w:after="60" w:line="288" w:lineRule="auto"/>
        <w:jc w:val="both"/>
        <w:bidi w:val="1"/>
      </w:pPr>
      <w:r>
        <w:rPr>
          <w:rFonts w:ascii="Noto Naskh Arabic" w:hAnsi="Noto Naskh Arabic" w:cs="Noto Naskh Arabic" w:eastAsia="Noto Naskh Arabic"/>
          <w:b/>
          <w:color w:val="B8860B"/>
          <w:sz w:val="21"/>
          <w:rtl/>
        </w:rPr>
        <w:t xml:space="preserve">12. </w:t>
      </w:r>
      <w:r>
        <w:rPr>
          <w:rFonts w:ascii="Noto Naskh Arabic" w:hAnsi="Noto Naskh Arabic" w:cs="Noto Naskh Arabic" w:eastAsia="Noto Naskh Arabic"/>
          <w:b w:val="0"/>
          <w:color w:val="1F2937"/>
          <w:sz w:val="21"/>
          <w:rtl/>
        </w:rPr>
        <w:t>القصة نموذج مبكر لحوكمة المعلومات: الوقاية بالمعيار، والإنذار المبكر، والمساءلة المتدرجة، وعزل المصدر، وإزالة الأصل المضلل.</w:t>
      </w:r>
    </w:p>
    <w:p>
      <w:pPr>
        <w:spacing w:before="160" w:after="100" w:line="240" w:lineRule="auto"/>
        <w:jc w:val="right"/>
        <w:keepNext/>
        <w:bidi w:val="1"/>
      </w:pPr>
      <w:r>
        <w:rPr>
          <w:rFonts w:ascii="Noto Kufi Arabic" w:hAnsi="Noto Kufi Arabic" w:cs="Noto Kufi Arabic" w:eastAsia="Noto Kufi Arabic"/>
          <w:b/>
          <w:color w:val="1F4E79"/>
          <w:sz w:val="28"/>
          <w:rtl/>
        </w:rPr>
        <w:t>الخلاصة</w:t>
      </w:r>
    </w:p>
    <w:tbl>
      <w:tblPr>
        <w:tblW w:type="auto" w:w="0"/>
        <w:jc w:val="center"/>
        <w:tblLook w:firstColumn="1" w:firstRow="1" w:lastColumn="0" w:lastRow="0" w:noHBand="0" w:noVBand="1" w:val="04A0"/>
        <w:bidiVisual w:val="1"/>
        <w:tblBorders>
          <w:top w:val="single" w:sz="5" w:color="B9CFE3"/>
          <w:left w:val="single" w:sz="5" w:color="B9CFE3"/>
          <w:bottom w:val="single" w:sz="5" w:color="B9CFE3"/>
          <w:right w:val="single" w:sz="5" w:color="B9CFE3"/>
          <w:insideH w:val="single" w:sz="5" w:color="B9CFE3"/>
          <w:insideV w:val="single" w:sz="5" w:color="B9CFE3"/>
        </w:tblBorders>
      </w:tblPr>
      <w:tblGrid>
        <w:gridCol w:w="10267"/>
      </w:tblGrid>
      <w:tr>
        <w:tc>
          <w:tcPr>
            <w:tcW w:type="dxa" w:w="10267"/>
            <w:shd w:fill="EEF4F9"/>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2"/>
                <w:rtl/>
              </w:rPr>
              <w:t>وقعت فتنة العجل في فراغ غياب موسى، فاستثمر السامري مادة جذابة وصوتًا ورواية دينية، ووجد جمهورًا لم يتحرر تمامًا من حاجته إلى المعبود المحسوس. كان معيار بطلان العجل ظاهرًا: لا يتكلم ولا يهدي ولا يملك ضرًا ولا نفعًا، كما كان تحذير هارون حاضرًا، لكن الاندفاع الجماعي عطّل المراجعة. عند عودة موسى توزعت المساءلة على الجماعة والقيادة وصانع التضليل، ثم أزيل الرمز نفسه. لا تختزل القصة التضليل في شخص واحد؛ إنها تكشف المنظومة التي تسمح له بالصناعة والانتشار والبقاء.</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المرحلة | النص | التطبيق على الإنسان</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94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المرحلة</w:t>
            </w:r>
          </w:p>
        </w:tc>
        <w:tc>
          <w:tcPr>
            <w:tcW w:type="dxa" w:w="295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النص أو المعنى المحوري</w:t>
            </w:r>
          </w:p>
        </w:tc>
        <w:tc>
          <w:tcPr>
            <w:tcW w:type="dxa" w:w="547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 على الإنسان</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الفراغ</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من بعدك</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خطط لاستمرار المعيار والرقابة عند غياب القائد.</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الأثر القديم</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زينة القوم</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افحص ما تحمله الجماعة من رموز الماضي بعد تغير النظام.</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صناعة الرمز</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عجلًا جسدًا</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تخلط جودة التصميم بصدق المعنى.</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الإبهار</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له خوار</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اختبر الصوت والمؤثر الحسي بوظيفته ودليله.</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التسمية الكاذبة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هذا إلهكم</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راقب كيف تمنح اللغة قداسة لمنتج مصنوع.</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تعطيل العقل</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يرجع إليهم قولًا</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استخدم أسئلة بسيطة تكشف غياب القدرة والهداية.</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رفض الإنذار</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لن نبرح عليه عاكفين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تجعل الانتماء الجماعي أقوى من الدليل.</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المساءلة</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فما خطبك</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حقق مع المصمم والممول والجمهور والرقابة كلٌ بحسب دوره.</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التبرير</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سولت لي نفسي</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أعد المسؤولية إلى الاختيار الشخصي دون إنكار أثر البيئة.</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العزل</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مساس</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أوقف قدرة المصدر المضلل على إعادة إنتاج الضرر.</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التفكيك</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لنحرقنه ثم لننسفنه</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أزل البنية المادية والرقمية التي تحمل التضليل.</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استعادة المعيار</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فتنتم به</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حوّل الأزمة إلى معرفة مؤسسية تمنع التكرار.</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التطبيقات العملية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rPr>
          <w:tblHeader w:val="true"/>
        </w:trPr>
        <w:tc>
          <w:tcPr>
            <w:tcW w:type="dxa" w:w="223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المجال</w:t>
            </w:r>
          </w:p>
        </w:tc>
        <w:tc>
          <w:tcPr>
            <w:tcW w:type="dxa" w:w="8136"/>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الحياة الشخصية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تتخذ قرارًا كبيرًا تحت تأثير صورة أو صوت أو إجماع؛ اسأل عن الدليل والقدرة والنتيجة.</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الأسرة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علّم الأبناء أن المحتوى الجذاب قد يكون فارغًا من الحقيقة، وأن التحقق يسبق المشاركة.</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القيادة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أنشئ تفويضًا واضحًا وخطة اتصال عند الغياب حتى لا يصنع الفراغ سلطة بديلة.</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الإدارة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وزع المساءلة بين منشئ المعلومة، والمنصة، والموافقين، والرقابة بدل الاكتفاء بكبش فداء.</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أخلاقيات العمل</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تستخدم التصميم أو البيانات أو المكانة لإضفاء شرعية كاذبة على منتج لا يحقق ما يدعيه.</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المجتمع</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واجه التضليل بتصحيح الرواية وتعطيل قنوات الانتشار وبناء مناعة معرفية.</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الدعوة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اجمع بين كشف بطلان الرمز وتذكير القلب بالرحمن، فلا يكون الخطاب تقنيًا باردًا ولا انفعاليًا مجردًا.</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التعليم</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حوّل القصة إلى نموذج لدراسة الإشاعة، والمؤثرات الحسية، والانحياز للجماعة، وإدارة الأزمات.</w:t>
            </w:r>
          </w:p>
        </w:tc>
      </w:tr>
    </w:tbl>
    <w:p>
      <w:pPr>
        <w:spacing w:before="160" w:after="100" w:line="240" w:lineRule="auto"/>
        <w:jc w:val="right"/>
        <w:keepNext/>
        <w:bidi w:val="1"/>
      </w:pPr>
      <w:r>
        <w:rPr>
          <w:rFonts w:ascii="Noto Kufi Arabic" w:hAnsi="Noto Kufi Arabic" w:cs="Noto Kufi Arabic" w:eastAsia="Noto Kufi Arabic"/>
          <w:b/>
          <w:color w:val="1F4E79"/>
          <w:sz w:val="28"/>
          <w:rtl/>
        </w:rPr>
        <w:t>ضوابط الفهم والاستنباط</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لا يحدد النص على وجه القطع الكيفية المادية لخوار العجل، فلا تُعرض رواية معينة بوصفها حقيقة قرآنية لازمة.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عبارة قبضة من أثر الرسول من المواضع التي وردت فيها أقوال تفسيرية، ولا ينبغي بناء تطبيقات عقدية أو علمية قطعية على تفاصيل لم يحسمها النص.</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لا مساس جزاء مذكور للسامري، أما طبيعته التفصيلية وكيفية وقوعه فلا تُستكمل بالتخمين.</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خوف هارون من تفريق بني إسرائيل لا يعني رضاه بالعجل؛ الآيات تثبت أنه أنذرهم ودعاهم إلى اتباعه.</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التطبيق على الإعلام والتقنية استنباط معاصر، ولا يحل محل المعنى العقدي الأصلي المتعلق بالتوحيد ورفض عبادة المصنوع.</w:t>
      </w:r>
    </w:p>
    <w:p>
      <w:pPr>
        <w:spacing w:before="160" w:after="100" w:line="240" w:lineRule="auto"/>
        <w:jc w:val="right"/>
        <w:keepNext/>
        <w:bidi w:val="1"/>
      </w:pPr>
      <w:r>
        <w:rPr>
          <w:rFonts w:ascii="Noto Kufi Arabic" w:hAnsi="Noto Kufi Arabic" w:cs="Noto Kufi Arabic" w:eastAsia="Noto Kufi Arabic"/>
          <w:b/>
          <w:color w:val="1F4E79"/>
          <w:sz w:val="28"/>
          <w:rtl/>
        </w:rPr>
        <w:t>تقرير ضبط الجودة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2053"/>
        <w:gridCol w:w="2053"/>
        <w:gridCol w:w="2053"/>
        <w:gridCol w:w="2053"/>
        <w:gridCol w:w="2053"/>
      </w:tblGrid>
      <w:tr>
        <w:trPr>
          <w:tblHeader w:val="true"/>
        </w:trPr>
        <w:tc>
          <w:tcPr>
            <w:tcW w:type="dxa" w:w="151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المراجعة</w:t>
            </w:r>
          </w:p>
        </w:tc>
        <w:tc>
          <w:tcPr>
            <w:tcW w:type="dxa" w:w="180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المعيار</w:t>
            </w:r>
          </w:p>
        </w:tc>
        <w:tc>
          <w:tcPr>
            <w:tcW w:type="dxa" w:w="108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الإنجاز</w:t>
            </w:r>
          </w:p>
        </w:tc>
        <w:tc>
          <w:tcPr>
            <w:tcW w:type="dxa" w:w="410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لماذا لم يصل إلى 100%؟</w:t>
            </w:r>
          </w:p>
        </w:tc>
        <w:tc>
          <w:tcPr>
            <w:tcW w:type="dxa" w:w="208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الإجراء المتبقي</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1</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الدقة القرآنية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99.3%</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تمت مطابقة المقاطع الثلاثة آليًا، ويبقى تدقيق الرسم والوقف البشري قبل النشر.</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مصحفية نهائية.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2</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التفسير</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97.9%</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القصة تضم ألفاظًا ذات أقوال متعددة مثل أثر الرسول وكيفية الخوار، فحُفظت مساحة الاحتمال ولم تُحسم التفاصيل.</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اعتماد باحث شرعي متخصص.</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3</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تدفق القصة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99.1%</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جُمعت مواضع البقرة والأعراف وطه في حركة واحدة، وقد تختلف زاوية كل سورة عن ترتيب سردي خطي كامل.</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سياق السور منفردة.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4</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منطق قصة إبليس</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99.3%</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حُفظ تسلسل الفتنة والتبرير والمساءلة والعاقبة، مع توزيع المسؤولية على منظومة لا فرد واحد.</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القالب الجامع.</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5</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الصقل اللغوي</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99.0%</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تمت دورتان للتحرير، وتبقى مصطلحات الإعلام والحوكمة قابلة لمزيد من التوحيد في النسخة النهائية.</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تدقيق لغوي ومصطلحي.</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6</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إطار المشروع</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99.2%</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يتطابق مع مهارة التحقق من المعلومات وخطر التضليل، وتبقى مراجعة الربط مع كل ملفات الإدارة.</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موضوعية للسلسلة.</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النتيجة</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الجاهزية الإجمالية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99.0%</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الحساسية العقدية وتعدد الأقوال يفرضان مراجعة بشرية متخصصة قبل النشر.</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شرعية وتحريرية نهائية.</w:t>
            </w:r>
          </w:p>
        </w:tc>
      </w:tr>
    </w:tbl>
    <w:p>
      <w:pPr>
        <w:spacing w:before="160" w:after="100" w:line="240" w:lineRule="auto"/>
        <w:jc w:val="right"/>
        <w:keepNext/>
        <w:bidi w:val="1"/>
      </w:pPr>
      <w:r>
        <w:rPr>
          <w:rFonts w:ascii="Noto Kufi Arabic" w:hAnsi="Noto Kufi Arabic" w:cs="Noto Kufi Arabic" w:eastAsia="Noto Kufi Arabic"/>
          <w:b/>
          <w:color w:val="1F4E79"/>
          <w:sz w:val="28"/>
          <w:rtl/>
        </w:rPr>
        <w:t>سجل التحسين التكراري</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58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الدورة</w:t>
            </w:r>
          </w:p>
        </w:tc>
        <w:tc>
          <w:tcPr>
            <w:tcW w:type="dxa" w:w="640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ما تم فحصه وتحسينه</w:t>
            </w:r>
          </w:p>
        </w:tc>
        <w:tc>
          <w:tcPr>
            <w:tcW w:type="dxa" w:w="252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الأثر</w:t>
            </w:r>
          </w:p>
        </w:tc>
      </w:tr>
      <w:tr>
        <w:trPr/>
        <w:tc>
          <w:tcPr>
            <w:tcW w:type="dxa" w:w="158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الأولى</w:t>
            </w:r>
          </w:p>
        </w:tc>
        <w:tc>
          <w:tcPr>
            <w:tcW w:type="dxa" w:w="640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مطابقة عنوان القصة ونطاقات الآيات وترتيب المقاطع، ثم إعادة بناء الروابط بين المؤثر والتفكير والقرار والسلوك والعاقبة.</w:t>
            </w:r>
          </w:p>
        </w:tc>
        <w:tc>
          <w:tcPr>
            <w:tcW w:type="dxa" w:w="252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الدقة النصية وتماسك الحركة.</w:t>
            </w:r>
          </w:p>
        </w:tc>
      </w:tr>
      <w:tr>
        <w:trPr/>
        <w:tc>
          <w:tcPr>
            <w:tcW w:type="dxa" w:w="158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الثانية</w:t>
            </w:r>
          </w:p>
        </w:tc>
        <w:tc>
          <w:tcPr>
            <w:tcW w:type="dxa" w:w="640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مقارنة الوثيقة بقالب قصة إبليس وبملفات الدفعات السابقة، وصقل اللغة والجداول والتطبيقات والضوابط والتصميم.</w:t>
            </w:r>
          </w:p>
        </w:tc>
        <w:tc>
          <w:tcPr>
            <w:tcW w:type="dxa" w:w="252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الاتساق والوضوح والجاهزية للتسليم.</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المراجع والمنهج</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القرآن الكريم - أصل النص، مع إثبات المقاطع وفق ترتيب ملف Excel ومراجعة صحة نطاق السور والآيات.</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سيد قطب، في ظلال القرآن - المرجع التفسيري الرئيس لقراءة وحدة السياق والحركة الإيمانية والنفسية والاجتماعية.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الطبري، ابن كثير، القرطبي، السعدي - مراجع مساندة لضبط المعنى المشهور ومواضع الاحتمال عند الحاجة.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التحليل النفسي والقيادي والإداري والتطبيقات المعاصرة صياغة أصلية ضمن إطار المشروع، وليست نقلًا حرفيًا من التفسير.</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https://www.islamweb.net/ar/library/content/210/721/</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https://www.islamweb.net/ar/library/content/210/454/</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9" w:h="16834"/>
      <w:pgMar w:top="763" w:right="821" w:bottom="763" w:left="8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rFonts w:ascii="Noto Naskh Arabic" w:hAnsi="Noto Naskh Arabic" w:cs="Noto Naskh Arabic" w:eastAsia="Noto Naskh Arabic"/>
        <w:b w:val="0"/>
        <w:color w:val="6B7280"/>
        <w:sz w:val="17"/>
        <w:rtl/>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
      <w:rPr>
        <w:rFonts w:ascii="Noto Kufi Arabic" w:hAnsi="Noto Kufi Arabic" w:cs="Noto Kufi Arabic" w:eastAsia="Noto Kufi Arabic"/>
        <w:b/>
        <w:color w:val="1F4E79"/>
        <w:sz w:val="17"/>
        <w:rtl/>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