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keepNext w:val="0"/>
        <w:bidi w:val="1"/>
      </w:pPr>
      <w:r>
        <w:rPr>
          <w:rFonts w:ascii="Noto Kufi Arabic" w:hAnsi="Noto Kufi Arabic" w:cs="Noto Kufi Arabic" w:eastAsia="Noto Kufi Arabic"/>
          <w:b/>
          <w:color w:val="B8860B"/>
          <w:sz w:val="22"/>
          <w:rtl/>
        </w:rPr>
        <w:t>035</w:t>
      </w:r>
    </w:p>
    <w:p>
      <w:pPr>
        <w:spacing w:before="0" w:after="20" w:line="240" w:lineRule="auto"/>
        <w:jc w:val="center"/>
        <w:keepNext w:val="0"/>
        <w:bidi w:val="1"/>
      </w:pPr>
      <w:r>
        <w:rPr>
          <w:rFonts w:ascii="Noto Kufi Arabic" w:hAnsi="Noto Kufi Arabic" w:cs="Noto Kufi Arabic" w:eastAsia="Noto Kufi Arabic"/>
          <w:b/>
          <w:color w:val="1F4E79"/>
          <w:sz w:val="48"/>
          <w:rtl/>
        </w:rPr>
        <w:t>أصحاب القرية</w:t>
      </w:r>
    </w:p>
    <w:p>
      <w:pPr>
        <w:spacing w:before="0" w:after="60" w:line="252" w:lineRule="auto"/>
        <w:jc w:val="center"/>
        <w:keepNext w:val="0"/>
        <w:bidi w:val="1"/>
      </w:pPr>
      <w:r>
        <w:rPr>
          <w:rFonts w:ascii="Noto Naskh Arabic" w:hAnsi="Noto Naskh Arabic" w:cs="Noto Naskh Arabic" w:eastAsia="Noto Naskh Arabic"/>
          <w:b/>
          <w:color w:val="B8860B"/>
          <w:sz w:val="28"/>
          <w:rtl/>
        </w:rPr>
        <w:t>مقاومة التغيير حين تُختزل الرسالة في أشخاصها ويأتي صوت الحق من أقصى المدينة</w:t>
      </w:r>
    </w:p>
    <w:p>
      <w:pPr>
        <w:spacing w:before="0" w:after="80" w:line="276" w:lineRule="auto"/>
        <w:jc w:val="center"/>
        <w:keepNext w:val="0"/>
        <w:bidi w:val="1"/>
      </w:pPr>
      <w:r>
        <w:rPr>
          <w:rFonts w:ascii="Noto Naskh Arabic" w:hAnsi="Noto Naskh Arabic" w:cs="Noto Naskh Arabic" w:eastAsia="Noto Naskh Arabic"/>
          <w:b w:val="0"/>
          <w:color w:val="1F2937"/>
          <w:sz w:val="21"/>
          <w:rtl/>
        </w:rPr>
        <w:t>القيمة المحورية: المرونة أمام الحق وإدارة التغيير دون تشاؤم أو عنف  |  التصنيف: قيادة</w:t>
      </w:r>
    </w:p>
    <w:tbl>
      <w:tblPr>
        <w:tblW w:type="auto" w:w="0"/>
        <w:jc w:val="center"/>
        <w:tblLayout w:type="fixed"/>
        <w:tblLook w:firstColumn="1" w:firstRow="1" w:lastColumn="0" w:lastRow="0" w:noHBand="0" w:noVBand="1" w:val="04A0"/>
        <w:bidiVisual w:val="1"/>
        <w:tblBorders>
          <w:top w:val="single" w:sz="5" w:color="E6D5A5"/>
          <w:left w:val="single" w:sz="5" w:color="E6D5A5"/>
          <w:bottom w:val="single" w:sz="5" w:color="E6D5A5"/>
          <w:right w:val="single" w:sz="5" w:color="E6D5A5"/>
          <w:insideH w:val="single" w:sz="5" w:color="E6D5A5"/>
          <w:insideV w:val="single" w:sz="5" w:color="E6D5A5"/>
        </w:tblBorders>
      </w:tblPr>
      <w:tblGrid>
        <w:gridCol w:w="10368"/>
      </w:tblGrid>
      <w:tr>
        <w:tc>
          <w:tcPr>
            <w:tcW w:type="dxa" w:w="10267"/>
            <w:shd w:fill="FFF7E3"/>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9"/>
                <w:rtl/>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 ومنطقها الحركي.</w:t>
            </w:r>
          </w:p>
        </w:tc>
      </w:tr>
    </w:tbl>
    <w:p>
      <w:pPr>
        <w:spacing w:before="0" w:after="20" w:line="276" w:lineRule="auto"/>
        <w:jc w:val="center"/>
        <w:keepNext w:val="0"/>
        <w:bidi w:val="1"/>
      </w:pPr>
      <w:r>
        <w:rPr>
          <w:rFonts w:ascii="Noto Naskh Arabic" w:hAnsi="Noto Naskh Arabic" w:cs="Noto Naskh Arabic" w:eastAsia="Noto Naskh Arabic"/>
          <w:b w:val="0"/>
          <w:color w:val="6B7280"/>
          <w:sz w:val="18"/>
          <w:rtl/>
        </w:rPr>
        <w:t>مواضع القصة: يس: من الآية 13 إلى الآية 29</w:t>
      </w:r>
    </w:p>
    <w:p/>
    <w:p>
      <w:pPr>
        <w:spacing w:before="0" w:after="60" w:line="276" w:lineRule="auto"/>
        <w:jc w:val="center"/>
        <w:keepNext w:val="0"/>
        <w:bidi w:val="1"/>
      </w:pPr>
      <w:r>
        <w:rPr>
          <w:rFonts w:ascii="Noto Naskh Arabic" w:hAnsi="Noto Naskh Arabic" w:cs="Noto Naskh Arabic" w:eastAsia="Noto Naskh Arabic"/>
          <w:b w:val="0"/>
          <w:color w:val="6B7280"/>
          <w:sz w:val="17"/>
          <w:rtl/>
        </w:rPr>
        <w:t>ترتيب القصة في ملف Excel: 36</w:t>
      </w:r>
    </w:p>
    <w:p>
      <w:pPr>
        <w:spacing w:before="160" w:after="100" w:line="240" w:lineRule="auto"/>
        <w:jc w:val="right"/>
        <w:keepNext/>
        <w:bidi w:val="1"/>
      </w:pPr>
      <w:r>
        <w:rPr>
          <w:rFonts w:ascii="Noto Kufi Arabic" w:hAnsi="Noto Kufi Arabic" w:cs="Noto Kufi Arabic" w:eastAsia="Noto Kufi Arabic"/>
          <w:b/>
          <w:color w:val="1F4E79"/>
          <w:sz w:val="28"/>
          <w:rtl/>
        </w:rPr>
        <w:t>مدخل القصة ومحورها</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5133"/>
        <w:gridCol w:w="5133"/>
      </w:tblGrid>
      <w:tr>
        <w:tc>
          <w:tcPr>
            <w:tcW w:type="dxa" w:w="2088"/>
            <w:shd w:fill="DCE6F1"/>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20"/>
                <w:rtl/>
              </w:rPr>
              <w:t>المحور المركزي</w:t>
            </w:r>
          </w:p>
        </w:tc>
        <w:tc>
          <w:tcPr>
            <w:tcW w:type="dxa" w:w="8280"/>
            <w:shd w:fill="F8FBFE"/>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20"/>
                <w:rtl/>
              </w:rPr>
              <w:t>المجتمع الرافض للتغيير ينقل النقاش من مضمون الرسالة إلى بشرية المرسلين، ثم يحول وجود الناصحين إلى نذير شؤم، بينما يظهر رجل من الهامش يرى وضوح الحق ويتحرك لنصرته بلا مصلحة شخصية.</w:t>
            </w:r>
          </w:p>
        </w:tc>
      </w:tr>
      <w:tr>
        <w:tc>
          <w:tcPr>
            <w:tcW w:type="dxa" w:w="2088"/>
            <w:shd w:fill="DCE6F1"/>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20"/>
                <w:rtl/>
              </w:rPr>
              <w:t>السؤال الإنساني</w:t>
            </w:r>
          </w:p>
        </w:tc>
        <w:tc>
          <w:tcPr>
            <w:tcW w:type="dxa" w:w="828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20"/>
                <w:rtl/>
              </w:rPr>
              <w:t>كيف تتحول مقاومة الفكرة الجديدة من اعتراض إلى تهديد، ولماذا يستطيع فرد بعيد عن مركز القوة أن يرى ما تعجز عنه الجماعة المنظمة؟</w:t>
            </w:r>
          </w:p>
        </w:tc>
      </w:tr>
      <w:tr>
        <w:tc>
          <w:tcPr>
            <w:tcW w:type="dxa" w:w="2088"/>
            <w:shd w:fill="DCE6F1"/>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20"/>
                <w:rtl/>
              </w:rPr>
              <w:t>الحركة الكبرى</w:t>
            </w:r>
          </w:p>
        </w:tc>
        <w:tc>
          <w:tcPr>
            <w:tcW w:type="dxa" w:w="8280"/>
            <w:shd w:fill="F8FBFE"/>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20"/>
                <w:rtl/>
              </w:rPr>
              <w:t>إرسال اثنين وتكذيبهما → تعزيز بثالث → اعتراض على بشرية الرسل → اتهام بالكذب والتطير → بيان المسؤولية → رجل يسعى من أقصى المدينة → حجة الفطرة وعدم المصلحة → إعلان الإيمان → انتقال إلى الجنة → تمنٍ لهداية القوم → صيحة واحدة وخمود.</w:t>
            </w:r>
          </w:p>
        </w:tc>
      </w:tr>
    </w:tbl>
    <w:p>
      <w:pPr>
        <w:spacing w:before="160" w:after="100" w:line="240" w:lineRule="auto"/>
        <w:jc w:val="right"/>
        <w:keepNext/>
        <w:bidi w:val="1"/>
      </w:pPr>
      <w:r>
        <w:rPr>
          <w:rFonts w:ascii="Noto Kufi Arabic" w:hAnsi="Noto Kufi Arabic" w:cs="Noto Kufi Arabic" w:eastAsia="Noto Kufi Arabic"/>
          <w:b/>
          <w:color w:val="1F4E79"/>
          <w:sz w:val="28"/>
          <w:rtl/>
        </w:rPr>
        <w:t>الآيات + الشرح</w:t>
      </w:r>
    </w:p>
    <w:tbl>
      <w:tblPr>
        <w:tblW w:type="auto" w:w="0"/>
        <w:jc w:val="center"/>
        <w:tblLayout w:type="fixed"/>
        <w:tblLook w:firstColumn="1" w:firstRow="1" w:lastColumn="0" w:lastRow="0" w:noHBand="0" w:noVBand="1" w:val="04A0"/>
        <w:bidiVisual w:val="1"/>
        <w:tblBorders>
          <w:top w:val="single" w:sz="6" w:color="B9CFE3"/>
          <w:left w:val="single" w:sz="6" w:color="B9CFE3"/>
          <w:bottom w:val="single" w:sz="6" w:color="B9CFE3"/>
          <w:right w:val="single" w:sz="6" w:color="B9CFE3"/>
          <w:insideH w:val="single" w:sz="6" w:color="B9CFE3"/>
          <w:insideV w:val="single" w:sz="6" w:color="B9CFE3"/>
        </w:tblBorders>
      </w:tblPr>
      <w:tblGrid>
        <w:gridCol w:w="10267"/>
      </w:tblGrid>
      <w:tr>
        <w:trPr/>
        <w:tc>
          <w:tcPr>
            <w:tcW w:type="dxa" w:w="10267"/>
            <w:shd w:fill="DCE6F1"/>
            <w:tcMar>
              <w:top w:w="120" w:type="dxa"/>
              <w:start w:w="120" w:type="dxa"/>
              <w:bottom w:w="100" w:type="dxa"/>
              <w:end w:w="120" w:type="dxa"/>
            </w:tcMar>
          </w:tcPr>
          <w:p>
            <w:pPr>
              <w:spacing w:after="80"/>
              <w:jc w:val="right"/>
              <w:bidi w:val="1"/>
            </w:pPr>
            <w:r/>
            <w:r>
              <w:rPr>
                <w:rFonts w:ascii="Noto Kufi Arabic" w:hAnsi="Noto Kufi Arabic" w:cs="Noto Kufi Arabic" w:eastAsia="Noto Kufi Arabic"/>
                <w:b/>
                <w:color w:val="1F4E79"/>
                <w:sz w:val="21"/>
                <w:rtl/>
              </w:rPr>
              <w:t>1. سورة يس - الآيات من 13 إلى 29</w:t>
            </w:r>
          </w:p>
          <w:p>
            <w:pPr>
              <w:spacing w:line="324" w:lineRule="auto" w:after="100"/>
              <w:jc w:val="both"/>
              <w:bidi w:val="1"/>
            </w:pPr>
            <w:r>
              <w:rPr>
                <w:rFonts w:ascii="Noto Naskh Arabic" w:hAnsi="Noto Naskh Arabic" w:cs="Noto Naskh Arabic" w:eastAsia="Noto Naskh Arabic"/>
                <w:b w:val="0"/>
                <w:color w:val="1F2937"/>
                <w:sz w:val="23"/>
                <w:rtl/>
              </w:rPr>
              <w:t>وَاضرِب لَهُم مَثَلًا أَصحابَ القَريَةِ إِذ جاءَهَا المُرسَلونَ﴿١٣﴾ إِذ أَرسَلنا إِلَيهِمُ اثنَينِ فَكَذَّبوهُما فَعَزَّزنا بِثالِثٍ فَقالوا إِنّا إِلَيكُم مُرسَلونَ﴿١٤﴾ قالوا ما أَنتُم إِلّا بَشَرٌ مِثلُنا وَما أَنزَلَ الرَّحمـٰنُ مِن شَيءٍ إِن أَنتُم إِلّا تَكذِبونَ﴿١٥﴾ قالوا رَبُّنا يَعلَمُ إِنّا إِلَيكُم لَمُرسَلونَ﴿١٦﴾ وَما عَلَينا إِلَّا البَلاغُ المُبينُ﴿١٧﴾ قالوا إِنّا تَطَيَّرنا بِكُم ۖ لَئِن لَم تَنتَهوا لَنَرجُمَنَّكُم وَلَيَمَسَّنَّكُم مِنّا عَذابٌ أَليمٌ﴿١٨﴾ قالوا طائِرُكُم مَعَكُم ۚ أَئِن ذُكِّرتُم ۚ بَل أَنتُم قَومٌ مُسرِفونَ﴿١٩﴾ وَجاءَ مِن أَقصَى المَدينَةِ رَجُلٌ يَسعىٰ قالَ يا قَومِ اتَّبِعُوا المُرسَلينَ﴿٢٠﴾ اتَّبِعوا مَن لا يَسأَلُكُم أَجرًا وَهُم مُهتَدونَ﴿٢١﴾ وَما لِيَ لا أَعبُدُ الَّذي فَطَرَني وَإِلَيهِ تُرجَعونَ﴿٢٢﴾ أَأَتَّخِذُ مِن دونِهِ آلِهَةً إِن يُرِدنِ الرَّحمـٰنُ بِضُرٍّ لا تُغنِ عَنّي شَفاعَتُهُم شَيئًا وَلا يُنقِذونِ﴿٢٣﴾ إِنّي إِذًا لَفي ضَلالٍ مُبينٍ﴿٢٤﴾ إِنّي آمَنتُ بِرَبِّكُم فَاسمَعونِ﴿٢٥﴾ قيلَ ادخُلِ الجَنَّةَ ۖ قالَ يا لَيتَ قَومي يَعلَمونَ﴿٢٦﴾ بِما غَفَرَ لي رَبّي وَجَعَلَني مِنَ المُكرَمينَ﴿٢٧﴾ وَما أَنزَلنا عَلىٰ قَومِهِ مِن بَعدِهِ مِن جُندٍ مِنَ السَّماءِ وَما كُنّا مُنزِلينَ﴿٢٨﴾ إِن كانَت إِلّا صَيحَةً واحِدَةً فَإِذا هُم خامِدونَ﴿٢٩﴾</w:t>
            </w:r>
          </w:p>
          <w:p>
            <w:pPr>
              <w:spacing w:after="40" w:line="269" w:lineRule="auto"/>
              <w:jc w:val="both"/>
              <w:bidi w:val="1"/>
            </w:pPr>
            <w:r>
              <w:rPr>
                <w:rFonts w:ascii="Noto Naskh Arabic" w:hAnsi="Noto Naskh Arabic" w:cs="Noto Naskh Arabic" w:eastAsia="Noto Naskh Arabic"/>
                <w:b/>
                <w:color w:val="B8860B"/>
                <w:sz w:val="19"/>
                <w:rtl/>
              </w:rPr>
              <w:t xml:space="preserve">1. </w:t>
            </w:r>
            <w:r>
              <w:rPr>
                <w:rFonts w:ascii="Noto Naskh Arabic" w:hAnsi="Noto Naskh Arabic" w:cs="Noto Naskh Arabic" w:eastAsia="Noto Naskh Arabic"/>
                <w:b w:val="0"/>
                <w:color w:val="1F2937"/>
                <w:sz w:val="19"/>
                <w:rtl/>
              </w:rPr>
              <w:t>قدم السياق القصة مثلًا، ولم يسم القرية ولا المرسلين؛ فالمقصود هو النمط الإنساني المتكرر لا التوثيق الجغرافي.</w:t>
            </w:r>
          </w:p>
          <w:p>
            <w:pPr>
              <w:spacing w:after="40" w:line="269" w:lineRule="auto"/>
              <w:jc w:val="both"/>
              <w:bidi w:val="1"/>
            </w:pPr>
            <w:r>
              <w:rPr>
                <w:rFonts w:ascii="Noto Naskh Arabic" w:hAnsi="Noto Naskh Arabic" w:cs="Noto Naskh Arabic" w:eastAsia="Noto Naskh Arabic"/>
                <w:b/>
                <w:color w:val="B8860B"/>
                <w:sz w:val="19"/>
                <w:rtl/>
              </w:rPr>
              <w:t xml:space="preserve">2. </w:t>
            </w:r>
            <w:r>
              <w:rPr>
                <w:rFonts w:ascii="Noto Naskh Arabic" w:hAnsi="Noto Naskh Arabic" w:cs="Noto Naskh Arabic" w:eastAsia="Noto Naskh Arabic"/>
                <w:b w:val="0"/>
                <w:color w:val="1F2937"/>
                <w:sz w:val="19"/>
                <w:rtl/>
              </w:rPr>
              <w:t>أُرسل اثنان ثم عُززا بثالث؛ تكاثر الشهود لم يغير موقف من قرر أن بشرية الرسول تكفي لرد الرسالة.</w:t>
            </w:r>
          </w:p>
          <w:p>
            <w:pPr>
              <w:spacing w:after="40" w:line="269" w:lineRule="auto"/>
              <w:jc w:val="both"/>
              <w:bidi w:val="1"/>
            </w:pPr>
            <w:r>
              <w:rPr>
                <w:rFonts w:ascii="Noto Naskh Arabic" w:hAnsi="Noto Naskh Arabic" w:cs="Noto Naskh Arabic" w:eastAsia="Noto Naskh Arabic"/>
                <w:b/>
                <w:color w:val="B8860B"/>
                <w:sz w:val="19"/>
                <w:rtl/>
              </w:rPr>
              <w:t xml:space="preserve">3. </w:t>
            </w:r>
            <w:r>
              <w:rPr>
                <w:rFonts w:ascii="Noto Naskh Arabic" w:hAnsi="Noto Naskh Arabic" w:cs="Noto Naskh Arabic" w:eastAsia="Noto Naskh Arabic"/>
                <w:b w:val="0"/>
                <w:color w:val="1F2937"/>
                <w:sz w:val="19"/>
                <w:rtl/>
              </w:rPr>
              <w:t>احتج القوم بأن المرسلين بشر مثلهم، وكأن الحق لا يمكن أن يأتي في صورة إنسان يعيش بينهم.</w:t>
            </w:r>
          </w:p>
          <w:p>
            <w:pPr>
              <w:spacing w:after="40" w:line="269" w:lineRule="auto"/>
              <w:jc w:val="both"/>
              <w:bidi w:val="1"/>
            </w:pPr>
            <w:r>
              <w:rPr>
                <w:rFonts w:ascii="Noto Naskh Arabic" w:hAnsi="Noto Naskh Arabic" w:cs="Noto Naskh Arabic" w:eastAsia="Noto Naskh Arabic"/>
                <w:b/>
                <w:color w:val="B8860B"/>
                <w:sz w:val="19"/>
                <w:rtl/>
              </w:rPr>
              <w:t xml:space="preserve">4. </w:t>
            </w:r>
            <w:r>
              <w:rPr>
                <w:rFonts w:ascii="Noto Naskh Arabic" w:hAnsi="Noto Naskh Arabic" w:cs="Noto Naskh Arabic" w:eastAsia="Noto Naskh Arabic"/>
                <w:b w:val="0"/>
                <w:color w:val="1F2937"/>
                <w:sz w:val="19"/>
                <w:rtl/>
              </w:rPr>
              <w:t>أجاب المرسلون بأن ربهم يعلم إرسالهم وأن وظيفتهم البلاغ المبين؛ لم يدخلوا في استعراض ذاتي لإرضاء طلبات الخصوم.</w:t>
            </w:r>
          </w:p>
          <w:p>
            <w:pPr>
              <w:spacing w:after="40" w:line="269" w:lineRule="auto"/>
              <w:jc w:val="both"/>
              <w:bidi w:val="1"/>
            </w:pPr>
            <w:r>
              <w:rPr>
                <w:rFonts w:ascii="Noto Naskh Arabic" w:hAnsi="Noto Naskh Arabic" w:cs="Noto Naskh Arabic" w:eastAsia="Noto Naskh Arabic"/>
                <w:b/>
                <w:color w:val="B8860B"/>
                <w:sz w:val="19"/>
                <w:rtl/>
              </w:rPr>
              <w:t xml:space="preserve">5. </w:t>
            </w:r>
            <w:r>
              <w:rPr>
                <w:rFonts w:ascii="Noto Naskh Arabic" w:hAnsi="Noto Naskh Arabic" w:cs="Noto Naskh Arabic" w:eastAsia="Noto Naskh Arabic"/>
                <w:b w:val="0"/>
                <w:color w:val="1F2937"/>
                <w:sz w:val="19"/>
                <w:rtl/>
              </w:rPr>
              <w:t>انتقل القوم من التكذيب إلى التطير ثم التهديد بالرجم والعذاب؛ عندما تعجز المقاومة عن مناقشة الفكرة تجعل حاملها سببًا للمشكلة.</w:t>
            </w:r>
          </w:p>
          <w:p>
            <w:pPr>
              <w:spacing w:after="40" w:line="269" w:lineRule="auto"/>
              <w:jc w:val="both"/>
              <w:bidi w:val="1"/>
            </w:pPr>
            <w:r>
              <w:rPr>
                <w:rFonts w:ascii="Noto Naskh Arabic" w:hAnsi="Noto Naskh Arabic" w:cs="Noto Naskh Arabic" w:eastAsia="Noto Naskh Arabic"/>
                <w:b/>
                <w:color w:val="B8860B"/>
                <w:sz w:val="19"/>
                <w:rtl/>
              </w:rPr>
              <w:t xml:space="preserve">6. </w:t>
            </w:r>
            <w:r>
              <w:rPr>
                <w:rFonts w:ascii="Noto Naskh Arabic" w:hAnsi="Noto Naskh Arabic" w:cs="Noto Naskh Arabic" w:eastAsia="Noto Naskh Arabic"/>
                <w:b w:val="0"/>
                <w:color w:val="1F2937"/>
                <w:sz w:val="19"/>
                <w:rtl/>
              </w:rPr>
              <w:t>رد المرسلون بأن طائرهم معهم وأن التذكير لا يبرر العدوان؛ مصدر الأزمة في اختيار القوم لا في وجود الناصح.</w:t>
            </w:r>
          </w:p>
          <w:p>
            <w:pPr>
              <w:spacing w:after="40" w:line="269" w:lineRule="auto"/>
              <w:jc w:val="both"/>
              <w:bidi w:val="1"/>
            </w:pPr>
            <w:r>
              <w:rPr>
                <w:rFonts w:ascii="Noto Naskh Arabic" w:hAnsi="Noto Naskh Arabic" w:cs="Noto Naskh Arabic" w:eastAsia="Noto Naskh Arabic"/>
                <w:b/>
                <w:color w:val="B8860B"/>
                <w:sz w:val="19"/>
                <w:rtl/>
              </w:rPr>
              <w:t xml:space="preserve">7. </w:t>
            </w:r>
            <w:r>
              <w:rPr>
                <w:rFonts w:ascii="Noto Naskh Arabic" w:hAnsi="Noto Naskh Arabic" w:cs="Noto Naskh Arabic" w:eastAsia="Noto Naskh Arabic"/>
                <w:b w:val="0"/>
                <w:color w:val="1F2937"/>
                <w:sz w:val="19"/>
                <w:rtl/>
              </w:rPr>
              <w:t>جاء رجل من أقصى المدينة يسعى؛ المسافة والهامش لم يمنعاه من الحركة، بل ربما منحاه رؤية أقل خضوعًا لمركز السلطة.</w:t>
            </w:r>
          </w:p>
          <w:p>
            <w:pPr>
              <w:spacing w:after="40" w:line="269" w:lineRule="auto"/>
              <w:jc w:val="both"/>
              <w:bidi w:val="1"/>
            </w:pPr>
            <w:r>
              <w:rPr>
                <w:rFonts w:ascii="Noto Naskh Arabic" w:hAnsi="Noto Naskh Arabic" w:cs="Noto Naskh Arabic" w:eastAsia="Noto Naskh Arabic"/>
                <w:b/>
                <w:color w:val="B8860B"/>
                <w:sz w:val="19"/>
                <w:rtl/>
              </w:rPr>
              <w:t xml:space="preserve">8. </w:t>
            </w:r>
            <w:r>
              <w:rPr>
                <w:rFonts w:ascii="Noto Naskh Arabic" w:hAnsi="Noto Naskh Arabic" w:cs="Noto Naskh Arabic" w:eastAsia="Noto Naskh Arabic"/>
                <w:b w:val="0"/>
                <w:color w:val="1F2937"/>
                <w:sz w:val="19"/>
                <w:rtl/>
              </w:rPr>
              <w:t>بنى الرجل حجته على أمرين: الرسل لا يطلبون أجرًا، وهم مهتدون؛ غياب المصلحة الخاصة واتساق الطريق علامتان على صدق الدعوة.</w:t>
            </w:r>
          </w:p>
          <w:p>
            <w:pPr>
              <w:spacing w:after="40" w:line="269" w:lineRule="auto"/>
              <w:jc w:val="both"/>
              <w:bidi w:val="1"/>
            </w:pPr>
            <w:r>
              <w:rPr>
                <w:rFonts w:ascii="Noto Naskh Arabic" w:hAnsi="Noto Naskh Arabic" w:cs="Noto Naskh Arabic" w:eastAsia="Noto Naskh Arabic"/>
                <w:b/>
                <w:color w:val="B8860B"/>
                <w:sz w:val="19"/>
                <w:rtl/>
              </w:rPr>
              <w:t xml:space="preserve">9. </w:t>
            </w:r>
            <w:r>
              <w:rPr>
                <w:rFonts w:ascii="Noto Naskh Arabic" w:hAnsi="Noto Naskh Arabic" w:cs="Noto Naskh Arabic" w:eastAsia="Noto Naskh Arabic"/>
                <w:b w:val="0"/>
                <w:color w:val="1F2937"/>
                <w:sz w:val="19"/>
                <w:rtl/>
              </w:rPr>
              <w:t>انتقل إلى سؤال الفطرة: لماذا لا يعبد من فطره، وإليه يرجعون؟ ثم أبطل الشفاعة المتوهمة بعجز الآلهة عن دفع الضر أو الإنقاذ.</w:t>
            </w:r>
          </w:p>
          <w:p>
            <w:pPr>
              <w:spacing w:after="40" w:line="269" w:lineRule="auto"/>
              <w:jc w:val="both"/>
              <w:bidi w:val="1"/>
            </w:pPr>
            <w:r>
              <w:rPr>
                <w:rFonts w:ascii="Noto Naskh Arabic" w:hAnsi="Noto Naskh Arabic" w:cs="Noto Naskh Arabic" w:eastAsia="Noto Naskh Arabic"/>
                <w:b/>
                <w:color w:val="B8860B"/>
                <w:sz w:val="19"/>
                <w:rtl/>
              </w:rPr>
              <w:t xml:space="preserve">10. </w:t>
            </w:r>
            <w:r>
              <w:rPr>
                <w:rFonts w:ascii="Noto Naskh Arabic" w:hAnsi="Noto Naskh Arabic" w:cs="Noto Naskh Arabic" w:eastAsia="Noto Naskh Arabic"/>
                <w:b w:val="0"/>
                <w:color w:val="1F2937"/>
                <w:sz w:val="19"/>
                <w:rtl/>
              </w:rPr>
              <w:t>أعلن إيمانه وطلب من قومه أن يسمعوا؛ لم يكتف بالاقتناع الفردي بل حمل مسؤوليته في المجال العام.</w:t>
            </w:r>
          </w:p>
          <w:p>
            <w:pPr>
              <w:spacing w:after="40" w:line="269" w:lineRule="auto"/>
              <w:jc w:val="both"/>
              <w:bidi w:val="1"/>
            </w:pPr>
            <w:r>
              <w:rPr>
                <w:rFonts w:ascii="Noto Naskh Arabic" w:hAnsi="Noto Naskh Arabic" w:cs="Noto Naskh Arabic" w:eastAsia="Noto Naskh Arabic"/>
                <w:b/>
                <w:color w:val="B8860B"/>
                <w:sz w:val="19"/>
                <w:rtl/>
              </w:rPr>
              <w:t xml:space="preserve">11. </w:t>
            </w:r>
            <w:r>
              <w:rPr>
                <w:rFonts w:ascii="Noto Naskh Arabic" w:hAnsi="Noto Naskh Arabic" w:cs="Noto Naskh Arabic" w:eastAsia="Noto Naskh Arabic"/>
                <w:b w:val="0"/>
                <w:color w:val="1F2937"/>
                <w:sz w:val="19"/>
                <w:rtl/>
              </w:rPr>
              <w:t>قيل له ادخل الجنة، فكان أول تمنيه أن يعلم قومه بالمغفرة والتكريم؛ بقي قلبه داعيًا حتى بعد ما لقيه منهم.</w:t>
            </w:r>
          </w:p>
          <w:p>
            <w:pPr>
              <w:spacing w:after="40" w:line="269" w:lineRule="auto"/>
              <w:jc w:val="both"/>
              <w:bidi w:val="1"/>
            </w:pPr>
            <w:r>
              <w:rPr>
                <w:rFonts w:ascii="Noto Naskh Arabic" w:hAnsi="Noto Naskh Arabic" w:cs="Noto Naskh Arabic" w:eastAsia="Noto Naskh Arabic"/>
                <w:b/>
                <w:color w:val="B8860B"/>
                <w:sz w:val="19"/>
                <w:rtl/>
              </w:rPr>
              <w:t xml:space="preserve">12. </w:t>
            </w:r>
            <w:r>
              <w:rPr>
                <w:rFonts w:ascii="Noto Naskh Arabic" w:hAnsi="Noto Naskh Arabic" w:cs="Noto Naskh Arabic" w:eastAsia="Noto Naskh Arabic"/>
                <w:b w:val="0"/>
                <w:color w:val="1F2937"/>
                <w:sz w:val="19"/>
                <w:rtl/>
              </w:rPr>
              <w:t>لم يحتج إهلاك القوم إلى جند من السماء؛ كانت صيحة واحدة، فانطفأت جماعة ظنت أن القوة في يدها.</w:t>
            </w:r>
          </w:p>
        </w:tc>
      </w:tr>
    </w:tbl>
    <w:p>
      <w:pPr>
        <w:spacing w:after="20"/>
      </w:pPr>
    </w:p>
    <w:p>
      <w:pPr>
        <w:spacing w:before="160" w:after="100" w:line="240" w:lineRule="auto"/>
        <w:jc w:val="right"/>
        <w:keepNext/>
        <w:bidi w:val="1"/>
      </w:pPr>
      <w:r>
        <w:rPr>
          <w:rFonts w:ascii="Noto Kufi Arabic" w:hAnsi="Noto Kufi Arabic" w:cs="Noto Kufi Arabic" w:eastAsia="Noto Kufi Arabic"/>
          <w:b/>
          <w:color w:val="1F4E79"/>
          <w:sz w:val="28"/>
          <w:rtl/>
        </w:rPr>
        <w:t>التحليل الحركي والنفسي</w:t>
      </w:r>
    </w:p>
    <w:p>
      <w:pPr>
        <w:spacing w:after="60" w:line="288" w:lineRule="auto"/>
        <w:jc w:val="both"/>
        <w:bidi w:val="1"/>
      </w:pPr>
      <w:r>
        <w:rPr>
          <w:rFonts w:ascii="Noto Naskh Arabic" w:hAnsi="Noto Naskh Arabic" w:cs="Noto Naskh Arabic" w:eastAsia="Noto Naskh Arabic"/>
          <w:b/>
          <w:color w:val="B8860B"/>
          <w:sz w:val="21"/>
          <w:rtl/>
        </w:rPr>
        <w:t xml:space="preserve">1. </w:t>
      </w:r>
      <w:r>
        <w:rPr>
          <w:rFonts w:ascii="Noto Naskh Arabic" w:hAnsi="Noto Naskh Arabic" w:cs="Noto Naskh Arabic" w:eastAsia="Noto Naskh Arabic"/>
          <w:b w:val="0"/>
          <w:color w:val="1F2937"/>
          <w:sz w:val="21"/>
          <w:rtl/>
        </w:rPr>
        <w:t>تكرار الإرسال والتعزيز يبين أن نقص الدليل لم يكن أصل الأزمة؛ المشكلة كانت في الإطار الذي يرفض إمكان وصول الحق عبر بشر.</w:t>
      </w:r>
    </w:p>
    <w:p>
      <w:pPr>
        <w:spacing w:after="60" w:line="288" w:lineRule="auto"/>
        <w:jc w:val="both"/>
        <w:bidi w:val="1"/>
      </w:pPr>
      <w:r>
        <w:rPr>
          <w:rFonts w:ascii="Noto Naskh Arabic" w:hAnsi="Noto Naskh Arabic" w:cs="Noto Naskh Arabic" w:eastAsia="Noto Naskh Arabic"/>
          <w:b/>
          <w:color w:val="B8860B"/>
          <w:sz w:val="21"/>
          <w:rtl/>
        </w:rPr>
        <w:t xml:space="preserve">2. </w:t>
      </w:r>
      <w:r>
        <w:rPr>
          <w:rFonts w:ascii="Noto Naskh Arabic" w:hAnsi="Noto Naskh Arabic" w:cs="Noto Naskh Arabic" w:eastAsia="Noto Naskh Arabic"/>
          <w:b w:val="0"/>
          <w:color w:val="1F2937"/>
          <w:sz w:val="21"/>
          <w:rtl/>
        </w:rPr>
        <w:t>قولهم ما أنتم إلا بشر مثلنا يحول المساواة الإنسانية من جسر للفهم إلى ذريعة للرفض؛ المتكبر يريد للحق حاملًا خارقًا كي لا يخضع لنظيره.</w:t>
      </w:r>
    </w:p>
    <w:p>
      <w:pPr>
        <w:spacing w:after="60" w:line="288" w:lineRule="auto"/>
        <w:jc w:val="both"/>
        <w:bidi w:val="1"/>
      </w:pPr>
      <w:r>
        <w:rPr>
          <w:rFonts w:ascii="Noto Naskh Arabic" w:hAnsi="Noto Naskh Arabic" w:cs="Noto Naskh Arabic" w:eastAsia="Noto Naskh Arabic"/>
          <w:b/>
          <w:color w:val="B8860B"/>
          <w:sz w:val="21"/>
          <w:rtl/>
        </w:rPr>
        <w:t xml:space="preserve">3. </w:t>
      </w:r>
      <w:r>
        <w:rPr>
          <w:rFonts w:ascii="Noto Naskh Arabic" w:hAnsi="Noto Naskh Arabic" w:cs="Noto Naskh Arabic" w:eastAsia="Noto Naskh Arabic"/>
          <w:b w:val="0"/>
          <w:color w:val="1F2937"/>
          <w:sz w:val="21"/>
          <w:rtl/>
        </w:rPr>
        <w:t>التطير آلية نفسية تعفي المجتمع من مراجعة ذاته: بدل سؤال لماذا نعاني؟ يقال إن الناصح هو الذي جلب المعاناة.</w:t>
      </w:r>
    </w:p>
    <w:p>
      <w:pPr>
        <w:spacing w:after="60" w:line="288" w:lineRule="auto"/>
        <w:jc w:val="both"/>
        <w:bidi w:val="1"/>
      </w:pPr>
      <w:r>
        <w:rPr>
          <w:rFonts w:ascii="Noto Naskh Arabic" w:hAnsi="Noto Naskh Arabic" w:cs="Noto Naskh Arabic" w:eastAsia="Noto Naskh Arabic"/>
          <w:b/>
          <w:color w:val="B8860B"/>
          <w:sz w:val="21"/>
          <w:rtl/>
        </w:rPr>
        <w:t xml:space="preserve">4. </w:t>
      </w:r>
      <w:r>
        <w:rPr>
          <w:rFonts w:ascii="Noto Naskh Arabic" w:hAnsi="Noto Naskh Arabic" w:cs="Noto Naskh Arabic" w:eastAsia="Noto Naskh Arabic"/>
          <w:b w:val="0"/>
          <w:color w:val="1F2937"/>
          <w:sz w:val="21"/>
          <w:rtl/>
        </w:rPr>
        <w:t>التهديد بالرجم علامة انتقال المقاومة من المجال المعرفي إلى المجال القهري؛ حين يفشل الخطاب السائد في الإقناع يستدعي العنف.</w:t>
      </w:r>
    </w:p>
    <w:p>
      <w:pPr>
        <w:spacing w:after="60" w:line="288" w:lineRule="auto"/>
        <w:jc w:val="both"/>
        <w:bidi w:val="1"/>
      </w:pPr>
      <w:r>
        <w:rPr>
          <w:rFonts w:ascii="Noto Naskh Arabic" w:hAnsi="Noto Naskh Arabic" w:cs="Noto Naskh Arabic" w:eastAsia="Noto Naskh Arabic"/>
          <w:b/>
          <w:color w:val="B8860B"/>
          <w:sz w:val="21"/>
          <w:rtl/>
        </w:rPr>
        <w:t xml:space="preserve">5. </w:t>
      </w:r>
      <w:r>
        <w:rPr>
          <w:rFonts w:ascii="Noto Naskh Arabic" w:hAnsi="Noto Naskh Arabic" w:cs="Noto Naskh Arabic" w:eastAsia="Noto Naskh Arabic"/>
          <w:b w:val="0"/>
          <w:color w:val="1F2937"/>
          <w:sz w:val="21"/>
          <w:rtl/>
        </w:rPr>
        <w:t>المرسلون حافظوا على وضوح المهمة: البلاغ المبين. القيادة الرسالية لا تقيس صدقها بعدد الموافقين ولا تغير جوهرها لتجنب الرفض.</w:t>
      </w:r>
    </w:p>
    <w:p>
      <w:pPr>
        <w:spacing w:after="60" w:line="288" w:lineRule="auto"/>
        <w:jc w:val="both"/>
        <w:bidi w:val="1"/>
      </w:pPr>
      <w:r>
        <w:rPr>
          <w:rFonts w:ascii="Noto Naskh Arabic" w:hAnsi="Noto Naskh Arabic" w:cs="Noto Naskh Arabic" w:eastAsia="Noto Naskh Arabic"/>
          <w:b/>
          <w:color w:val="B8860B"/>
          <w:sz w:val="21"/>
          <w:rtl/>
        </w:rPr>
        <w:t xml:space="preserve">6. </w:t>
      </w:r>
      <w:r>
        <w:rPr>
          <w:rFonts w:ascii="Noto Naskh Arabic" w:hAnsi="Noto Naskh Arabic" w:cs="Noto Naskh Arabic" w:eastAsia="Noto Naskh Arabic"/>
          <w:b w:val="0"/>
          <w:color w:val="1F2937"/>
          <w:sz w:val="21"/>
          <w:rtl/>
        </w:rPr>
        <w:t>الرجل جاء يسعى، والسعي يفيد سرعة القصد وبذل الجهد؛ المعرفة التي لا تحرك صاحبها عند لحظة الخطر تبقى ناقصة الأثر.</w:t>
      </w:r>
    </w:p>
    <w:p>
      <w:pPr>
        <w:spacing w:after="60" w:line="288" w:lineRule="auto"/>
        <w:jc w:val="both"/>
        <w:bidi w:val="1"/>
      </w:pPr>
      <w:r>
        <w:rPr>
          <w:rFonts w:ascii="Noto Naskh Arabic" w:hAnsi="Noto Naskh Arabic" w:cs="Noto Naskh Arabic" w:eastAsia="Noto Naskh Arabic"/>
          <w:b/>
          <w:color w:val="B8860B"/>
          <w:sz w:val="21"/>
          <w:rtl/>
        </w:rPr>
        <w:t xml:space="preserve">7. </w:t>
      </w:r>
      <w:r>
        <w:rPr>
          <w:rFonts w:ascii="Noto Naskh Arabic" w:hAnsi="Noto Naskh Arabic" w:cs="Noto Naskh Arabic" w:eastAsia="Noto Naskh Arabic"/>
          <w:b w:val="0"/>
          <w:color w:val="1F2937"/>
          <w:sz w:val="21"/>
          <w:rtl/>
        </w:rPr>
        <w:t>قدّم الرجل معيار عدم طلب الأجر قبل التفاصيل العقدية؛ الناس تحتاج أن ترى تحرر المصلح من المصلحة التي يمكن أن تفسر دعوته.</w:t>
      </w:r>
    </w:p>
    <w:p>
      <w:pPr>
        <w:spacing w:after="60" w:line="288" w:lineRule="auto"/>
        <w:jc w:val="both"/>
        <w:bidi w:val="1"/>
      </w:pPr>
      <w:r>
        <w:rPr>
          <w:rFonts w:ascii="Noto Naskh Arabic" w:hAnsi="Noto Naskh Arabic" w:cs="Noto Naskh Arabic" w:eastAsia="Noto Naskh Arabic"/>
          <w:b/>
          <w:color w:val="B8860B"/>
          <w:sz w:val="21"/>
          <w:rtl/>
        </w:rPr>
        <w:t xml:space="preserve">8. </w:t>
      </w:r>
      <w:r>
        <w:rPr>
          <w:rFonts w:ascii="Noto Naskh Arabic" w:hAnsi="Noto Naskh Arabic" w:cs="Noto Naskh Arabic" w:eastAsia="Noto Naskh Arabic"/>
          <w:b w:val="0"/>
          <w:color w:val="1F2937"/>
          <w:sz w:val="21"/>
          <w:rtl/>
        </w:rPr>
        <w:t>حجته انتقلت من صدق الرسل إلى معنى العبادة ثم إلى عجز البدائل؛ جمع بين تقويم المصدر وبناء الرؤية ونقد الخيار المنافس.</w:t>
      </w:r>
    </w:p>
    <w:p>
      <w:pPr>
        <w:spacing w:after="60" w:line="288" w:lineRule="auto"/>
        <w:jc w:val="both"/>
        <w:bidi w:val="1"/>
      </w:pPr>
      <w:r>
        <w:rPr>
          <w:rFonts w:ascii="Noto Naskh Arabic" w:hAnsi="Noto Naskh Arabic" w:cs="Noto Naskh Arabic" w:eastAsia="Noto Naskh Arabic"/>
          <w:b/>
          <w:color w:val="B8860B"/>
          <w:sz w:val="21"/>
          <w:rtl/>
        </w:rPr>
        <w:t xml:space="preserve">9. </w:t>
      </w:r>
      <w:r>
        <w:rPr>
          <w:rFonts w:ascii="Noto Naskh Arabic" w:hAnsi="Noto Naskh Arabic" w:cs="Noto Naskh Arabic" w:eastAsia="Noto Naskh Arabic"/>
          <w:b w:val="0"/>
          <w:color w:val="1F2937"/>
          <w:sz w:val="21"/>
          <w:rtl/>
        </w:rPr>
        <w:t>قوله إني إذًا لفي ضلال مبين يحمل المسؤولية بصيغة شخصية؛ لم يختبئ خلف الجماعة ولا جعل التاريخ عذرًا لترك القرار.</w:t>
      </w:r>
    </w:p>
    <w:p>
      <w:pPr>
        <w:spacing w:after="60" w:line="288" w:lineRule="auto"/>
        <w:jc w:val="both"/>
        <w:bidi w:val="1"/>
      </w:pPr>
      <w:r>
        <w:rPr>
          <w:rFonts w:ascii="Noto Naskh Arabic" w:hAnsi="Noto Naskh Arabic" w:cs="Noto Naskh Arabic" w:eastAsia="Noto Naskh Arabic"/>
          <w:b/>
          <w:color w:val="B8860B"/>
          <w:sz w:val="21"/>
          <w:rtl/>
        </w:rPr>
        <w:t xml:space="preserve">10. </w:t>
      </w:r>
      <w:r>
        <w:rPr>
          <w:rFonts w:ascii="Noto Naskh Arabic" w:hAnsi="Noto Naskh Arabic" w:cs="Noto Naskh Arabic" w:eastAsia="Noto Naskh Arabic"/>
          <w:b w:val="0"/>
          <w:color w:val="1F2937"/>
          <w:sz w:val="21"/>
          <w:rtl/>
        </w:rPr>
        <w:t>تمنيه أن يعلم قومه يكشف أن الداعية لا يبني هويته على كراهية الرافضين؛ الألم لم يحول رسالته إلى رغبة في الانتقام.</w:t>
      </w:r>
    </w:p>
    <w:p>
      <w:pPr>
        <w:spacing w:after="60" w:line="288" w:lineRule="auto"/>
        <w:jc w:val="both"/>
        <w:bidi w:val="1"/>
      </w:pPr>
      <w:r>
        <w:rPr>
          <w:rFonts w:ascii="Noto Naskh Arabic" w:hAnsi="Noto Naskh Arabic" w:cs="Noto Naskh Arabic" w:eastAsia="Noto Naskh Arabic"/>
          <w:b/>
          <w:color w:val="B8860B"/>
          <w:sz w:val="21"/>
          <w:rtl/>
        </w:rPr>
        <w:t xml:space="preserve">11. </w:t>
      </w:r>
      <w:r>
        <w:rPr>
          <w:rFonts w:ascii="Noto Naskh Arabic" w:hAnsi="Noto Naskh Arabic" w:cs="Noto Naskh Arabic" w:eastAsia="Noto Naskh Arabic"/>
          <w:b w:val="0"/>
          <w:color w:val="1F2937"/>
          <w:sz w:val="21"/>
          <w:rtl/>
        </w:rPr>
        <w:t>الخاتمة تقلب موازين القوة: الجماعة التي هددت فردًا بالرجم صارت بصيحة واحدة خامدة، وبقي صوت الفرد في القرآن.</w:t>
      </w:r>
    </w:p>
    <w:p>
      <w:pPr>
        <w:spacing w:after="60" w:line="288" w:lineRule="auto"/>
        <w:jc w:val="both"/>
        <w:bidi w:val="1"/>
      </w:pPr>
      <w:r>
        <w:rPr>
          <w:rFonts w:ascii="Noto Naskh Arabic" w:hAnsi="Noto Naskh Arabic" w:cs="Noto Naskh Arabic" w:eastAsia="Noto Naskh Arabic"/>
          <w:b/>
          <w:color w:val="B8860B"/>
          <w:sz w:val="21"/>
          <w:rtl/>
        </w:rPr>
        <w:t xml:space="preserve">12. </w:t>
      </w:r>
      <w:r>
        <w:rPr>
          <w:rFonts w:ascii="Noto Naskh Arabic" w:hAnsi="Noto Naskh Arabic" w:cs="Noto Naskh Arabic" w:eastAsia="Noto Naskh Arabic"/>
          <w:b w:val="0"/>
          <w:color w:val="1F2937"/>
          <w:sz w:val="21"/>
          <w:rtl/>
        </w:rPr>
        <w:t>في إدارة التغيير، القصة تميز بين المقاومة الطبيعية التي تُحاور، والمقاومة التي تنتج تشويهًا وتهديدًا وتحتاج حماية للمصلحين وحدودًا واضحة.</w:t>
      </w:r>
    </w:p>
    <w:p>
      <w:pPr>
        <w:spacing w:before="160" w:after="100" w:line="240" w:lineRule="auto"/>
        <w:jc w:val="right"/>
        <w:keepNext/>
        <w:bidi w:val="1"/>
      </w:pPr>
      <w:r>
        <w:rPr>
          <w:rFonts w:ascii="Noto Kufi Arabic" w:hAnsi="Noto Kufi Arabic" w:cs="Noto Kufi Arabic" w:eastAsia="Noto Kufi Arabic"/>
          <w:b/>
          <w:color w:val="1F4E79"/>
          <w:sz w:val="28"/>
          <w:rtl/>
        </w:rPr>
        <w:t>الخلاصة</w:t>
      </w:r>
    </w:p>
    <w:tbl>
      <w:tblPr>
        <w:tblW w:type="auto" w:w="0"/>
        <w:jc w:val="center"/>
        <w:tblLook w:firstColumn="1" w:firstRow="1" w:lastColumn="0" w:lastRow="0" w:noHBand="0" w:noVBand="1" w:val="04A0"/>
        <w:bidiVisual w:val="1"/>
        <w:tblBorders>
          <w:top w:val="single" w:sz="5" w:color="B9CFE3"/>
          <w:left w:val="single" w:sz="5" w:color="B9CFE3"/>
          <w:bottom w:val="single" w:sz="5" w:color="B9CFE3"/>
          <w:right w:val="single" w:sz="5" w:color="B9CFE3"/>
          <w:insideH w:val="single" w:sz="5" w:color="B9CFE3"/>
          <w:insideV w:val="single" w:sz="5" w:color="B9CFE3"/>
        </w:tblBorders>
      </w:tblPr>
      <w:tblGrid>
        <w:gridCol w:w="10267"/>
      </w:tblGrid>
      <w:tr>
        <w:tc>
          <w:tcPr>
            <w:tcW w:type="dxa" w:w="10267"/>
            <w:shd w:fill="EEF4F9"/>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22"/>
                <w:rtl/>
              </w:rPr>
              <w:t>ضرب القرآن مثلًا بقرية جاءها المرسلون، فرفض أهلها الرسالة لأن حامليها بشر، ثم نقلوا الأزمة إلى التطير والتهديد. من أقصى المدينة جاء رجل يسعى، فرأى ما غاب عن المركز: دعاة لا يطلبون أجرًا، ورب فطر الإنسان وإليه المصير، وآلهة لا تملك إنقاذًا. أعلن إيمانه وتحمل أثره، ثم ظل يتمنى لقومه أن يعرفوا المغفرة التي وجدها. انتهت قوة التهديد بصيحة واحدة، وبقيت حجة الفرد. القصة تعلم أن مقاومة التغيير تصبح مدمرة عندما تنزع عن الحق حقه في أن يُسمع وتحول الناصح إلى عدو.</w:t>
            </w:r>
          </w:p>
        </w:tc>
      </w:tr>
    </w:tbl>
    <w:p>
      <w:pPr>
        <w:spacing w:before="160" w:after="100" w:line="240" w:lineRule="auto"/>
        <w:jc w:val="right"/>
        <w:keepNext/>
        <w:bidi w:val="1"/>
      </w:pPr>
      <w:r>
        <w:rPr>
          <w:rFonts w:ascii="Noto Kufi Arabic" w:hAnsi="Noto Kufi Arabic" w:cs="Noto Kufi Arabic" w:eastAsia="Noto Kufi Arabic"/>
          <w:b/>
          <w:color w:val="1F4E79"/>
          <w:sz w:val="28"/>
          <w:rtl/>
        </w:rPr>
        <w:t>المرحلة | النص | التطبيق على الإنسان</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3422"/>
        <w:gridCol w:w="3422"/>
        <w:gridCol w:w="3422"/>
      </w:tblGrid>
      <w:tr>
        <w:trPr>
          <w:tblHeader w:val="true"/>
        </w:trPr>
        <w:tc>
          <w:tcPr>
            <w:tcW w:type="dxa" w:w="1944"/>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المرحلة</w:t>
            </w:r>
          </w:p>
        </w:tc>
        <w:tc>
          <w:tcPr>
            <w:tcW w:type="dxa" w:w="2952"/>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النص أو المعنى المحوري</w:t>
            </w:r>
          </w:p>
        </w:tc>
        <w:tc>
          <w:tcPr>
            <w:tcW w:type="dxa" w:w="5472"/>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التطبيق على الإنسان</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المبادرة</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أرسلنا إليهم اثنين</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ابدأ الإصلاح برسالة واضحة وشهود متساندين.</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التعزيز</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فعززنا بثالث</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زد القدرة عند الحاجة دون تغيير جوهر الرسالة.</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اختزال المصدر</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ما أنتم إلا بشر مثلنا</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ناقش الفكرة ولا تجعل بشرية حاملها ذريعة لردها.</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التشويه</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إنا تطيرنا بكم</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تحمل الناصح مسؤولية نتائج صنعها المجتمع.</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التهديد</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لنرجمنكم</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ضع حدودًا حين تنتقل المقاومة من الحوار إلى العنف.</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المسؤولية</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طائركم معكم</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أعد السبب إلى الاختيارات بدل إسقاطه على المصلحين.</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المبادرة الفردية</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جاء من أقصى المدينة رجل يسعى</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تنتظر موقعًا رسميًا كي تنصر ما تبين لك.</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فحص المصلحة</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يسألكم أجرًا</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اختبر استقلال المصلح عن المنفعة الشخصية.</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قرار الإيمان</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إني آمنت بربكم</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حوّل القناعة إلى موقف مسؤول واضح.</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صفاء المقصد</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يا ليت قومي يعلمون</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تجعل أذى الناس يلغي الرحمة بهم.</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انقلاب القوة</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فإذا هم خامدون</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تغتر بسيطرة مؤقتة تقف ضد الحق والعدل.</w:t>
            </w:r>
          </w:p>
        </w:tc>
      </w:tr>
    </w:tbl>
    <w:p>
      <w:pPr>
        <w:spacing w:before="160" w:after="100" w:line="240" w:lineRule="auto"/>
        <w:jc w:val="right"/>
        <w:keepNext/>
        <w:bidi w:val="1"/>
      </w:pPr>
      <w:r>
        <w:rPr>
          <w:rFonts w:ascii="Noto Kufi Arabic" w:hAnsi="Noto Kufi Arabic" w:cs="Noto Kufi Arabic" w:eastAsia="Noto Kufi Arabic"/>
          <w:b/>
          <w:color w:val="1F4E79"/>
          <w:sz w:val="28"/>
          <w:rtl/>
        </w:rPr>
        <w:t>التطبيقات العملية</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5133"/>
        <w:gridCol w:w="5133"/>
      </w:tblGrid>
      <w:tr>
        <w:trPr>
          <w:tblHeader w:val="true"/>
        </w:trPr>
        <w:tc>
          <w:tcPr>
            <w:tcW w:type="dxa" w:w="2232"/>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المجال</w:t>
            </w:r>
          </w:p>
        </w:tc>
        <w:tc>
          <w:tcPr>
            <w:tcW w:type="dxa" w:w="8136"/>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التطبيق</w:t>
            </w:r>
          </w:p>
        </w:tc>
      </w:tr>
      <w:tr>
        <w:trPr/>
        <w:tc>
          <w:tcPr>
            <w:tcW w:type="dxa" w:w="223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الحياة الشخصية</w:t>
            </w:r>
          </w:p>
        </w:tc>
        <w:tc>
          <w:tcPr>
            <w:tcW w:type="dxa" w:w="8136"/>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ترفض النصيحة بسبب سن صاحبها أو موقعه أو كونه يشبهك؛ افحص مضمونها ومصلحته.</w:t>
            </w:r>
          </w:p>
        </w:tc>
      </w:tr>
      <w:tr>
        <w:trPr/>
        <w:tc>
          <w:tcPr>
            <w:tcW w:type="dxa" w:w="223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الأسرة</w:t>
            </w:r>
          </w:p>
        </w:tc>
        <w:tc>
          <w:tcPr>
            <w:tcW w:type="dxa" w:w="8136"/>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امنح الفرد الهادئ أو الأصغر مساحة للكلام؛ قد يأتي صوت التوازن من أقصى دائرة النفوذ.</w:t>
            </w:r>
          </w:p>
        </w:tc>
      </w:tr>
      <w:tr>
        <w:trPr/>
        <w:tc>
          <w:tcPr>
            <w:tcW w:type="dxa" w:w="223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القيادة</w:t>
            </w:r>
          </w:p>
        </w:tc>
        <w:tc>
          <w:tcPr>
            <w:tcW w:type="dxa" w:w="8136"/>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احم قنوات الاعتراض الأخلاقي قبل أن تتحول ثقافة المؤسسة إلى تطير بالمصلحين.</w:t>
            </w:r>
          </w:p>
        </w:tc>
      </w:tr>
      <w:tr>
        <w:trPr/>
        <w:tc>
          <w:tcPr>
            <w:tcW w:type="dxa" w:w="223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الإدارة</w:t>
            </w:r>
          </w:p>
        </w:tc>
        <w:tc>
          <w:tcPr>
            <w:tcW w:type="dxa" w:w="8136"/>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ميّز بين اعتراض قابل للحوار وسلوك يهدد الأفراد أو يعطل التغيير بالعنف والتشويه.</w:t>
            </w:r>
          </w:p>
        </w:tc>
      </w:tr>
      <w:tr>
        <w:trPr/>
        <w:tc>
          <w:tcPr>
            <w:tcW w:type="dxa" w:w="223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أخلاقيات العمل</w:t>
            </w:r>
          </w:p>
        </w:tc>
        <w:tc>
          <w:tcPr>
            <w:tcW w:type="dxa" w:w="8136"/>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أعلن تضارب المصالح ومصادر التمويل ليبقى الإصلاح متحررًا من شبهة الأجر الخفي.</w:t>
            </w:r>
          </w:p>
        </w:tc>
      </w:tr>
      <w:tr>
        <w:trPr/>
        <w:tc>
          <w:tcPr>
            <w:tcW w:type="dxa" w:w="223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المجتمع</w:t>
            </w:r>
          </w:p>
        </w:tc>
        <w:tc>
          <w:tcPr>
            <w:tcW w:type="dxa" w:w="8136"/>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تحول الأزمات إلى بحث عن شماعة بشرية؛ ابنِ تشخيصًا يعتمد الأسباب والقرارات.</w:t>
            </w:r>
          </w:p>
        </w:tc>
      </w:tr>
      <w:tr>
        <w:trPr/>
        <w:tc>
          <w:tcPr>
            <w:tcW w:type="dxa" w:w="223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الدعوة</w:t>
            </w:r>
          </w:p>
        </w:tc>
        <w:tc>
          <w:tcPr>
            <w:tcW w:type="dxa" w:w="8136"/>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اجمع وضوح العقيدة مع الرحمة بالرافضين وعدم طلب المكسب الشخصي.</w:t>
            </w:r>
          </w:p>
        </w:tc>
      </w:tr>
      <w:tr>
        <w:trPr/>
        <w:tc>
          <w:tcPr>
            <w:tcW w:type="dxa" w:w="223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التعليم</w:t>
            </w:r>
          </w:p>
        </w:tc>
        <w:tc>
          <w:tcPr>
            <w:tcW w:type="dxa" w:w="8136"/>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درّس القصة كنموذج للانحياز ضد المصدر، والتطير، وشجاعة الأقلية، وأثر الحجة المختصرة.</w:t>
            </w:r>
          </w:p>
        </w:tc>
      </w:tr>
    </w:tbl>
    <w:p>
      <w:pPr>
        <w:spacing w:before="160" w:after="100" w:line="240" w:lineRule="auto"/>
        <w:jc w:val="right"/>
        <w:keepNext/>
        <w:bidi w:val="1"/>
      </w:pPr>
      <w:r>
        <w:rPr>
          <w:rFonts w:ascii="Noto Kufi Arabic" w:hAnsi="Noto Kufi Arabic" w:cs="Noto Kufi Arabic" w:eastAsia="Noto Kufi Arabic"/>
          <w:b/>
          <w:color w:val="1F4E79"/>
          <w:sz w:val="28"/>
          <w:rtl/>
        </w:rPr>
        <w:t>ضوابط الفهم والاستنباط</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لم يسم القرآن القرية ولا المرسلين ولا الرجل، وقد اختلفت الروايات؛ إغفال الأسماء جزء من توجيه النظر إلى العبرة لا إلى التفاصيل.</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لفظ المرسلين لا يُستكمل بتحديد تاريخي قاطع من خارج النص في هذا العمل؛ الثابت أنهم جاؤوا برسالة حق إلى القرية.</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قيل ادخل الجنة يدل على انتقال الرجل إلى الجزاء، لكن النص لا يصف كيفية قتله، فلا تُجعل رواية معينة جزءًا من النص القرآني.</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القصة لا تعني أن كل أقلية محقة أو أن كل تغيير مطلوب؛ المعيار هو الهداية وصدق الرسالة وعدم طلب المصلحة الخاصة.</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التطبيق في إدارة التغيير استنباط معاصر، ويظل المحور الأصلي دعوة التوحيد ومسؤولية الاستجابة للرسل.</w:t>
      </w:r>
    </w:p>
    <w:p>
      <w:pPr>
        <w:spacing w:before="160" w:after="100" w:line="240" w:lineRule="auto"/>
        <w:jc w:val="right"/>
        <w:keepNext/>
        <w:bidi w:val="1"/>
      </w:pPr>
      <w:r>
        <w:rPr>
          <w:rFonts w:ascii="Noto Kufi Arabic" w:hAnsi="Noto Kufi Arabic" w:cs="Noto Kufi Arabic" w:eastAsia="Noto Kufi Arabic"/>
          <w:b/>
          <w:color w:val="1F4E79"/>
          <w:sz w:val="28"/>
          <w:rtl/>
        </w:rPr>
        <w:t>تقرير ضبط الجودة</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2053"/>
        <w:gridCol w:w="2053"/>
        <w:gridCol w:w="2053"/>
        <w:gridCol w:w="2053"/>
        <w:gridCol w:w="2053"/>
      </w:tblGrid>
      <w:tr>
        <w:trPr>
          <w:tblHeader w:val="true"/>
        </w:trPr>
        <w:tc>
          <w:tcPr>
            <w:tcW w:type="dxa" w:w="1512"/>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المراجعة</w:t>
            </w:r>
          </w:p>
        </w:tc>
        <w:tc>
          <w:tcPr>
            <w:tcW w:type="dxa" w:w="1800"/>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المعيار</w:t>
            </w:r>
          </w:p>
        </w:tc>
        <w:tc>
          <w:tcPr>
            <w:tcW w:type="dxa" w:w="1080"/>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الإنجاز</w:t>
            </w:r>
          </w:p>
        </w:tc>
        <w:tc>
          <w:tcPr>
            <w:tcW w:type="dxa" w:w="4104"/>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لماذا لم يصل إلى 100%؟</w:t>
            </w:r>
          </w:p>
        </w:tc>
        <w:tc>
          <w:tcPr>
            <w:tcW w:type="dxa" w:w="2088"/>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الإجراء المتبقي</w:t>
            </w:r>
          </w:p>
        </w:tc>
      </w:tr>
      <w:tr>
        <w:trPr/>
        <w:tc>
          <w:tcPr>
            <w:tcW w:type="dxa" w:w="151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1</w:t>
            </w:r>
          </w:p>
        </w:tc>
        <w:tc>
          <w:tcPr>
            <w:tcW w:type="dxa" w:w="180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الدقة القرآنية</w:t>
            </w:r>
          </w:p>
        </w:tc>
        <w:tc>
          <w:tcPr>
            <w:tcW w:type="dxa" w:w="1080"/>
            <w:shd w:fill="F7FAFD"/>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99.5%</w:t>
            </w:r>
          </w:p>
        </w:tc>
        <w:tc>
          <w:tcPr>
            <w:tcW w:type="dxa" w:w="410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تمت مطابقة يس 13-29 آليًا، ويبقى تدقيق الرسم والوقف البشري.</w:t>
            </w:r>
          </w:p>
        </w:tc>
        <w:tc>
          <w:tcPr>
            <w:tcW w:type="dxa" w:w="208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مصحفية نهائية.</w:t>
            </w:r>
          </w:p>
        </w:tc>
      </w:tr>
      <w:tr>
        <w:trPr/>
        <w:tc>
          <w:tcPr>
            <w:tcW w:type="dxa" w:w="151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2</w:t>
            </w:r>
          </w:p>
        </w:tc>
        <w:tc>
          <w:tcPr>
            <w:tcW w:type="dxa" w:w="180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اتساق التفسير</w:t>
            </w:r>
          </w:p>
        </w:tc>
        <w:tc>
          <w:tcPr>
            <w:tcW w:type="dxa" w:w="1080"/>
            <w:shd w:fill="FFFFFF"/>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98.2%</w:t>
            </w:r>
          </w:p>
        </w:tc>
        <w:tc>
          <w:tcPr>
            <w:tcW w:type="dxa" w:w="410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توجد روايات متعددة في هوية القرية والمرسلين، فالتزم الملف بما يثبته النص وترك التفاصيل المختلف فيها.</w:t>
            </w:r>
          </w:p>
        </w:tc>
        <w:tc>
          <w:tcPr>
            <w:tcW w:type="dxa" w:w="2088"/>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علمية للضوابط.</w:t>
            </w:r>
          </w:p>
        </w:tc>
      </w:tr>
      <w:tr>
        <w:trPr/>
        <w:tc>
          <w:tcPr>
            <w:tcW w:type="dxa" w:w="151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3</w:t>
            </w:r>
          </w:p>
        </w:tc>
        <w:tc>
          <w:tcPr>
            <w:tcW w:type="dxa" w:w="180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تدفق القصة</w:t>
            </w:r>
          </w:p>
        </w:tc>
        <w:tc>
          <w:tcPr>
            <w:tcW w:type="dxa" w:w="1080"/>
            <w:shd w:fill="F7FAFD"/>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99.4%</w:t>
            </w:r>
          </w:p>
        </w:tc>
        <w:tc>
          <w:tcPr>
            <w:tcW w:type="dxa" w:w="410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الحركة القرآنية مكتملة، وقد يستدعي الكتاب الجامع اختصار بعض التطبيقات المتقاربة.</w:t>
            </w:r>
          </w:p>
        </w:tc>
        <w:tc>
          <w:tcPr>
            <w:tcW w:type="dxa" w:w="208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تدفق المجموعة.</w:t>
            </w:r>
          </w:p>
        </w:tc>
      </w:tr>
      <w:tr>
        <w:trPr/>
        <w:tc>
          <w:tcPr>
            <w:tcW w:type="dxa" w:w="151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4</w:t>
            </w:r>
          </w:p>
        </w:tc>
        <w:tc>
          <w:tcPr>
            <w:tcW w:type="dxa" w:w="180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منطق قصة إبليس</w:t>
            </w:r>
          </w:p>
        </w:tc>
        <w:tc>
          <w:tcPr>
            <w:tcW w:type="dxa" w:w="1080"/>
            <w:shd w:fill="FFFFFF"/>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99.3%</w:t>
            </w:r>
          </w:p>
        </w:tc>
        <w:tc>
          <w:tcPr>
            <w:tcW w:type="dxa" w:w="410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حُفظ الانتقال من رفض الفكرة إلى التهديد والعاقبة، مع إدخال خط موازٍ لتحول الرجل المؤمن.</w:t>
            </w:r>
          </w:p>
        </w:tc>
        <w:tc>
          <w:tcPr>
            <w:tcW w:type="dxa" w:w="2088"/>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القالب الثنائي.</w:t>
            </w:r>
          </w:p>
        </w:tc>
      </w:tr>
      <w:tr>
        <w:trPr/>
        <w:tc>
          <w:tcPr>
            <w:tcW w:type="dxa" w:w="151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5</w:t>
            </w:r>
          </w:p>
        </w:tc>
        <w:tc>
          <w:tcPr>
            <w:tcW w:type="dxa" w:w="180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الصقل اللغوي</w:t>
            </w:r>
          </w:p>
        </w:tc>
        <w:tc>
          <w:tcPr>
            <w:tcW w:type="dxa" w:w="1080"/>
            <w:shd w:fill="F7FAFD"/>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99.1%</w:t>
            </w:r>
          </w:p>
        </w:tc>
        <w:tc>
          <w:tcPr>
            <w:tcW w:type="dxa" w:w="410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صُقلت اللغة في دورتين، ويبقى توحيد بعض مصطلحات إدارة التغيير مع بقية الملفات.</w:t>
            </w:r>
          </w:p>
        </w:tc>
        <w:tc>
          <w:tcPr>
            <w:tcW w:type="dxa" w:w="208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تدقيق لغوي ومصطلحي.</w:t>
            </w:r>
          </w:p>
        </w:tc>
      </w:tr>
      <w:tr>
        <w:trPr/>
        <w:tc>
          <w:tcPr>
            <w:tcW w:type="dxa" w:w="151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6</w:t>
            </w:r>
          </w:p>
        </w:tc>
        <w:tc>
          <w:tcPr>
            <w:tcW w:type="dxa" w:w="180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اتساق إطار المشروع</w:t>
            </w:r>
          </w:p>
        </w:tc>
        <w:tc>
          <w:tcPr>
            <w:tcW w:type="dxa" w:w="1080"/>
            <w:shd w:fill="FFFFFF"/>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99.3%</w:t>
            </w:r>
          </w:p>
        </w:tc>
        <w:tc>
          <w:tcPr>
            <w:tcW w:type="dxa" w:w="410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يتطابق مع المرونة وإدارة التغيير، وتبقى مراجعة مقارنة مع بقية قصص القيادة.</w:t>
            </w:r>
          </w:p>
        </w:tc>
        <w:tc>
          <w:tcPr>
            <w:tcW w:type="dxa" w:w="2088"/>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موضوعية نهائية.</w:t>
            </w:r>
          </w:p>
        </w:tc>
      </w:tr>
      <w:tr>
        <w:trPr/>
        <w:tc>
          <w:tcPr>
            <w:tcW w:type="dxa" w:w="151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النتيجة</w:t>
            </w:r>
          </w:p>
        </w:tc>
        <w:tc>
          <w:tcPr>
            <w:tcW w:type="dxa" w:w="180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الجاهزية الإجمالية</w:t>
            </w:r>
          </w:p>
        </w:tc>
        <w:tc>
          <w:tcPr>
            <w:tcW w:type="dxa" w:w="1080"/>
            <w:shd w:fill="F7FAFD"/>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99.1%</w:t>
            </w:r>
          </w:p>
        </w:tc>
        <w:tc>
          <w:tcPr>
            <w:tcW w:type="dxa" w:w="410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الاختلافات التاريخية خارج النص تفرض استمرار التحفظ والمراجعة المتخصصة.</w:t>
            </w:r>
          </w:p>
        </w:tc>
        <w:tc>
          <w:tcPr>
            <w:tcW w:type="dxa" w:w="208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اعتماد علمي وتحريري.</w:t>
            </w:r>
          </w:p>
        </w:tc>
      </w:tr>
    </w:tbl>
    <w:p>
      <w:pPr>
        <w:spacing w:before="160" w:after="100" w:line="240" w:lineRule="auto"/>
        <w:jc w:val="right"/>
        <w:keepNext/>
        <w:bidi w:val="1"/>
      </w:pPr>
      <w:r>
        <w:rPr>
          <w:rFonts w:ascii="Noto Kufi Arabic" w:hAnsi="Noto Kufi Arabic" w:cs="Noto Kufi Arabic" w:eastAsia="Noto Kufi Arabic"/>
          <w:b/>
          <w:color w:val="1F4E79"/>
          <w:sz w:val="28"/>
          <w:rtl/>
        </w:rPr>
        <w:t>سجل التحسين التكراري</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3422"/>
        <w:gridCol w:w="3422"/>
        <w:gridCol w:w="3422"/>
      </w:tblGrid>
      <w:tr>
        <w:trPr>
          <w:tblHeader w:val="true"/>
        </w:trPr>
        <w:tc>
          <w:tcPr>
            <w:tcW w:type="dxa" w:w="1584"/>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الدورة</w:t>
            </w:r>
          </w:p>
        </w:tc>
        <w:tc>
          <w:tcPr>
            <w:tcW w:type="dxa" w:w="6408"/>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ما تم فحصه وتحسينه</w:t>
            </w:r>
          </w:p>
        </w:tc>
        <w:tc>
          <w:tcPr>
            <w:tcW w:type="dxa" w:w="2520"/>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الأثر</w:t>
            </w:r>
          </w:p>
        </w:tc>
      </w:tr>
      <w:tr>
        <w:trPr/>
        <w:tc>
          <w:tcPr>
            <w:tcW w:type="dxa" w:w="158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7"/>
                <w:rtl/>
              </w:rPr>
              <w:t>الدورة الأولى</w:t>
            </w:r>
          </w:p>
        </w:tc>
        <w:tc>
          <w:tcPr>
            <w:tcW w:type="dxa" w:w="640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7"/>
                <w:rtl/>
              </w:rPr>
              <w:t>مطابقة عنوان القصة ونطاقات الآيات وترتيب المقاطع، ثم إعادة بناء الروابط بين المؤثر والتفكير والقرار والسلوك والعاقبة.</w:t>
            </w:r>
          </w:p>
        </w:tc>
        <w:tc>
          <w:tcPr>
            <w:tcW w:type="dxa" w:w="252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7"/>
                <w:rtl/>
              </w:rPr>
              <w:t>رفع الدقة النصية وتماسك الحركة.</w:t>
            </w:r>
          </w:p>
        </w:tc>
      </w:tr>
      <w:tr>
        <w:trPr/>
        <w:tc>
          <w:tcPr>
            <w:tcW w:type="dxa" w:w="158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7"/>
                <w:rtl/>
              </w:rPr>
              <w:t>الدورة الثانية</w:t>
            </w:r>
          </w:p>
        </w:tc>
        <w:tc>
          <w:tcPr>
            <w:tcW w:type="dxa" w:w="6408"/>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7"/>
                <w:rtl/>
              </w:rPr>
              <w:t>مقارنة الوثيقة بقالب قصة إبليس وبملفات الدفعات السابقة، وصقل اللغة والجداول والتطبيقات والضوابط والتصميم.</w:t>
            </w:r>
          </w:p>
        </w:tc>
        <w:tc>
          <w:tcPr>
            <w:tcW w:type="dxa" w:w="252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7"/>
                <w:rtl/>
              </w:rPr>
              <w:t>رفع الاتساق والوضوح والجاهزية للتسليم.</w:t>
            </w:r>
          </w:p>
        </w:tc>
      </w:tr>
    </w:tbl>
    <w:p>
      <w:pPr>
        <w:spacing w:before="160" w:after="100" w:line="240" w:lineRule="auto"/>
        <w:jc w:val="right"/>
        <w:keepNext/>
        <w:bidi w:val="1"/>
      </w:pPr>
      <w:r>
        <w:rPr>
          <w:rFonts w:ascii="Noto Kufi Arabic" w:hAnsi="Noto Kufi Arabic" w:cs="Noto Kufi Arabic" w:eastAsia="Noto Kufi Arabic"/>
          <w:b/>
          <w:color w:val="1F4E79"/>
          <w:sz w:val="28"/>
          <w:rtl/>
        </w:rPr>
        <w:t>المراجع والمنهج</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القرآن الكريم - أصل النص، مع إثبات المقاطع وفق ترتيب ملف Excel ومراجعة صحة نطاق السور والآيات.</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سيد قطب، في ظلال القرآن - المرجع التفسيري الرئيس لقراءة وحدة السياق والحركة الإيمانية والنفسية والاجتماعية.</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الطبري، ابن كثير، القرطبي، السعدي - مراجع مساندة لضبط المعنى المشهور ومواضع الاحتمال عند الحاجة.</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التحليل النفسي والقيادي والإداري والتطبيقات المعاصرة صياغة أصلية ضمن إطار المشروع، وليست نقلًا حرفيًا من التفسير.</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المرجع الإلكتروني المستخدم للمراجعة: https://www.islamweb.net/ar/library/content/210/953/</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تم تجنب الإسرائيليات والتفاصيل التاريخية غير اللازمة، وحفظ الفرق بين دلالة النص والاستنباط التطبيقي.</w:t>
      </w:r>
    </w:p>
    <w:sectPr w:rsidR="00FC693F" w:rsidRPr="0006063C" w:rsidSect="00034616">
      <w:headerReference w:type="default" r:id="rId9"/>
      <w:footerReference w:type="default" r:id="rId10"/>
      <w:pgSz w:w="11909" w:h="16834"/>
      <w:pgMar w:top="763" w:right="821" w:bottom="763" w:left="82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
      <w:rPr>
        <w:rFonts w:ascii="Noto Naskh Arabic" w:hAnsi="Noto Naskh Arabic" w:cs="Noto Naskh Arabic" w:eastAsia="Noto Naskh Arabic"/>
        <w:b w:val="0"/>
        <w:color w:val="6B7280"/>
        <w:sz w:val="17"/>
        <w:rtl/>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
      <w:rPr>
        <w:rFonts w:ascii="Noto Kufi Arabic" w:hAnsi="Noto Kufi Arabic" w:cs="Noto Kufi Arabic" w:eastAsia="Noto Kufi Arabic"/>
        <w:b/>
        <w:color w:val="1F4E79"/>
        <w:sz w:val="17"/>
        <w:rtl/>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