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jc w:val="center"/>
        <w:keepNext w:val="0"/>
        <w:bidi w:val="1"/>
      </w:pPr>
      <w:r>
        <w:rPr>
          <w:rFonts w:ascii="Noto Kufi Arabic" w:hAnsi="Noto Kufi Arabic" w:cs="Noto Kufi Arabic" w:eastAsia="Noto Kufi Arabic"/>
          <w:b/>
          <w:color w:val="B8860B"/>
          <w:sz w:val="22"/>
          <w:rtl/>
        </w:rPr>
        <w:t>037</w:t>
      </w:r>
    </w:p>
    <w:p>
      <w:pPr>
        <w:spacing w:before="0" w:after="20" w:line="240" w:lineRule="auto"/>
        <w:jc w:val="center"/>
        <w:keepNext w:val="0"/>
        <w:bidi w:val="1"/>
      </w:pPr>
      <w:r>
        <w:rPr>
          <w:rFonts w:ascii="Noto Kufi Arabic" w:hAnsi="Noto Kufi Arabic" w:cs="Noto Kufi Arabic" w:eastAsia="Noto Kufi Arabic"/>
          <w:b/>
          <w:color w:val="1F4E79"/>
          <w:sz w:val="48"/>
          <w:rtl/>
        </w:rPr>
        <w:t>بداية الخلق</w:t>
      </w:r>
    </w:p>
    <w:p>
      <w:pPr>
        <w:spacing w:before="0" w:after="60" w:line="252" w:lineRule="auto"/>
        <w:jc w:val="center"/>
        <w:keepNext w:val="0"/>
        <w:bidi w:val="1"/>
      </w:pPr>
      <w:r>
        <w:rPr>
          <w:rFonts w:ascii="Noto Naskh Arabic" w:hAnsi="Noto Naskh Arabic" w:cs="Noto Naskh Arabic" w:eastAsia="Noto Naskh Arabic"/>
          <w:b/>
          <w:color w:val="B8860B"/>
          <w:sz w:val="28"/>
          <w:rtl/>
        </w:rPr>
        <w:t>من مادة أرضية إلى كائن مسؤول: القيمة في التسوية والنفخة والأمانة لا في أصل المادة وحده</w:t>
      </w:r>
    </w:p>
    <w:p>
      <w:pPr>
        <w:spacing w:before="0" w:after="80" w:line="276" w:lineRule="auto"/>
        <w:jc w:val="center"/>
        <w:keepNext w:val="0"/>
        <w:bidi w:val="1"/>
      </w:pPr>
      <w:r>
        <w:rPr>
          <w:rFonts w:ascii="Noto Naskh Arabic" w:hAnsi="Noto Naskh Arabic" w:cs="Noto Naskh Arabic" w:eastAsia="Noto Naskh Arabic"/>
          <w:b w:val="0"/>
          <w:color w:val="1F2937"/>
          <w:sz w:val="21"/>
          <w:rtl/>
        </w:rPr>
        <w:t>القيمة المحورية: الوعي بأصل الإنسان وكرامته وغايته ومسؤوليته  |  التصنيف: أخلاق</w:t>
      </w:r>
    </w:p>
    <w:tbl>
      <w:tblPr>
        <w:tblW w:type="auto" w:w="0"/>
        <w:jc w:val="center"/>
        <w:tblLayout w:type="fixed"/>
        <w:tblLook w:firstColumn="1" w:firstRow="1" w:lastColumn="0" w:lastRow="0" w:noHBand="0" w:noVBand="1" w:val="04A0"/>
        <w:bidiVisual w:val="1"/>
        <w:tblBorders>
          <w:top w:val="single" w:sz="5" w:color="E6D5A5"/>
          <w:left w:val="single" w:sz="5" w:color="E6D5A5"/>
          <w:bottom w:val="single" w:sz="5" w:color="E6D5A5"/>
          <w:right w:val="single" w:sz="5" w:color="E6D5A5"/>
          <w:insideH w:val="single" w:sz="5" w:color="E6D5A5"/>
          <w:insideV w:val="single" w:sz="5" w:color="E6D5A5"/>
        </w:tblBorders>
      </w:tblPr>
      <w:tblGrid>
        <w:gridCol w:w="10368"/>
      </w:tblGrid>
      <w:tr>
        <w:tc>
          <w:tcPr>
            <w:tcW w:type="dxa" w:w="10267"/>
            <w:shd w:fill="FFF7E3"/>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9"/>
                <w:rtl/>
              </w:rPr>
              <w:t>منهج العمل: القرآن الكريم أصل النص، وفي ظلال القرآن المرجع التفسيري الرئيس، مع مراجعة المعنى العام في التفاسير المعتبرة عند الحاجة. الصياغة والتحليل والتطبيقات أصلية ومبنية على قالب قصة إبليس ومنطقها الحركي.</w:t>
            </w:r>
          </w:p>
        </w:tc>
      </w:tr>
    </w:tbl>
    <w:p>
      <w:pPr>
        <w:spacing w:before="0" w:after="20" w:line="276" w:lineRule="auto"/>
        <w:jc w:val="center"/>
        <w:keepNext w:val="0"/>
        <w:bidi w:val="1"/>
      </w:pPr>
      <w:r>
        <w:rPr>
          <w:rFonts w:ascii="Noto Naskh Arabic" w:hAnsi="Noto Naskh Arabic" w:cs="Noto Naskh Arabic" w:eastAsia="Noto Naskh Arabic"/>
          <w:b w:val="0"/>
          <w:color w:val="6B7280"/>
          <w:sz w:val="18"/>
          <w:rtl/>
        </w:rPr>
        <w:t>مواضع القصة: الحجر: 26-29 | السجدة: 7-9 | ص: 71-72</w:t>
      </w:r>
    </w:p>
    <w:p/>
    <w:p>
      <w:pPr>
        <w:spacing w:before="0" w:after="60" w:line="276" w:lineRule="auto"/>
        <w:jc w:val="center"/>
        <w:keepNext w:val="0"/>
        <w:bidi w:val="1"/>
      </w:pPr>
      <w:r>
        <w:rPr>
          <w:rFonts w:ascii="Noto Naskh Arabic" w:hAnsi="Noto Naskh Arabic" w:cs="Noto Naskh Arabic" w:eastAsia="Noto Naskh Arabic"/>
          <w:b w:val="0"/>
          <w:color w:val="6B7280"/>
          <w:sz w:val="17"/>
          <w:rtl/>
        </w:rPr>
        <w:t>ترتيب القصة في ملف Excel: 38</w:t>
      </w:r>
    </w:p>
    <w:p>
      <w:pPr>
        <w:spacing w:before="160" w:after="100" w:line="240" w:lineRule="auto"/>
        <w:jc w:val="right"/>
        <w:keepNext/>
        <w:bidi w:val="1"/>
      </w:pPr>
      <w:r>
        <w:rPr>
          <w:rFonts w:ascii="Noto Kufi Arabic" w:hAnsi="Noto Kufi Arabic" w:cs="Noto Kufi Arabic" w:eastAsia="Noto Kufi Arabic"/>
          <w:b/>
          <w:color w:val="1F4E79"/>
          <w:sz w:val="28"/>
          <w:rtl/>
        </w:rPr>
        <w:t>مدخل القصة ومحورها</w:t>
      </w:r>
    </w:p>
    <w:tbl>
      <w:tblPr>
        <w:tblW w:type="auto" w:w="0"/>
        <w:jc w:val="center"/>
        <w:tblLayout w:type="fixed"/>
        <w:tblLook w:firstColumn="1" w:firstRow="1" w:lastColumn="0" w:lastRow="0" w:noHBand="0" w:noVBand="1" w:val="04A0"/>
        <w:bidiVisual w:val="1"/>
        <w:tblBorders>
          <w:top w:val="single" w:sz="5" w:color="D1D5DB"/>
          <w:left w:val="single" w:sz="5" w:color="D1D5DB"/>
          <w:bottom w:val="single" w:sz="5" w:color="D1D5DB"/>
          <w:right w:val="single" w:sz="5" w:color="D1D5DB"/>
          <w:insideH w:val="single" w:sz="5" w:color="D1D5DB"/>
          <w:insideV w:val="single" w:sz="5" w:color="D1D5DB"/>
        </w:tblBorders>
      </w:tblPr>
      <w:tblGrid>
        <w:gridCol w:w="5133"/>
        <w:gridCol w:w="5133"/>
      </w:tblGrid>
      <w:tr>
        <w:tc>
          <w:tcPr>
            <w:tcW w:type="dxa" w:w="2088"/>
            <w:shd w:fill="DCE6F1"/>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20"/>
                <w:rtl/>
              </w:rPr>
              <w:t>المحور المركزي</w:t>
            </w:r>
          </w:p>
        </w:tc>
        <w:tc>
          <w:tcPr>
            <w:tcW w:type="dxa" w:w="8280"/>
            <w:shd w:fill="F8FBFE"/>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20"/>
                <w:rtl/>
              </w:rPr>
              <w:t>يجمع الإنسان بين أصل مادي متواضع وتسوية مقصودة ونفخة مكرمة وملكات للسمع والبصر والفؤاد؛ فلا يبرر الأصل احتقار الإنسان، ولا تبرر الكرامة كبرياءه، بل كلاهما يؤسسان للشكر والمسؤولية.</w:t>
            </w:r>
          </w:p>
        </w:tc>
      </w:tr>
      <w:tr>
        <w:tc>
          <w:tcPr>
            <w:tcW w:type="dxa" w:w="2088"/>
            <w:shd w:fill="DCE6F1"/>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20"/>
                <w:rtl/>
              </w:rPr>
              <w:t>السؤال الإنساني</w:t>
            </w:r>
          </w:p>
        </w:tc>
        <w:tc>
          <w:tcPr>
            <w:tcW w:type="dxa" w:w="8280"/>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20"/>
                <w:rtl/>
              </w:rPr>
              <w:t>كيف يبني الإنسان هويته بين التواضع لأصله، والوعي بكرامته، واستخدام ملكاته في الغاية التي مُنحت من أجلها؟</w:t>
            </w:r>
          </w:p>
        </w:tc>
      </w:tr>
      <w:tr>
        <w:tc>
          <w:tcPr>
            <w:tcW w:type="dxa" w:w="2088"/>
            <w:shd w:fill="DCE6F1"/>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20"/>
                <w:rtl/>
              </w:rPr>
              <w:t>الحركة الكبرى</w:t>
            </w:r>
          </w:p>
        </w:tc>
        <w:tc>
          <w:tcPr>
            <w:tcW w:type="dxa" w:w="8280"/>
            <w:shd w:fill="F8FBFE"/>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20"/>
                <w:rtl/>
              </w:rPr>
              <w:t>إعلان أصل الإنسان من الطين → تسوية الخلق → النفخة المكرمة → أمر الملائكة بالسجود → امتداد النسل من ماء مهين → منح السمع والبصر والفؤاد → قلة الشكر → انتقال المعرفة بالأصل إلى مسؤولية أخلاقية.</w:t>
            </w:r>
          </w:p>
        </w:tc>
      </w:tr>
    </w:tbl>
    <w:p>
      <w:pPr>
        <w:spacing w:before="160" w:after="100" w:line="240" w:lineRule="auto"/>
        <w:jc w:val="right"/>
        <w:keepNext/>
        <w:bidi w:val="1"/>
      </w:pPr>
      <w:r>
        <w:rPr>
          <w:rFonts w:ascii="Noto Kufi Arabic" w:hAnsi="Noto Kufi Arabic" w:cs="Noto Kufi Arabic" w:eastAsia="Noto Kufi Arabic"/>
          <w:b/>
          <w:color w:val="1F4E79"/>
          <w:sz w:val="28"/>
          <w:rtl/>
        </w:rPr>
        <w:t>الآيات + الشرح</w:t>
      </w:r>
    </w:p>
    <w:tbl>
      <w:tblPr>
        <w:tblW w:type="auto" w:w="0"/>
        <w:jc w:val="center"/>
        <w:tblLayout w:type="fixed"/>
        <w:tblLook w:firstColumn="1" w:firstRow="1" w:lastColumn="0" w:lastRow="0" w:noHBand="0" w:noVBand="1" w:val="04A0"/>
        <w:bidiVisual w:val="1"/>
        <w:tblBorders>
          <w:top w:val="single" w:sz="6" w:color="B9CFE3"/>
          <w:left w:val="single" w:sz="6" w:color="B9CFE3"/>
          <w:bottom w:val="single" w:sz="6" w:color="B9CFE3"/>
          <w:right w:val="single" w:sz="6" w:color="B9CFE3"/>
          <w:insideH w:val="single" w:sz="6" w:color="B9CFE3"/>
          <w:insideV w:val="single" w:sz="6" w:color="B9CFE3"/>
        </w:tblBorders>
      </w:tblPr>
      <w:tblGrid>
        <w:gridCol w:w="10267"/>
      </w:tblGrid>
      <w:tr>
        <w:trPr/>
        <w:tc>
          <w:tcPr>
            <w:tcW w:type="dxa" w:w="10267"/>
            <w:shd w:fill="DCE6F1"/>
            <w:tcMar>
              <w:top w:w="120" w:type="dxa"/>
              <w:start w:w="120" w:type="dxa"/>
              <w:bottom w:w="100" w:type="dxa"/>
              <w:end w:w="120" w:type="dxa"/>
            </w:tcMar>
          </w:tcPr>
          <w:p>
            <w:pPr>
              <w:spacing w:after="80"/>
              <w:jc w:val="right"/>
              <w:bidi w:val="1"/>
            </w:pPr>
            <w:r/>
            <w:r>
              <w:rPr>
                <w:rFonts w:ascii="Noto Kufi Arabic" w:hAnsi="Noto Kufi Arabic" w:cs="Noto Kufi Arabic" w:eastAsia="Noto Kufi Arabic"/>
                <w:b/>
                <w:color w:val="1F4E79"/>
                <w:sz w:val="21"/>
                <w:rtl/>
              </w:rPr>
              <w:t>1. سورة الحجر - الآيات من 26 إلى 29</w:t>
            </w:r>
          </w:p>
          <w:p>
            <w:pPr>
              <w:spacing w:line="324" w:lineRule="auto" w:after="100"/>
              <w:jc w:val="both"/>
              <w:bidi w:val="1"/>
            </w:pPr>
            <w:r>
              <w:rPr>
                <w:rFonts w:ascii="Noto Naskh Arabic" w:hAnsi="Noto Naskh Arabic" w:cs="Noto Naskh Arabic" w:eastAsia="Noto Naskh Arabic"/>
                <w:b w:val="0"/>
                <w:color w:val="1F2937"/>
                <w:sz w:val="23"/>
                <w:rtl/>
              </w:rPr>
              <w:t>وَلَقَد خَلَقنَا الإِنسانَ مِن صَلصالٍ مِن حَمَإٍ مَسنونٍ﴿٢٦﴾ وَالجانَّ خَلَقناهُ مِن قَبلُ مِن نارِ السَّمومِ﴿٢٧﴾ وَإِذ قالَ رَبُّكَ لِلمَلائِكَةِ إِنّي خالِقٌ بَشَرًا مِن صَلصالٍ مِن حَمَإٍ مَسنونٍ﴿٢٨﴾ فَإِذا سَوَّيتُهُ وَنَفَختُ فيهِ مِن روحي فَقَعوا لَهُ ساجِدينَ﴿٢٩﴾</w:t>
            </w:r>
          </w:p>
          <w:p>
            <w:pPr>
              <w:spacing w:after="40" w:line="269" w:lineRule="auto"/>
              <w:jc w:val="both"/>
              <w:bidi w:val="1"/>
            </w:pPr>
            <w:r>
              <w:rPr>
                <w:rFonts w:ascii="Noto Naskh Arabic" w:hAnsi="Noto Naskh Arabic" w:cs="Noto Naskh Arabic" w:eastAsia="Noto Naskh Arabic"/>
                <w:b/>
                <w:color w:val="B8860B"/>
                <w:sz w:val="19"/>
                <w:rtl/>
              </w:rPr>
              <w:t xml:space="preserve">1. </w:t>
            </w:r>
            <w:r>
              <w:rPr>
                <w:rFonts w:ascii="Noto Naskh Arabic" w:hAnsi="Noto Naskh Arabic" w:cs="Noto Naskh Arabic" w:eastAsia="Noto Naskh Arabic"/>
                <w:b w:val="0"/>
                <w:color w:val="1F2937"/>
                <w:sz w:val="19"/>
                <w:rtl/>
              </w:rPr>
              <w:t>قرر النص أن أصل الإنسان من صلصال من حمإ مسنون، فالجسد مرتبط بمادة الأرض ولا يحمل في مادته سببًا للتعالي.</w:t>
            </w:r>
          </w:p>
          <w:p>
            <w:pPr>
              <w:spacing w:after="40" w:line="269" w:lineRule="auto"/>
              <w:jc w:val="both"/>
              <w:bidi w:val="1"/>
            </w:pPr>
            <w:r>
              <w:rPr>
                <w:rFonts w:ascii="Noto Naskh Arabic" w:hAnsi="Noto Naskh Arabic" w:cs="Noto Naskh Arabic" w:eastAsia="Noto Naskh Arabic"/>
                <w:b/>
                <w:color w:val="B8860B"/>
                <w:sz w:val="19"/>
                <w:rtl/>
              </w:rPr>
              <w:t xml:space="preserve">2. </w:t>
            </w:r>
            <w:r>
              <w:rPr>
                <w:rFonts w:ascii="Noto Naskh Arabic" w:hAnsi="Noto Naskh Arabic" w:cs="Noto Naskh Arabic" w:eastAsia="Noto Naskh Arabic"/>
                <w:b w:val="0"/>
                <w:color w:val="1F2937"/>
                <w:sz w:val="19"/>
                <w:rtl/>
              </w:rPr>
              <w:t>ذكر خلق الجان من نار السموم يهيئ للمشهد اللاحق، لكنه لا يجعل مادة الخلق معيارًا للتفاضل أو القيمة.</w:t>
            </w:r>
          </w:p>
          <w:p>
            <w:pPr>
              <w:spacing w:after="40" w:line="269" w:lineRule="auto"/>
              <w:jc w:val="both"/>
              <w:bidi w:val="1"/>
            </w:pPr>
            <w:r>
              <w:rPr>
                <w:rFonts w:ascii="Noto Naskh Arabic" w:hAnsi="Noto Naskh Arabic" w:cs="Noto Naskh Arabic" w:eastAsia="Noto Naskh Arabic"/>
                <w:b/>
                <w:color w:val="B8860B"/>
                <w:sz w:val="19"/>
                <w:rtl/>
              </w:rPr>
              <w:t xml:space="preserve">3. </w:t>
            </w:r>
            <w:r>
              <w:rPr>
                <w:rFonts w:ascii="Noto Naskh Arabic" w:hAnsi="Noto Naskh Arabic" w:cs="Noto Naskh Arabic" w:eastAsia="Noto Naskh Arabic"/>
                <w:b w:val="0"/>
                <w:color w:val="1F2937"/>
                <w:sz w:val="19"/>
                <w:rtl/>
              </w:rPr>
              <w:t>أعلن الله للملائكة خلق بشر، ثم ربط الأمر بالسجود بمرحلتين: التسوية والنفخ؛ فالكرامة جاءت من فعل الله وتقديره.</w:t>
            </w:r>
          </w:p>
          <w:p>
            <w:pPr>
              <w:spacing w:after="40" w:line="269" w:lineRule="auto"/>
              <w:jc w:val="both"/>
              <w:bidi w:val="1"/>
            </w:pPr>
            <w:r>
              <w:rPr>
                <w:rFonts w:ascii="Noto Naskh Arabic" w:hAnsi="Noto Naskh Arabic" w:cs="Noto Naskh Arabic" w:eastAsia="Noto Naskh Arabic"/>
                <w:b/>
                <w:color w:val="B8860B"/>
                <w:sz w:val="19"/>
                <w:rtl/>
              </w:rPr>
              <w:t xml:space="preserve">4. </w:t>
            </w:r>
            <w:r>
              <w:rPr>
                <w:rFonts w:ascii="Noto Naskh Arabic" w:hAnsi="Noto Naskh Arabic" w:cs="Noto Naskh Arabic" w:eastAsia="Noto Naskh Arabic"/>
                <w:b w:val="0"/>
                <w:color w:val="1F2937"/>
                <w:sz w:val="19"/>
                <w:rtl/>
              </w:rPr>
              <w:t>قوله من روحي إضافة تشريف للروح المخلوقة، ولا يدل على أن في الإنسان جزءًا من ذات الله تعالى.</w:t>
            </w:r>
          </w:p>
          <w:p>
            <w:pPr>
              <w:spacing w:after="40" w:line="269" w:lineRule="auto"/>
              <w:jc w:val="both"/>
              <w:bidi w:val="1"/>
            </w:pPr>
            <w:r>
              <w:rPr>
                <w:rFonts w:ascii="Noto Naskh Arabic" w:hAnsi="Noto Naskh Arabic" w:cs="Noto Naskh Arabic" w:eastAsia="Noto Naskh Arabic"/>
                <w:b/>
                <w:color w:val="B8860B"/>
                <w:sz w:val="19"/>
                <w:rtl/>
              </w:rPr>
              <w:t xml:space="preserve">5. </w:t>
            </w:r>
            <w:r>
              <w:rPr>
                <w:rFonts w:ascii="Noto Naskh Arabic" w:hAnsi="Noto Naskh Arabic" w:cs="Noto Naskh Arabic" w:eastAsia="Noto Naskh Arabic"/>
                <w:b w:val="0"/>
                <w:color w:val="1F2937"/>
                <w:sz w:val="19"/>
                <w:rtl/>
              </w:rPr>
              <w:t>سجود الملائكة كان امتثالًا لأمر الله وتكريمًا لآدم، وليس عبادة للإنسان.</w:t>
            </w:r>
          </w:p>
        </w:tc>
      </w:tr>
    </w:tbl>
    <w:p>
      <w:pPr>
        <w:spacing w:after="20"/>
      </w:pPr>
    </w:p>
    <w:tbl>
      <w:tblPr>
        <w:tblW w:type="auto" w:w="0"/>
        <w:jc w:val="center"/>
        <w:tblLayout w:type="fixed"/>
        <w:tblLook w:firstColumn="1" w:firstRow="1" w:lastColumn="0" w:lastRow="0" w:noHBand="0" w:noVBand="1" w:val="04A0"/>
        <w:bidiVisual w:val="1"/>
        <w:tblBorders>
          <w:top w:val="single" w:sz="6" w:color="B9CFE3"/>
          <w:left w:val="single" w:sz="6" w:color="B9CFE3"/>
          <w:bottom w:val="single" w:sz="6" w:color="B9CFE3"/>
          <w:right w:val="single" w:sz="6" w:color="B9CFE3"/>
          <w:insideH w:val="single" w:sz="6" w:color="B9CFE3"/>
          <w:insideV w:val="single" w:sz="6" w:color="B9CFE3"/>
        </w:tblBorders>
      </w:tblPr>
      <w:tblGrid>
        <w:gridCol w:w="10267"/>
      </w:tblGrid>
      <w:tr>
        <w:trPr/>
        <w:tc>
          <w:tcPr>
            <w:tcW w:type="dxa" w:w="10267"/>
            <w:shd w:fill="DCE6F1"/>
            <w:tcMar>
              <w:top w:w="120" w:type="dxa"/>
              <w:start w:w="120" w:type="dxa"/>
              <w:bottom w:w="100" w:type="dxa"/>
              <w:end w:w="120" w:type="dxa"/>
            </w:tcMar>
          </w:tcPr>
          <w:p>
            <w:pPr>
              <w:spacing w:after="80"/>
              <w:jc w:val="right"/>
              <w:bidi w:val="1"/>
            </w:pPr>
            <w:r/>
            <w:r>
              <w:rPr>
                <w:rFonts w:ascii="Noto Kufi Arabic" w:hAnsi="Noto Kufi Arabic" w:cs="Noto Kufi Arabic" w:eastAsia="Noto Kufi Arabic"/>
                <w:b/>
                <w:color w:val="1F4E79"/>
                <w:sz w:val="21"/>
                <w:rtl/>
              </w:rPr>
              <w:t>2. سورة السجدة - الآيات من 7 إلى 9</w:t>
            </w:r>
          </w:p>
          <w:p>
            <w:pPr>
              <w:spacing w:line="324" w:lineRule="auto" w:after="100"/>
              <w:jc w:val="both"/>
              <w:bidi w:val="1"/>
            </w:pPr>
            <w:r>
              <w:rPr>
                <w:rFonts w:ascii="Noto Naskh Arabic" w:hAnsi="Noto Naskh Arabic" w:cs="Noto Naskh Arabic" w:eastAsia="Noto Naskh Arabic"/>
                <w:b w:val="0"/>
                <w:color w:val="1F2937"/>
                <w:sz w:val="23"/>
                <w:rtl/>
              </w:rPr>
              <w:t>الَّذي أَحسَنَ كُلَّ شَيءٍ خَلَقَهُ ۖ وَبَدَأَ خَلقَ الإِنسانِ مِن طينٍ﴿٧﴾ ثُمَّ جَعَلَ نَسلَهُ مِن سُلالَةٍ مِن ماءٍ مَهينٍ﴿٨﴾ ثُمَّ سَوّاهُ وَنَفَخَ فيهِ مِن روحِهِ ۖ وَجَعَلَ لَكُمُ السَّمعَ وَالأَبصارَ وَالأَفئِدَةَ ۚ قَليلًا ما تَشكُرونَ﴿٩﴾</w:t>
            </w:r>
          </w:p>
          <w:p>
            <w:pPr>
              <w:spacing w:after="40" w:line="269" w:lineRule="auto"/>
              <w:jc w:val="both"/>
              <w:bidi w:val="1"/>
            </w:pPr>
            <w:r>
              <w:rPr>
                <w:rFonts w:ascii="Noto Naskh Arabic" w:hAnsi="Noto Naskh Arabic" w:cs="Noto Naskh Arabic" w:eastAsia="Noto Naskh Arabic"/>
                <w:b/>
                <w:color w:val="B8860B"/>
                <w:sz w:val="19"/>
                <w:rtl/>
              </w:rPr>
              <w:t xml:space="preserve">1. </w:t>
            </w:r>
            <w:r>
              <w:rPr>
                <w:rFonts w:ascii="Noto Naskh Arabic" w:hAnsi="Noto Naskh Arabic" w:cs="Noto Naskh Arabic" w:eastAsia="Noto Naskh Arabic"/>
                <w:b w:val="0"/>
                <w:color w:val="1F2937"/>
                <w:sz w:val="19"/>
                <w:rtl/>
              </w:rPr>
              <w:t>افتتح المقطع بأن الله أحسن كل شيء خلقه، فيوضع أصل الإنسان داخل نظام شامل من الإتقان والتقدير.</w:t>
            </w:r>
          </w:p>
          <w:p>
            <w:pPr>
              <w:spacing w:after="40" w:line="269" w:lineRule="auto"/>
              <w:jc w:val="both"/>
              <w:bidi w:val="1"/>
            </w:pPr>
            <w:r>
              <w:rPr>
                <w:rFonts w:ascii="Noto Naskh Arabic" w:hAnsi="Noto Naskh Arabic" w:cs="Noto Naskh Arabic" w:eastAsia="Noto Naskh Arabic"/>
                <w:b/>
                <w:color w:val="B8860B"/>
                <w:sz w:val="19"/>
                <w:rtl/>
              </w:rPr>
              <w:t xml:space="preserve">2. </w:t>
            </w:r>
            <w:r>
              <w:rPr>
                <w:rFonts w:ascii="Noto Naskh Arabic" w:hAnsi="Noto Naskh Arabic" w:cs="Noto Naskh Arabic" w:eastAsia="Noto Naskh Arabic"/>
                <w:b w:val="0"/>
                <w:color w:val="1F2937"/>
                <w:sz w:val="19"/>
                <w:rtl/>
              </w:rPr>
              <w:t>فرّق بين بدء خلق الإنسان من طين، ثم جعل نسله من سلالة من ماء مهين؛ يجمع النص بين البداية الأولى واستمرار النوع البشري.</w:t>
            </w:r>
          </w:p>
          <w:p>
            <w:pPr>
              <w:spacing w:after="40" w:line="269" w:lineRule="auto"/>
              <w:jc w:val="both"/>
              <w:bidi w:val="1"/>
            </w:pPr>
            <w:r>
              <w:rPr>
                <w:rFonts w:ascii="Noto Naskh Arabic" w:hAnsi="Noto Naskh Arabic" w:cs="Noto Naskh Arabic" w:eastAsia="Noto Naskh Arabic"/>
                <w:b/>
                <w:color w:val="B8860B"/>
                <w:sz w:val="19"/>
                <w:rtl/>
              </w:rPr>
              <w:t xml:space="preserve">3. </w:t>
            </w:r>
            <w:r>
              <w:rPr>
                <w:rFonts w:ascii="Noto Naskh Arabic" w:hAnsi="Noto Naskh Arabic" w:cs="Noto Naskh Arabic" w:eastAsia="Noto Naskh Arabic"/>
                <w:b w:val="0"/>
                <w:color w:val="1F2937"/>
                <w:sz w:val="19"/>
                <w:rtl/>
              </w:rPr>
              <w:t>بعد التسوية والنفخة جاءت أدوات الإدراك: السمع والأبصار والأفئدة؛ الكرامة ليست هيئة فقط بل قدرة على التلقي والنظر والتمييز.</w:t>
            </w:r>
          </w:p>
          <w:p>
            <w:pPr>
              <w:spacing w:after="40" w:line="269" w:lineRule="auto"/>
              <w:jc w:val="both"/>
              <w:bidi w:val="1"/>
            </w:pPr>
            <w:r>
              <w:rPr>
                <w:rFonts w:ascii="Noto Naskh Arabic" w:hAnsi="Noto Naskh Arabic" w:cs="Noto Naskh Arabic" w:eastAsia="Noto Naskh Arabic"/>
                <w:b/>
                <w:color w:val="B8860B"/>
                <w:sz w:val="19"/>
                <w:rtl/>
              </w:rPr>
              <w:t xml:space="preserve">4. </w:t>
            </w:r>
            <w:r>
              <w:rPr>
                <w:rFonts w:ascii="Noto Naskh Arabic" w:hAnsi="Noto Naskh Arabic" w:cs="Noto Naskh Arabic" w:eastAsia="Noto Naskh Arabic"/>
                <w:b w:val="0"/>
                <w:color w:val="1F2937"/>
                <w:sz w:val="19"/>
                <w:rtl/>
              </w:rPr>
              <w:t>قليلًا ما تشكرون يحول قصة التكوين إلى سؤال أخلاقي حاضر: ماذا فعل الإنسان بالملكات التي مُنحت له؟</w:t>
            </w:r>
          </w:p>
        </w:tc>
      </w:tr>
    </w:tbl>
    <w:p>
      <w:pPr>
        <w:spacing w:after="20"/>
      </w:pPr>
    </w:p>
    <w:tbl>
      <w:tblPr>
        <w:tblW w:type="auto" w:w="0"/>
        <w:jc w:val="center"/>
        <w:tblLayout w:type="fixed"/>
        <w:tblLook w:firstColumn="1" w:firstRow="1" w:lastColumn="0" w:lastRow="0" w:noHBand="0" w:noVBand="1" w:val="04A0"/>
        <w:bidiVisual w:val="1"/>
        <w:tblBorders>
          <w:top w:val="single" w:sz="6" w:color="B9CFE3"/>
          <w:left w:val="single" w:sz="6" w:color="B9CFE3"/>
          <w:bottom w:val="single" w:sz="6" w:color="B9CFE3"/>
          <w:right w:val="single" w:sz="6" w:color="B9CFE3"/>
          <w:insideH w:val="single" w:sz="6" w:color="B9CFE3"/>
          <w:insideV w:val="single" w:sz="6" w:color="B9CFE3"/>
        </w:tblBorders>
      </w:tblPr>
      <w:tblGrid>
        <w:gridCol w:w="10267"/>
      </w:tblGrid>
      <w:tr>
        <w:trPr/>
        <w:tc>
          <w:tcPr>
            <w:tcW w:type="dxa" w:w="10267"/>
            <w:shd w:fill="DCE6F1"/>
            <w:tcMar>
              <w:top w:w="120" w:type="dxa"/>
              <w:start w:w="120" w:type="dxa"/>
              <w:bottom w:w="100" w:type="dxa"/>
              <w:end w:w="120" w:type="dxa"/>
            </w:tcMar>
          </w:tcPr>
          <w:p>
            <w:pPr>
              <w:spacing w:after="80"/>
              <w:jc w:val="right"/>
              <w:bidi w:val="1"/>
            </w:pPr>
            <w:r/>
            <w:r>
              <w:rPr>
                <w:rFonts w:ascii="Noto Kufi Arabic" w:hAnsi="Noto Kufi Arabic" w:cs="Noto Kufi Arabic" w:eastAsia="Noto Kufi Arabic"/>
                <w:b/>
                <w:color w:val="1F4E79"/>
                <w:sz w:val="21"/>
                <w:rtl/>
              </w:rPr>
              <w:t>3. سورة ص - الآيات من 71 إلى 72</w:t>
            </w:r>
          </w:p>
          <w:p>
            <w:pPr>
              <w:spacing w:line="324" w:lineRule="auto" w:after="100"/>
              <w:jc w:val="both"/>
              <w:bidi w:val="1"/>
            </w:pPr>
            <w:r>
              <w:rPr>
                <w:rFonts w:ascii="Noto Naskh Arabic" w:hAnsi="Noto Naskh Arabic" w:cs="Noto Naskh Arabic" w:eastAsia="Noto Naskh Arabic"/>
                <w:b w:val="0"/>
                <w:color w:val="1F2937"/>
                <w:sz w:val="23"/>
                <w:rtl/>
              </w:rPr>
              <w:t>إِذ قالَ رَبُّكَ لِلمَلائِكَةِ إِنّي خالِقٌ بَشَرًا مِن طينٍ﴿٧١﴾ فَإِذا سَوَّيتُهُ وَنَفَختُ فيهِ مِن روحي فَقَعوا لَهُ ساجِدينَ﴿٧٢﴾</w:t>
            </w:r>
          </w:p>
          <w:p>
            <w:pPr>
              <w:spacing w:after="40" w:line="269" w:lineRule="auto"/>
              <w:jc w:val="both"/>
              <w:bidi w:val="1"/>
            </w:pPr>
            <w:r>
              <w:rPr>
                <w:rFonts w:ascii="Noto Naskh Arabic" w:hAnsi="Noto Naskh Arabic" w:cs="Noto Naskh Arabic" w:eastAsia="Noto Naskh Arabic"/>
                <w:b/>
                <w:color w:val="B8860B"/>
                <w:sz w:val="19"/>
                <w:rtl/>
              </w:rPr>
              <w:t xml:space="preserve">1. </w:t>
            </w:r>
            <w:r>
              <w:rPr>
                <w:rFonts w:ascii="Noto Naskh Arabic" w:hAnsi="Noto Naskh Arabic" w:cs="Noto Naskh Arabic" w:eastAsia="Noto Naskh Arabic"/>
                <w:b w:val="0"/>
                <w:color w:val="1F2937"/>
                <w:sz w:val="19"/>
                <w:rtl/>
              </w:rPr>
              <w:t>جاء الإعلان موجزًا: بشر من طين، ثم تسوية ونفخ وأمر بالسجود؛ الإيجاز يثبت الأركان الأساسية دون الدخول في تفاصيل زمنية أو مادية غير مذكورة.</w:t>
            </w:r>
          </w:p>
          <w:p>
            <w:pPr>
              <w:spacing w:after="40" w:line="269" w:lineRule="auto"/>
              <w:jc w:val="both"/>
              <w:bidi w:val="1"/>
            </w:pPr>
            <w:r>
              <w:rPr>
                <w:rFonts w:ascii="Noto Naskh Arabic" w:hAnsi="Noto Naskh Arabic" w:cs="Noto Naskh Arabic" w:eastAsia="Noto Naskh Arabic"/>
                <w:b/>
                <w:color w:val="B8860B"/>
                <w:sz w:val="19"/>
                <w:rtl/>
              </w:rPr>
              <w:t xml:space="preserve">2. </w:t>
            </w:r>
            <w:r>
              <w:rPr>
                <w:rFonts w:ascii="Noto Naskh Arabic" w:hAnsi="Noto Naskh Arabic" w:cs="Noto Naskh Arabic" w:eastAsia="Noto Naskh Arabic"/>
                <w:b w:val="0"/>
                <w:color w:val="1F2937"/>
                <w:sz w:val="19"/>
                <w:rtl/>
              </w:rPr>
              <w:t>تكرار المعنى في أكثر من سورة يبني صورة متكاملة للهوية: أصل أرضي، وصنعة ربانية، وكرامة بالتكليف، ومسؤولية أمام الأمر.</w:t>
            </w:r>
          </w:p>
        </w:tc>
      </w:tr>
    </w:tbl>
    <w:p>
      <w:pPr>
        <w:spacing w:after="20"/>
      </w:pPr>
    </w:p>
    <w:p>
      <w:pPr>
        <w:spacing w:before="160" w:after="100" w:line="240" w:lineRule="auto"/>
        <w:jc w:val="right"/>
        <w:keepNext/>
        <w:bidi w:val="1"/>
      </w:pPr>
      <w:r>
        <w:rPr>
          <w:rFonts w:ascii="Noto Kufi Arabic" w:hAnsi="Noto Kufi Arabic" w:cs="Noto Kufi Arabic" w:eastAsia="Noto Kufi Arabic"/>
          <w:b/>
          <w:color w:val="1F4E79"/>
          <w:sz w:val="28"/>
          <w:rtl/>
        </w:rPr>
        <w:t>التحليل الحركي والنفسي</w:t>
      </w:r>
    </w:p>
    <w:p>
      <w:pPr>
        <w:spacing w:after="60" w:line="288" w:lineRule="auto"/>
        <w:jc w:val="both"/>
        <w:bidi w:val="1"/>
      </w:pPr>
      <w:r>
        <w:rPr>
          <w:rFonts w:ascii="Noto Naskh Arabic" w:hAnsi="Noto Naskh Arabic" w:cs="Noto Naskh Arabic" w:eastAsia="Noto Naskh Arabic"/>
          <w:b/>
          <w:color w:val="B8860B"/>
          <w:sz w:val="21"/>
          <w:rtl/>
        </w:rPr>
        <w:t xml:space="preserve">1. </w:t>
      </w:r>
      <w:r>
        <w:rPr>
          <w:rFonts w:ascii="Noto Naskh Arabic" w:hAnsi="Noto Naskh Arabic" w:cs="Noto Naskh Arabic" w:eastAsia="Noto Naskh Arabic"/>
          <w:b w:val="0"/>
          <w:color w:val="1F2937"/>
          <w:sz w:val="21"/>
          <w:rtl/>
        </w:rPr>
        <w:t>معرفة الأصل تعالج اتجاهين متعاكسين: تحطم الكبر الذي يتعالى بالمادة، وتحطم الاحتقار الذي يرى المادة المتواضعة نهاية قيمة الإنسان.</w:t>
      </w:r>
    </w:p>
    <w:p>
      <w:pPr>
        <w:spacing w:after="60" w:line="288" w:lineRule="auto"/>
        <w:jc w:val="both"/>
        <w:bidi w:val="1"/>
      </w:pPr>
      <w:r>
        <w:rPr>
          <w:rFonts w:ascii="Noto Naskh Arabic" w:hAnsi="Noto Naskh Arabic" w:cs="Noto Naskh Arabic" w:eastAsia="Noto Naskh Arabic"/>
          <w:b/>
          <w:color w:val="B8860B"/>
          <w:sz w:val="21"/>
          <w:rtl/>
        </w:rPr>
        <w:t xml:space="preserve">2. </w:t>
      </w:r>
      <w:r>
        <w:rPr>
          <w:rFonts w:ascii="Noto Naskh Arabic" w:hAnsi="Noto Naskh Arabic" w:cs="Noto Naskh Arabic" w:eastAsia="Noto Naskh Arabic"/>
          <w:b w:val="0"/>
          <w:color w:val="1F2937"/>
          <w:sz w:val="21"/>
          <w:rtl/>
        </w:rPr>
        <w:t>التسوية تعني أن الإنسان ليس حادثًا بلا قصد في الرؤية القرآنية؛ تكوينه داخل إرادة وحكمة، ومن ثم لا تنفصل هويته عن الغاية.</w:t>
      </w:r>
    </w:p>
    <w:p>
      <w:pPr>
        <w:spacing w:after="60" w:line="288" w:lineRule="auto"/>
        <w:jc w:val="both"/>
        <w:bidi w:val="1"/>
      </w:pPr>
      <w:r>
        <w:rPr>
          <w:rFonts w:ascii="Noto Naskh Arabic" w:hAnsi="Noto Naskh Arabic" w:cs="Noto Naskh Arabic" w:eastAsia="Noto Naskh Arabic"/>
          <w:b/>
          <w:color w:val="B8860B"/>
          <w:sz w:val="21"/>
          <w:rtl/>
        </w:rPr>
        <w:t xml:space="preserve">3. </w:t>
      </w:r>
      <w:r>
        <w:rPr>
          <w:rFonts w:ascii="Noto Naskh Arabic" w:hAnsi="Noto Naskh Arabic" w:cs="Noto Naskh Arabic" w:eastAsia="Noto Naskh Arabic"/>
          <w:b w:val="0"/>
          <w:color w:val="1F2937"/>
          <w:sz w:val="21"/>
          <w:rtl/>
        </w:rPr>
        <w:t>النفخة من روح الله إضافة تكريم للروح المخلوقة؛ الضبط العقدي ضروري كي لا يتحول التعبير إلى حلول أو امتزاج أو تأليه للإنسان.</w:t>
      </w:r>
    </w:p>
    <w:p>
      <w:pPr>
        <w:spacing w:after="60" w:line="288" w:lineRule="auto"/>
        <w:jc w:val="both"/>
        <w:bidi w:val="1"/>
      </w:pPr>
      <w:r>
        <w:rPr>
          <w:rFonts w:ascii="Noto Naskh Arabic" w:hAnsi="Noto Naskh Arabic" w:cs="Noto Naskh Arabic" w:eastAsia="Noto Naskh Arabic"/>
          <w:b/>
          <w:color w:val="B8860B"/>
          <w:sz w:val="21"/>
          <w:rtl/>
        </w:rPr>
        <w:t xml:space="preserve">4. </w:t>
      </w:r>
      <w:r>
        <w:rPr>
          <w:rFonts w:ascii="Noto Naskh Arabic" w:hAnsi="Noto Naskh Arabic" w:cs="Noto Naskh Arabic" w:eastAsia="Noto Naskh Arabic"/>
          <w:b w:val="0"/>
          <w:color w:val="1F2937"/>
          <w:sz w:val="21"/>
          <w:rtl/>
        </w:rPr>
        <w:t>الجسد والروح والملكات ليست أجزاءً متصارعة يجب إلغاء أحدها؛ البناء المتوازن يضع كل بعد في وظيفته تحت عبودية الله.</w:t>
      </w:r>
    </w:p>
    <w:p>
      <w:pPr>
        <w:spacing w:after="60" w:line="288" w:lineRule="auto"/>
        <w:jc w:val="both"/>
        <w:bidi w:val="1"/>
      </w:pPr>
      <w:r>
        <w:rPr>
          <w:rFonts w:ascii="Noto Naskh Arabic" w:hAnsi="Noto Naskh Arabic" w:cs="Noto Naskh Arabic" w:eastAsia="Noto Naskh Arabic"/>
          <w:b/>
          <w:color w:val="B8860B"/>
          <w:sz w:val="21"/>
          <w:rtl/>
        </w:rPr>
        <w:t xml:space="preserve">5. </w:t>
      </w:r>
      <w:r>
        <w:rPr>
          <w:rFonts w:ascii="Noto Naskh Arabic" w:hAnsi="Noto Naskh Arabic" w:cs="Noto Naskh Arabic" w:eastAsia="Noto Naskh Arabic"/>
          <w:b w:val="0"/>
          <w:color w:val="1F2937"/>
          <w:sz w:val="21"/>
          <w:rtl/>
        </w:rPr>
        <w:t>السمع يسبق الأبصار في الآية، ثم الأفئدة؛ تلقي العالم ومشاهدته لا يكفيان دون قلب يعقل ويزن ويختار.</w:t>
      </w:r>
    </w:p>
    <w:p>
      <w:pPr>
        <w:spacing w:after="60" w:line="288" w:lineRule="auto"/>
        <w:jc w:val="both"/>
        <w:bidi w:val="1"/>
      </w:pPr>
      <w:r>
        <w:rPr>
          <w:rFonts w:ascii="Noto Naskh Arabic" w:hAnsi="Noto Naskh Arabic" w:cs="Noto Naskh Arabic" w:eastAsia="Noto Naskh Arabic"/>
          <w:b/>
          <w:color w:val="B8860B"/>
          <w:sz w:val="21"/>
          <w:rtl/>
        </w:rPr>
        <w:t xml:space="preserve">6. </w:t>
      </w:r>
      <w:r>
        <w:rPr>
          <w:rFonts w:ascii="Noto Naskh Arabic" w:hAnsi="Noto Naskh Arabic" w:cs="Noto Naskh Arabic" w:eastAsia="Noto Naskh Arabic"/>
          <w:b w:val="0"/>
          <w:color w:val="1F2937"/>
          <w:sz w:val="21"/>
          <w:rtl/>
        </w:rPr>
        <w:t>قليلًا ما تشكرون يبين أن الامتلاك لا يساوي الاستخدام الصحيح؛ قد تكون الملكات كاملة ويظل مردودها الأخلاقي ضعيفًا.</w:t>
      </w:r>
    </w:p>
    <w:p>
      <w:pPr>
        <w:spacing w:after="60" w:line="288" w:lineRule="auto"/>
        <w:jc w:val="both"/>
        <w:bidi w:val="1"/>
      </w:pPr>
      <w:r>
        <w:rPr>
          <w:rFonts w:ascii="Noto Naskh Arabic" w:hAnsi="Noto Naskh Arabic" w:cs="Noto Naskh Arabic" w:eastAsia="Noto Naskh Arabic"/>
          <w:b/>
          <w:color w:val="B8860B"/>
          <w:sz w:val="21"/>
          <w:rtl/>
        </w:rPr>
        <w:t xml:space="preserve">7. </w:t>
      </w:r>
      <w:r>
        <w:rPr>
          <w:rFonts w:ascii="Noto Naskh Arabic" w:hAnsi="Noto Naskh Arabic" w:cs="Noto Naskh Arabic" w:eastAsia="Noto Naskh Arabic"/>
          <w:b w:val="0"/>
          <w:color w:val="1F2937"/>
          <w:sz w:val="21"/>
          <w:rtl/>
        </w:rPr>
        <w:t>التمييز بين خلق الإنسان الأول ونسله يمنع الخلط بين أصل آدم وطريقة استمرار البشر، مع بقاء الجميع داخل القدرة الإلهية.</w:t>
      </w:r>
    </w:p>
    <w:p>
      <w:pPr>
        <w:spacing w:after="60" w:line="288" w:lineRule="auto"/>
        <w:jc w:val="both"/>
        <w:bidi w:val="1"/>
      </w:pPr>
      <w:r>
        <w:rPr>
          <w:rFonts w:ascii="Noto Naskh Arabic" w:hAnsi="Noto Naskh Arabic" w:cs="Noto Naskh Arabic" w:eastAsia="Noto Naskh Arabic"/>
          <w:b/>
          <w:color w:val="B8860B"/>
          <w:sz w:val="21"/>
          <w:rtl/>
        </w:rPr>
        <w:t xml:space="preserve">8. </w:t>
      </w:r>
      <w:r>
        <w:rPr>
          <w:rFonts w:ascii="Noto Naskh Arabic" w:hAnsi="Noto Naskh Arabic" w:cs="Noto Naskh Arabic" w:eastAsia="Noto Naskh Arabic"/>
          <w:b w:val="0"/>
          <w:color w:val="1F2937"/>
          <w:sz w:val="21"/>
          <w:rtl/>
        </w:rPr>
        <w:t>سجود الملائكة يثبت كرامة منحها الله، لكنه لا يجعل الإنسان مستقلًا عن ربه؛ الكرامة نفسها ثمرة الطاعة للأمر الإلهي.</w:t>
      </w:r>
    </w:p>
    <w:p>
      <w:pPr>
        <w:spacing w:after="60" w:line="288" w:lineRule="auto"/>
        <w:jc w:val="both"/>
        <w:bidi w:val="1"/>
      </w:pPr>
      <w:r>
        <w:rPr>
          <w:rFonts w:ascii="Noto Naskh Arabic" w:hAnsi="Noto Naskh Arabic" w:cs="Noto Naskh Arabic" w:eastAsia="Noto Naskh Arabic"/>
          <w:b/>
          <w:color w:val="B8860B"/>
          <w:sz w:val="21"/>
          <w:rtl/>
        </w:rPr>
        <w:t xml:space="preserve">9. </w:t>
      </w:r>
      <w:r>
        <w:rPr>
          <w:rFonts w:ascii="Noto Naskh Arabic" w:hAnsi="Noto Naskh Arabic" w:cs="Noto Naskh Arabic" w:eastAsia="Noto Naskh Arabic"/>
          <w:b w:val="0"/>
          <w:color w:val="1F2937"/>
          <w:sz w:val="21"/>
          <w:rtl/>
        </w:rPr>
        <w:t>التواضع الصحيح ليس إنكار القيمة، بل معرفة أن القيمة هبة وتكليف؛ والكرامة الصحيحة ليست غرورًا، بل تحمل للأمانة.</w:t>
      </w:r>
    </w:p>
    <w:p>
      <w:pPr>
        <w:spacing w:after="60" w:line="288" w:lineRule="auto"/>
        <w:jc w:val="both"/>
        <w:bidi w:val="1"/>
      </w:pPr>
      <w:r>
        <w:rPr>
          <w:rFonts w:ascii="Noto Naskh Arabic" w:hAnsi="Noto Naskh Arabic" w:cs="Noto Naskh Arabic" w:eastAsia="Noto Naskh Arabic"/>
          <w:b/>
          <w:color w:val="B8860B"/>
          <w:sz w:val="21"/>
          <w:rtl/>
        </w:rPr>
        <w:t xml:space="preserve">10. </w:t>
      </w:r>
      <w:r>
        <w:rPr>
          <w:rFonts w:ascii="Noto Naskh Arabic" w:hAnsi="Noto Naskh Arabic" w:cs="Noto Naskh Arabic" w:eastAsia="Noto Naskh Arabic"/>
          <w:b w:val="0"/>
          <w:color w:val="1F2937"/>
          <w:sz w:val="21"/>
          <w:rtl/>
        </w:rPr>
        <w:t>في علم النفس الأخلاقي، صورة الإنسان عن أصله تحدد سلوكه: من يظن نفسه مادة فقط قد يختزل غايته، ومن يؤله ذاته قد يرفض الحدود.</w:t>
      </w:r>
    </w:p>
    <w:p>
      <w:pPr>
        <w:spacing w:after="60" w:line="288" w:lineRule="auto"/>
        <w:jc w:val="both"/>
        <w:bidi w:val="1"/>
      </w:pPr>
      <w:r>
        <w:rPr>
          <w:rFonts w:ascii="Noto Naskh Arabic" w:hAnsi="Noto Naskh Arabic" w:cs="Noto Naskh Arabic" w:eastAsia="Noto Naskh Arabic"/>
          <w:b/>
          <w:color w:val="B8860B"/>
          <w:sz w:val="21"/>
          <w:rtl/>
        </w:rPr>
        <w:t xml:space="preserve">11. </w:t>
      </w:r>
      <w:r>
        <w:rPr>
          <w:rFonts w:ascii="Noto Naskh Arabic" w:hAnsi="Noto Naskh Arabic" w:cs="Noto Naskh Arabic" w:eastAsia="Noto Naskh Arabic"/>
          <w:b w:val="0"/>
          <w:color w:val="1F2937"/>
          <w:sz w:val="21"/>
          <w:rtl/>
        </w:rPr>
        <w:t>في القيادة والتعليم، احترام الإنسان يجب أن يشمل الجسد والعقل والوجدان والاختيار، لا تحويله إلى مورد إنتاج أو رقم.</w:t>
      </w:r>
    </w:p>
    <w:p>
      <w:pPr>
        <w:spacing w:after="60" w:line="288" w:lineRule="auto"/>
        <w:jc w:val="both"/>
        <w:bidi w:val="1"/>
      </w:pPr>
      <w:r>
        <w:rPr>
          <w:rFonts w:ascii="Noto Naskh Arabic" w:hAnsi="Noto Naskh Arabic" w:cs="Noto Naskh Arabic" w:eastAsia="Noto Naskh Arabic"/>
          <w:b/>
          <w:color w:val="B8860B"/>
          <w:sz w:val="21"/>
          <w:rtl/>
        </w:rPr>
        <w:t xml:space="preserve">12. </w:t>
      </w:r>
      <w:r>
        <w:rPr>
          <w:rFonts w:ascii="Noto Naskh Arabic" w:hAnsi="Noto Naskh Arabic" w:cs="Noto Naskh Arabic" w:eastAsia="Noto Naskh Arabic"/>
          <w:b w:val="0"/>
          <w:color w:val="1F2937"/>
          <w:sz w:val="21"/>
          <w:rtl/>
        </w:rPr>
        <w:t>قصة البداية لا تعطينا تفاصيل تجريبية كاملة عن مراحل الخلق الأول؛ وظيفتها الأساسية بناء التصور العقدي والأخلاقي للإنسان.</w:t>
      </w:r>
    </w:p>
    <w:p>
      <w:pPr>
        <w:spacing w:before="160" w:after="100" w:line="240" w:lineRule="auto"/>
        <w:jc w:val="right"/>
        <w:keepNext/>
        <w:bidi w:val="1"/>
      </w:pPr>
      <w:r>
        <w:rPr>
          <w:rFonts w:ascii="Noto Kufi Arabic" w:hAnsi="Noto Kufi Arabic" w:cs="Noto Kufi Arabic" w:eastAsia="Noto Kufi Arabic"/>
          <w:b/>
          <w:color w:val="1F4E79"/>
          <w:sz w:val="28"/>
          <w:rtl/>
        </w:rPr>
        <w:t>الخلاصة</w:t>
      </w:r>
    </w:p>
    <w:tbl>
      <w:tblPr>
        <w:tblW w:type="auto" w:w="0"/>
        <w:jc w:val="center"/>
        <w:tblLook w:firstColumn="1" w:firstRow="1" w:lastColumn="0" w:lastRow="0" w:noHBand="0" w:noVBand="1" w:val="04A0"/>
        <w:bidiVisual w:val="1"/>
        <w:tblBorders>
          <w:top w:val="single" w:sz="5" w:color="B9CFE3"/>
          <w:left w:val="single" w:sz="5" w:color="B9CFE3"/>
          <w:bottom w:val="single" w:sz="5" w:color="B9CFE3"/>
          <w:right w:val="single" w:sz="5" w:color="B9CFE3"/>
          <w:insideH w:val="single" w:sz="5" w:color="B9CFE3"/>
          <w:insideV w:val="single" w:sz="5" w:color="B9CFE3"/>
        </w:tblBorders>
      </w:tblPr>
      <w:tblGrid>
        <w:gridCol w:w="10267"/>
      </w:tblGrid>
      <w:tr>
        <w:tc>
          <w:tcPr>
            <w:tcW w:type="dxa" w:w="10267"/>
            <w:shd w:fill="EEF4F9"/>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22"/>
                <w:rtl/>
              </w:rPr>
              <w:t>تقدم الآيات صورة مركزة لبداية الإنسان: مادة من الأرض، وتسوية مقصودة، ونفخة مكرمة، ثم ملكات للسمع والبصر والفؤاد. هذا التركيب لا يسمح بالغرور ولا بالاحتقار؛ فالإنسان لا يخلق قيمته بنفسه، ولا تختصر قيمته في مادته. كرامته من تقدير الله، ووظيفتها أن يحسن الاستماع والنظر والتمييز والشكر. ومن هنا تصبح معرفة الأصل بوابة لمعرفة الغاية: تواضع بلا مهانة، وكرامة بلا تأليه، وحرية مرتبطة بالمسؤولية.</w:t>
            </w:r>
          </w:p>
        </w:tc>
      </w:tr>
    </w:tbl>
    <w:p>
      <w:pPr>
        <w:spacing w:before="160" w:after="100" w:line="240" w:lineRule="auto"/>
        <w:jc w:val="right"/>
        <w:keepNext/>
        <w:bidi w:val="1"/>
      </w:pPr>
      <w:r>
        <w:rPr>
          <w:rFonts w:ascii="Noto Kufi Arabic" w:hAnsi="Noto Kufi Arabic" w:cs="Noto Kufi Arabic" w:eastAsia="Noto Kufi Arabic"/>
          <w:b/>
          <w:color w:val="1F4E79"/>
          <w:sz w:val="28"/>
          <w:rtl/>
        </w:rPr>
        <w:t>المرحلة | النص | التطبيق على الإنسان</w:t>
      </w:r>
    </w:p>
    <w:tbl>
      <w:tblPr>
        <w:tblW w:type="auto" w:w="0"/>
        <w:jc w:val="center"/>
        <w:tblLayout w:type="fixed"/>
        <w:tblLook w:firstColumn="1" w:firstRow="1" w:lastColumn="0" w:lastRow="0" w:noHBand="0" w:noVBand="1" w:val="04A0"/>
        <w:bidiVisual w:val="1"/>
        <w:tblBorders>
          <w:top w:val="single" w:sz="5" w:color="D1D5DB"/>
          <w:left w:val="single" w:sz="5" w:color="D1D5DB"/>
          <w:bottom w:val="single" w:sz="5" w:color="D1D5DB"/>
          <w:right w:val="single" w:sz="5" w:color="D1D5DB"/>
          <w:insideH w:val="single" w:sz="5" w:color="D1D5DB"/>
          <w:insideV w:val="single" w:sz="5" w:color="D1D5DB"/>
        </w:tblBorders>
      </w:tblPr>
      <w:tblGrid>
        <w:gridCol w:w="3422"/>
        <w:gridCol w:w="3422"/>
        <w:gridCol w:w="3422"/>
      </w:tblGrid>
      <w:tr>
        <w:trPr>
          <w:tblHeader w:val="true"/>
        </w:trPr>
        <w:tc>
          <w:tcPr>
            <w:tcW w:type="dxa" w:w="1944"/>
            <w:shd w:fill="1F4E79"/>
            <w:tcMar>
              <w:top w:w="80" w:type="dxa"/>
              <w:start w:w="100" w:type="dxa"/>
              <w:bottom w:w="80" w:type="dxa"/>
              <w:end w:w="100" w:type="dxa"/>
            </w:tcMar>
            <w:vAlign w:val="center"/>
          </w:tcPr>
          <w:p>
            <w:pPr>
              <w:spacing w:after="20" w:line="252" w:lineRule="auto"/>
              <w:jc w:val="center"/>
              <w:bidi w:val="1"/>
            </w:pPr>
            <w:r/>
            <w:r>
              <w:rPr>
                <w:rFonts w:ascii="Noto Kufi Arabic" w:hAnsi="Noto Kufi Arabic" w:cs="Noto Kufi Arabic" w:eastAsia="Noto Kufi Arabic"/>
                <w:b/>
                <w:color w:val="FFFFFF"/>
                <w:sz w:val="18"/>
                <w:rtl/>
              </w:rPr>
              <w:t>المرحلة</w:t>
            </w:r>
          </w:p>
        </w:tc>
        <w:tc>
          <w:tcPr>
            <w:tcW w:type="dxa" w:w="2952"/>
            <w:shd w:fill="1F4E79"/>
            <w:tcMar>
              <w:top w:w="80" w:type="dxa"/>
              <w:start w:w="100" w:type="dxa"/>
              <w:bottom w:w="80" w:type="dxa"/>
              <w:end w:w="100" w:type="dxa"/>
            </w:tcMar>
            <w:vAlign w:val="center"/>
          </w:tcPr>
          <w:p>
            <w:pPr>
              <w:spacing w:after="20" w:line="252" w:lineRule="auto"/>
              <w:jc w:val="center"/>
              <w:bidi w:val="1"/>
            </w:pPr>
            <w:r/>
            <w:r>
              <w:rPr>
                <w:rFonts w:ascii="Noto Kufi Arabic" w:hAnsi="Noto Kufi Arabic" w:cs="Noto Kufi Arabic" w:eastAsia="Noto Kufi Arabic"/>
                <w:b/>
                <w:color w:val="FFFFFF"/>
                <w:sz w:val="18"/>
                <w:rtl/>
              </w:rPr>
              <w:t>النص أو المعنى المحوري</w:t>
            </w:r>
          </w:p>
        </w:tc>
        <w:tc>
          <w:tcPr>
            <w:tcW w:type="dxa" w:w="5472"/>
            <w:shd w:fill="1F4E79"/>
            <w:tcMar>
              <w:top w:w="80" w:type="dxa"/>
              <w:start w:w="100" w:type="dxa"/>
              <w:bottom w:w="80" w:type="dxa"/>
              <w:end w:w="100" w:type="dxa"/>
            </w:tcMar>
            <w:vAlign w:val="center"/>
          </w:tcPr>
          <w:p>
            <w:pPr>
              <w:spacing w:after="20" w:line="252" w:lineRule="auto"/>
              <w:jc w:val="center"/>
              <w:bidi w:val="1"/>
            </w:pPr>
            <w:r/>
            <w:r>
              <w:rPr>
                <w:rFonts w:ascii="Noto Kufi Arabic" w:hAnsi="Noto Kufi Arabic" w:cs="Noto Kufi Arabic" w:eastAsia="Noto Kufi Arabic"/>
                <w:b/>
                <w:color w:val="FFFFFF"/>
                <w:sz w:val="18"/>
                <w:rtl/>
              </w:rPr>
              <w:t>التطبيق على الإنسان</w:t>
            </w:r>
          </w:p>
        </w:tc>
      </w:tr>
      <w:tr>
        <w:trPr/>
        <w:tc>
          <w:tcPr>
            <w:tcW w:type="dxa" w:w="1944"/>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الأصل</w:t>
            </w:r>
          </w:p>
        </w:tc>
        <w:tc>
          <w:tcPr>
            <w:tcW w:type="dxa" w:w="295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من طين</w:t>
            </w:r>
          </w:p>
        </w:tc>
        <w:tc>
          <w:tcPr>
            <w:tcW w:type="dxa" w:w="547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تذكر بساطة المادة كي لا تجعل الأصل أو العرق سببًا للتعالي.</w:t>
            </w:r>
          </w:p>
        </w:tc>
      </w:tr>
      <w:tr>
        <w:trPr/>
        <w:tc>
          <w:tcPr>
            <w:tcW w:type="dxa" w:w="1944"/>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التكوين</w:t>
            </w:r>
          </w:p>
        </w:tc>
        <w:tc>
          <w:tcPr>
            <w:tcW w:type="dxa" w:w="295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فإذا سويته</w:t>
            </w:r>
          </w:p>
        </w:tc>
        <w:tc>
          <w:tcPr>
            <w:tcW w:type="dxa" w:w="547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احترم القصد والتوازن في الإنسان وجسده وملكاته.</w:t>
            </w:r>
          </w:p>
        </w:tc>
      </w:tr>
      <w:tr>
        <w:trPr/>
        <w:tc>
          <w:tcPr>
            <w:tcW w:type="dxa" w:w="1944"/>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النفخة</w:t>
            </w:r>
          </w:p>
        </w:tc>
        <w:tc>
          <w:tcPr>
            <w:tcW w:type="dxa" w:w="295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نفخت فيه من روحي</w:t>
            </w:r>
          </w:p>
        </w:tc>
        <w:tc>
          <w:tcPr>
            <w:tcW w:type="dxa" w:w="547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افهم الكرامة هبة وتشريفًا لا مشاركة في الألوهية.</w:t>
            </w:r>
          </w:p>
        </w:tc>
      </w:tr>
      <w:tr>
        <w:trPr/>
        <w:tc>
          <w:tcPr>
            <w:tcW w:type="dxa" w:w="1944"/>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التكريم</w:t>
            </w:r>
          </w:p>
        </w:tc>
        <w:tc>
          <w:tcPr>
            <w:tcW w:type="dxa" w:w="295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فقعوا له ساجدين</w:t>
            </w:r>
          </w:p>
        </w:tc>
        <w:tc>
          <w:tcPr>
            <w:tcW w:type="dxa" w:w="547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انسب التكريم إلى أمر الله ولا تحوله إلى عبادة للذات.</w:t>
            </w:r>
          </w:p>
        </w:tc>
      </w:tr>
      <w:tr>
        <w:trPr/>
        <w:tc>
          <w:tcPr>
            <w:tcW w:type="dxa" w:w="1944"/>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الاستمرار</w:t>
            </w:r>
          </w:p>
        </w:tc>
        <w:tc>
          <w:tcPr>
            <w:tcW w:type="dxa" w:w="295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جعل نسله من سلالة</w:t>
            </w:r>
          </w:p>
        </w:tc>
        <w:tc>
          <w:tcPr>
            <w:tcW w:type="dxa" w:w="547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اعرف الفرق بين البداية الأولى ومسار النسل البشري.</w:t>
            </w:r>
          </w:p>
        </w:tc>
      </w:tr>
      <w:tr>
        <w:trPr/>
        <w:tc>
          <w:tcPr>
            <w:tcW w:type="dxa" w:w="1944"/>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الإدراك</w:t>
            </w:r>
          </w:p>
        </w:tc>
        <w:tc>
          <w:tcPr>
            <w:tcW w:type="dxa" w:w="295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السمع والأبصار والأفئدة</w:t>
            </w:r>
          </w:p>
        </w:tc>
        <w:tc>
          <w:tcPr>
            <w:tcW w:type="dxa" w:w="547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استخدم أدوات المعرفة في التحقق والتأمل والحكم.</w:t>
            </w:r>
          </w:p>
        </w:tc>
      </w:tr>
      <w:tr>
        <w:trPr/>
        <w:tc>
          <w:tcPr>
            <w:tcW w:type="dxa" w:w="1944"/>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المسؤولية</w:t>
            </w:r>
          </w:p>
        </w:tc>
        <w:tc>
          <w:tcPr>
            <w:tcW w:type="dxa" w:w="295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قليلًا ما تشكرون</w:t>
            </w:r>
          </w:p>
        </w:tc>
        <w:tc>
          <w:tcPr>
            <w:tcW w:type="dxa" w:w="547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قِس قيمة الملكة بما تنتجه من شكر وعمل صالح.</w:t>
            </w:r>
          </w:p>
        </w:tc>
      </w:tr>
      <w:tr>
        <w:trPr/>
        <w:tc>
          <w:tcPr>
            <w:tcW w:type="dxa" w:w="1944"/>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التواضع</w:t>
            </w:r>
          </w:p>
        </w:tc>
        <w:tc>
          <w:tcPr>
            <w:tcW w:type="dxa" w:w="295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من صلصال</w:t>
            </w:r>
          </w:p>
        </w:tc>
        <w:tc>
          <w:tcPr>
            <w:tcW w:type="dxa" w:w="547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لا تحتقر غيرك ولا تنس هشاشة الجسد.</w:t>
            </w:r>
          </w:p>
        </w:tc>
      </w:tr>
      <w:tr>
        <w:trPr/>
        <w:tc>
          <w:tcPr>
            <w:tcW w:type="dxa" w:w="1944"/>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الغاية</w:t>
            </w:r>
          </w:p>
        </w:tc>
        <w:tc>
          <w:tcPr>
            <w:tcW w:type="dxa" w:w="295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أحسن كل شيء خلقه</w:t>
            </w:r>
          </w:p>
        </w:tc>
        <w:tc>
          <w:tcPr>
            <w:tcW w:type="dxa" w:w="547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ابحث عن الوظيفة والانسجام بدل العبث والاختزال.</w:t>
            </w:r>
          </w:p>
        </w:tc>
      </w:tr>
      <w:tr>
        <w:trPr/>
        <w:tc>
          <w:tcPr>
            <w:tcW w:type="dxa" w:w="1944"/>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الهوية</w:t>
            </w:r>
          </w:p>
        </w:tc>
        <w:tc>
          <w:tcPr>
            <w:tcW w:type="dxa" w:w="295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بشرًا</w:t>
            </w:r>
          </w:p>
        </w:tc>
        <w:tc>
          <w:tcPr>
            <w:tcW w:type="dxa" w:w="547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ابنِ إنسانيتك على العبودية والكرامة والأمانة معًا.</w:t>
            </w:r>
          </w:p>
        </w:tc>
      </w:tr>
    </w:tbl>
    <w:p>
      <w:pPr>
        <w:spacing w:before="160" w:after="100" w:line="240" w:lineRule="auto"/>
        <w:jc w:val="right"/>
        <w:keepNext/>
        <w:bidi w:val="1"/>
      </w:pPr>
      <w:r>
        <w:rPr>
          <w:rFonts w:ascii="Noto Kufi Arabic" w:hAnsi="Noto Kufi Arabic" w:cs="Noto Kufi Arabic" w:eastAsia="Noto Kufi Arabic"/>
          <w:b/>
          <w:color w:val="1F4E79"/>
          <w:sz w:val="28"/>
          <w:rtl/>
        </w:rPr>
        <w:t>التطبيقات العملية</w:t>
      </w:r>
    </w:p>
    <w:tbl>
      <w:tblPr>
        <w:tblW w:type="auto" w:w="0"/>
        <w:jc w:val="center"/>
        <w:tblLayout w:type="fixed"/>
        <w:tblLook w:firstColumn="1" w:firstRow="1" w:lastColumn="0" w:lastRow="0" w:noHBand="0" w:noVBand="1" w:val="04A0"/>
        <w:bidiVisual w:val="1"/>
        <w:tblBorders>
          <w:top w:val="single" w:sz="5" w:color="D1D5DB"/>
          <w:left w:val="single" w:sz="5" w:color="D1D5DB"/>
          <w:bottom w:val="single" w:sz="5" w:color="D1D5DB"/>
          <w:right w:val="single" w:sz="5" w:color="D1D5DB"/>
          <w:insideH w:val="single" w:sz="5" w:color="D1D5DB"/>
          <w:insideV w:val="single" w:sz="5" w:color="D1D5DB"/>
        </w:tblBorders>
      </w:tblPr>
      <w:tblGrid>
        <w:gridCol w:w="5133"/>
        <w:gridCol w:w="5133"/>
      </w:tblGrid>
      <w:tr>
        <w:trPr>
          <w:tblHeader w:val="true"/>
        </w:trPr>
        <w:tc>
          <w:tcPr>
            <w:tcW w:type="dxa" w:w="2232"/>
            <w:shd w:fill="1F4E79"/>
            <w:tcMar>
              <w:top w:w="80" w:type="dxa"/>
              <w:start w:w="100" w:type="dxa"/>
              <w:bottom w:w="80" w:type="dxa"/>
              <w:end w:w="100" w:type="dxa"/>
            </w:tcMar>
            <w:vAlign w:val="center"/>
          </w:tcPr>
          <w:p>
            <w:pPr>
              <w:spacing w:after="20" w:line="252" w:lineRule="auto"/>
              <w:jc w:val="center"/>
              <w:bidi w:val="1"/>
            </w:pPr>
            <w:r/>
            <w:r>
              <w:rPr>
                <w:rFonts w:ascii="Noto Kufi Arabic" w:hAnsi="Noto Kufi Arabic" w:cs="Noto Kufi Arabic" w:eastAsia="Noto Kufi Arabic"/>
                <w:b/>
                <w:color w:val="FFFFFF"/>
                <w:sz w:val="18"/>
                <w:rtl/>
              </w:rPr>
              <w:t>المجال</w:t>
            </w:r>
          </w:p>
        </w:tc>
        <w:tc>
          <w:tcPr>
            <w:tcW w:type="dxa" w:w="8136"/>
            <w:shd w:fill="1F4E79"/>
            <w:tcMar>
              <w:top w:w="80" w:type="dxa"/>
              <w:start w:w="100" w:type="dxa"/>
              <w:bottom w:w="80" w:type="dxa"/>
              <w:end w:w="100" w:type="dxa"/>
            </w:tcMar>
            <w:vAlign w:val="center"/>
          </w:tcPr>
          <w:p>
            <w:pPr>
              <w:spacing w:after="20" w:line="252" w:lineRule="auto"/>
              <w:jc w:val="center"/>
              <w:bidi w:val="1"/>
            </w:pPr>
            <w:r/>
            <w:r>
              <w:rPr>
                <w:rFonts w:ascii="Noto Kufi Arabic" w:hAnsi="Noto Kufi Arabic" w:cs="Noto Kufi Arabic" w:eastAsia="Noto Kufi Arabic"/>
                <w:b/>
                <w:color w:val="FFFFFF"/>
                <w:sz w:val="18"/>
                <w:rtl/>
              </w:rPr>
              <w:t>التطبيق</w:t>
            </w:r>
          </w:p>
        </w:tc>
      </w:tr>
      <w:tr>
        <w:trPr/>
        <w:tc>
          <w:tcPr>
            <w:tcW w:type="dxa" w:w="223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الحياة الشخصية</w:t>
            </w:r>
          </w:p>
        </w:tc>
        <w:tc>
          <w:tcPr>
            <w:tcW w:type="dxa" w:w="8136"/>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وازن بين احترام ذاتك وتذكر أن قدراتك هبات تحتاج شكرًا وتزكية.</w:t>
            </w:r>
          </w:p>
        </w:tc>
      </w:tr>
      <w:tr>
        <w:trPr/>
        <w:tc>
          <w:tcPr>
            <w:tcW w:type="dxa" w:w="223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الأسرة</w:t>
            </w:r>
          </w:p>
        </w:tc>
        <w:tc>
          <w:tcPr>
            <w:tcW w:type="dxa" w:w="8136"/>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ربِّ الأبناء على كرامة الجسد والعقل والروح دون تضخيم الذات أو تحقيرها.</w:t>
            </w:r>
          </w:p>
        </w:tc>
      </w:tr>
      <w:tr>
        <w:trPr/>
        <w:tc>
          <w:tcPr>
            <w:tcW w:type="dxa" w:w="223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القيادة</w:t>
            </w:r>
          </w:p>
        </w:tc>
        <w:tc>
          <w:tcPr>
            <w:tcW w:type="dxa" w:w="8136"/>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عامل العاملين كبشر ذوي معنى واختيار، لا كموارد قابلة للاستبدال فقط.</w:t>
            </w:r>
          </w:p>
        </w:tc>
      </w:tr>
      <w:tr>
        <w:trPr/>
        <w:tc>
          <w:tcPr>
            <w:tcW w:type="dxa" w:w="223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الإدارة</w:t>
            </w:r>
          </w:p>
        </w:tc>
        <w:tc>
          <w:tcPr>
            <w:tcW w:type="dxa" w:w="8136"/>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صمم الأنظمة بما يراعي القدرة الإدراكية والنفسية والأخلاقية للإنسان.</w:t>
            </w:r>
          </w:p>
        </w:tc>
      </w:tr>
      <w:tr>
        <w:trPr/>
        <w:tc>
          <w:tcPr>
            <w:tcW w:type="dxa" w:w="223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أخلاقيات العمل</w:t>
            </w:r>
          </w:p>
        </w:tc>
        <w:tc>
          <w:tcPr>
            <w:tcW w:type="dxa" w:w="8136"/>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ارفض التمييز على أساس الأصل أو اللون أو الطبقة؛ المادة الأولى واحدة والكرامة من الله.</w:t>
            </w:r>
          </w:p>
        </w:tc>
      </w:tr>
      <w:tr>
        <w:trPr/>
        <w:tc>
          <w:tcPr>
            <w:tcW w:type="dxa" w:w="223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المجتمع</w:t>
            </w:r>
          </w:p>
        </w:tc>
        <w:tc>
          <w:tcPr>
            <w:tcW w:type="dxa" w:w="8136"/>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اجعل حقوق الإنسان مرتبطة بالكرامة والمسؤولية، لا بالفائدة الاقتصادية وحدها.</w:t>
            </w:r>
          </w:p>
        </w:tc>
      </w:tr>
      <w:tr>
        <w:trPr/>
        <w:tc>
          <w:tcPr>
            <w:tcW w:type="dxa" w:w="223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الدعوة</w:t>
            </w:r>
          </w:p>
        </w:tc>
        <w:tc>
          <w:tcPr>
            <w:tcW w:type="dxa" w:w="8136"/>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قدم التوحيد بوصفه تحريرًا من تأليه المادة وتأليه الإنسان في آن واحد.</w:t>
            </w:r>
          </w:p>
        </w:tc>
      </w:tr>
      <w:tr>
        <w:trPr/>
        <w:tc>
          <w:tcPr>
            <w:tcW w:type="dxa" w:w="223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8"/>
                <w:rtl/>
              </w:rPr>
              <w:t>التعليم</w:t>
            </w:r>
          </w:p>
        </w:tc>
        <w:tc>
          <w:tcPr>
            <w:tcW w:type="dxa" w:w="8136"/>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8"/>
                <w:rtl/>
              </w:rPr>
              <w:t>اربط العلوم المتعلقة بالجسد والحياة بسؤال الغاية والشكر وحدود المعرفة.</w:t>
            </w:r>
          </w:p>
        </w:tc>
      </w:tr>
    </w:tbl>
    <w:p>
      <w:pPr>
        <w:spacing w:before="160" w:after="100" w:line="240" w:lineRule="auto"/>
        <w:jc w:val="right"/>
        <w:keepNext/>
        <w:bidi w:val="1"/>
      </w:pPr>
      <w:r>
        <w:rPr>
          <w:rFonts w:ascii="Noto Kufi Arabic" w:hAnsi="Noto Kufi Arabic" w:cs="Noto Kufi Arabic" w:eastAsia="Noto Kufi Arabic"/>
          <w:b/>
          <w:color w:val="1F4E79"/>
          <w:sz w:val="28"/>
          <w:rtl/>
        </w:rPr>
        <w:t>ضوابط الفهم والاستنباط</w:t>
      </w:r>
    </w:p>
    <w:p>
      <w:pPr>
        <w:spacing w:after="60" w:line="276" w:lineRule="auto"/>
        <w:jc w:val="both"/>
        <w:bidi w:val="1"/>
      </w:pPr>
      <w:r>
        <w:rPr>
          <w:rFonts w:ascii="Noto Naskh Arabic" w:hAnsi="Noto Naskh Arabic" w:cs="Noto Naskh Arabic" w:eastAsia="Noto Naskh Arabic"/>
          <w:b/>
          <w:color w:val="B8860B"/>
          <w:sz w:val="21"/>
          <w:rtl/>
        </w:rPr>
        <w:t xml:space="preserve">• </w:t>
      </w:r>
      <w:r>
        <w:rPr>
          <w:rFonts w:ascii="Noto Naskh Arabic" w:hAnsi="Noto Naskh Arabic" w:cs="Noto Naskh Arabic" w:eastAsia="Noto Naskh Arabic"/>
          <w:b w:val="0"/>
          <w:color w:val="1F2937"/>
          <w:sz w:val="21"/>
          <w:rtl/>
        </w:rPr>
        <w:t>الروح في قوله من روحي مخلوقة مضافة إلى الله إضافة تشريف، ولا يجوز فهمها جزءًا من ذات الله أو دليلًا على الحلول والاتحاد.</w:t>
      </w:r>
    </w:p>
    <w:p>
      <w:pPr>
        <w:spacing w:after="60" w:line="276" w:lineRule="auto"/>
        <w:jc w:val="both"/>
        <w:bidi w:val="1"/>
      </w:pPr>
      <w:r>
        <w:rPr>
          <w:rFonts w:ascii="Noto Naskh Arabic" w:hAnsi="Noto Naskh Arabic" w:cs="Noto Naskh Arabic" w:eastAsia="Noto Naskh Arabic"/>
          <w:b/>
          <w:color w:val="B8860B"/>
          <w:sz w:val="21"/>
          <w:rtl/>
        </w:rPr>
        <w:t xml:space="preserve">• </w:t>
      </w:r>
      <w:r>
        <w:rPr>
          <w:rFonts w:ascii="Noto Naskh Arabic" w:hAnsi="Noto Naskh Arabic" w:cs="Noto Naskh Arabic" w:eastAsia="Noto Naskh Arabic"/>
          <w:b w:val="0"/>
          <w:color w:val="1F2937"/>
          <w:sz w:val="21"/>
          <w:rtl/>
        </w:rPr>
        <w:t>الآيات لا تقدم جدولًا زمنيًا تفصيليًا لمراحل الخلق الأول، فلا تُحمّل نظرية علمية بعينها على الألفاظ بوصفها المعنى القطعي.</w:t>
      </w:r>
    </w:p>
    <w:p>
      <w:pPr>
        <w:spacing w:after="60" w:line="276" w:lineRule="auto"/>
        <w:jc w:val="both"/>
        <w:bidi w:val="1"/>
      </w:pPr>
      <w:r>
        <w:rPr>
          <w:rFonts w:ascii="Noto Naskh Arabic" w:hAnsi="Noto Naskh Arabic" w:cs="Noto Naskh Arabic" w:eastAsia="Noto Naskh Arabic"/>
          <w:b/>
          <w:color w:val="B8860B"/>
          <w:sz w:val="21"/>
          <w:rtl/>
        </w:rPr>
        <w:t xml:space="preserve">• </w:t>
      </w:r>
      <w:r>
        <w:rPr>
          <w:rFonts w:ascii="Noto Naskh Arabic" w:hAnsi="Noto Naskh Arabic" w:cs="Noto Naskh Arabic" w:eastAsia="Noto Naskh Arabic"/>
          <w:b w:val="0"/>
          <w:color w:val="1F2937"/>
          <w:sz w:val="21"/>
          <w:rtl/>
        </w:rPr>
        <w:t>سجود الملائكة كان بأمر الله تكريمًا لآدم، وليس عبادة للإنسان ولا أساسًا لتأليه النوع البشري.</w:t>
      </w:r>
    </w:p>
    <w:p>
      <w:pPr>
        <w:spacing w:after="60" w:line="276" w:lineRule="auto"/>
        <w:jc w:val="both"/>
        <w:bidi w:val="1"/>
      </w:pPr>
      <w:r>
        <w:rPr>
          <w:rFonts w:ascii="Noto Naskh Arabic" w:hAnsi="Noto Naskh Arabic" w:cs="Noto Naskh Arabic" w:eastAsia="Noto Naskh Arabic"/>
          <w:b/>
          <w:color w:val="B8860B"/>
          <w:sz w:val="21"/>
          <w:rtl/>
        </w:rPr>
        <w:t xml:space="preserve">• </w:t>
      </w:r>
      <w:r>
        <w:rPr>
          <w:rFonts w:ascii="Noto Naskh Arabic" w:hAnsi="Noto Naskh Arabic" w:cs="Noto Naskh Arabic" w:eastAsia="Noto Naskh Arabic"/>
          <w:b w:val="0"/>
          <w:color w:val="1F2937"/>
          <w:sz w:val="21"/>
          <w:rtl/>
        </w:rPr>
        <w:t>ذكر الطين والماء المهين لا يبرر احتقار الجسد؛ السياق نفسه يقرن الأصل بالإحسان والتسوية والنفخة والملكات.</w:t>
      </w:r>
    </w:p>
    <w:p>
      <w:pPr>
        <w:spacing w:after="60" w:line="276" w:lineRule="auto"/>
        <w:jc w:val="both"/>
        <w:bidi w:val="1"/>
      </w:pPr>
      <w:r>
        <w:rPr>
          <w:rFonts w:ascii="Noto Naskh Arabic" w:hAnsi="Noto Naskh Arabic" w:cs="Noto Naskh Arabic" w:eastAsia="Noto Naskh Arabic"/>
          <w:b/>
          <w:color w:val="B8860B"/>
          <w:sz w:val="21"/>
          <w:rtl/>
        </w:rPr>
        <w:t xml:space="preserve">• </w:t>
      </w:r>
      <w:r>
        <w:rPr>
          <w:rFonts w:ascii="Noto Naskh Arabic" w:hAnsi="Noto Naskh Arabic" w:cs="Noto Naskh Arabic" w:eastAsia="Noto Naskh Arabic"/>
          <w:b w:val="0"/>
          <w:color w:val="1F2937"/>
          <w:sz w:val="21"/>
          <w:rtl/>
        </w:rPr>
        <w:t>التحليل النفسي والإداري تطبيق معاصر، بينما المحور الأصلي عقدي: الخلق، والقدرة، والكرامة، والشكر، والعبودية.</w:t>
      </w:r>
    </w:p>
    <w:p>
      <w:pPr>
        <w:spacing w:before="160" w:after="100" w:line="240" w:lineRule="auto"/>
        <w:jc w:val="right"/>
        <w:keepNext/>
        <w:bidi w:val="1"/>
      </w:pPr>
      <w:r>
        <w:rPr>
          <w:rFonts w:ascii="Noto Kufi Arabic" w:hAnsi="Noto Kufi Arabic" w:cs="Noto Kufi Arabic" w:eastAsia="Noto Kufi Arabic"/>
          <w:b/>
          <w:color w:val="1F4E79"/>
          <w:sz w:val="28"/>
          <w:rtl/>
        </w:rPr>
        <w:t>تقرير ضبط الجودة</w:t>
      </w:r>
    </w:p>
    <w:tbl>
      <w:tblPr>
        <w:tblW w:type="auto" w:w="0"/>
        <w:jc w:val="center"/>
        <w:tblLayout w:type="fixed"/>
        <w:tblLook w:firstColumn="1" w:firstRow="1" w:lastColumn="0" w:lastRow="0" w:noHBand="0" w:noVBand="1" w:val="04A0"/>
        <w:bidiVisual w:val="1"/>
        <w:tblBorders>
          <w:top w:val="single" w:sz="5" w:color="D1D5DB"/>
          <w:left w:val="single" w:sz="5" w:color="D1D5DB"/>
          <w:bottom w:val="single" w:sz="5" w:color="D1D5DB"/>
          <w:right w:val="single" w:sz="5" w:color="D1D5DB"/>
          <w:insideH w:val="single" w:sz="5" w:color="D1D5DB"/>
          <w:insideV w:val="single" w:sz="5" w:color="D1D5DB"/>
        </w:tblBorders>
      </w:tblPr>
      <w:tblGrid>
        <w:gridCol w:w="2053"/>
        <w:gridCol w:w="2053"/>
        <w:gridCol w:w="2053"/>
        <w:gridCol w:w="2053"/>
        <w:gridCol w:w="2053"/>
      </w:tblGrid>
      <w:tr>
        <w:trPr>
          <w:tblHeader w:val="true"/>
        </w:trPr>
        <w:tc>
          <w:tcPr>
            <w:tcW w:type="dxa" w:w="1512"/>
            <w:shd w:fill="1F4E79"/>
            <w:tcMar>
              <w:top w:w="80" w:type="dxa"/>
              <w:start w:w="100" w:type="dxa"/>
              <w:bottom w:w="80" w:type="dxa"/>
              <w:end w:w="100" w:type="dxa"/>
            </w:tcMar>
            <w:vAlign w:val="center"/>
          </w:tcPr>
          <w:p>
            <w:pPr>
              <w:spacing w:after="20" w:line="252" w:lineRule="auto"/>
              <w:jc w:val="center"/>
              <w:bidi w:val="1"/>
            </w:pPr>
            <w:r/>
            <w:r>
              <w:rPr>
                <w:rFonts w:ascii="Noto Kufi Arabic" w:hAnsi="Noto Kufi Arabic" w:cs="Noto Kufi Arabic" w:eastAsia="Noto Kufi Arabic"/>
                <w:b/>
                <w:color w:val="FFFFFF"/>
                <w:sz w:val="18"/>
                <w:rtl/>
              </w:rPr>
              <w:t>المراجعة</w:t>
            </w:r>
          </w:p>
        </w:tc>
        <w:tc>
          <w:tcPr>
            <w:tcW w:type="dxa" w:w="1800"/>
            <w:shd w:fill="1F4E79"/>
            <w:tcMar>
              <w:top w:w="80" w:type="dxa"/>
              <w:start w:w="100" w:type="dxa"/>
              <w:bottom w:w="80" w:type="dxa"/>
              <w:end w:w="100" w:type="dxa"/>
            </w:tcMar>
            <w:vAlign w:val="center"/>
          </w:tcPr>
          <w:p>
            <w:pPr>
              <w:spacing w:after="20" w:line="252" w:lineRule="auto"/>
              <w:jc w:val="center"/>
              <w:bidi w:val="1"/>
            </w:pPr>
            <w:r/>
            <w:r>
              <w:rPr>
                <w:rFonts w:ascii="Noto Kufi Arabic" w:hAnsi="Noto Kufi Arabic" w:cs="Noto Kufi Arabic" w:eastAsia="Noto Kufi Arabic"/>
                <w:b/>
                <w:color w:val="FFFFFF"/>
                <w:sz w:val="18"/>
                <w:rtl/>
              </w:rPr>
              <w:t>المعيار</w:t>
            </w:r>
          </w:p>
        </w:tc>
        <w:tc>
          <w:tcPr>
            <w:tcW w:type="dxa" w:w="1080"/>
            <w:shd w:fill="1F4E79"/>
            <w:tcMar>
              <w:top w:w="80" w:type="dxa"/>
              <w:start w:w="100" w:type="dxa"/>
              <w:bottom w:w="80" w:type="dxa"/>
              <w:end w:w="100" w:type="dxa"/>
            </w:tcMar>
            <w:vAlign w:val="center"/>
          </w:tcPr>
          <w:p>
            <w:pPr>
              <w:spacing w:after="20" w:line="252" w:lineRule="auto"/>
              <w:jc w:val="center"/>
              <w:bidi w:val="1"/>
            </w:pPr>
            <w:r/>
            <w:r>
              <w:rPr>
                <w:rFonts w:ascii="Noto Kufi Arabic" w:hAnsi="Noto Kufi Arabic" w:cs="Noto Kufi Arabic" w:eastAsia="Noto Kufi Arabic"/>
                <w:b/>
                <w:color w:val="FFFFFF"/>
                <w:sz w:val="18"/>
                <w:rtl/>
              </w:rPr>
              <w:t>الإنجاز</w:t>
            </w:r>
          </w:p>
        </w:tc>
        <w:tc>
          <w:tcPr>
            <w:tcW w:type="dxa" w:w="4104"/>
            <w:shd w:fill="1F4E79"/>
            <w:tcMar>
              <w:top w:w="80" w:type="dxa"/>
              <w:start w:w="100" w:type="dxa"/>
              <w:bottom w:w="80" w:type="dxa"/>
              <w:end w:w="100" w:type="dxa"/>
            </w:tcMar>
            <w:vAlign w:val="center"/>
          </w:tcPr>
          <w:p>
            <w:pPr>
              <w:spacing w:after="20" w:line="252" w:lineRule="auto"/>
              <w:jc w:val="center"/>
              <w:bidi w:val="1"/>
            </w:pPr>
            <w:r/>
            <w:r>
              <w:rPr>
                <w:rFonts w:ascii="Noto Kufi Arabic" w:hAnsi="Noto Kufi Arabic" w:cs="Noto Kufi Arabic" w:eastAsia="Noto Kufi Arabic"/>
                <w:b/>
                <w:color w:val="FFFFFF"/>
                <w:sz w:val="18"/>
                <w:rtl/>
              </w:rPr>
              <w:t>لماذا لم يصل إلى 100%؟</w:t>
            </w:r>
          </w:p>
        </w:tc>
        <w:tc>
          <w:tcPr>
            <w:tcW w:type="dxa" w:w="2088"/>
            <w:shd w:fill="1F4E79"/>
            <w:tcMar>
              <w:top w:w="80" w:type="dxa"/>
              <w:start w:w="100" w:type="dxa"/>
              <w:bottom w:w="80" w:type="dxa"/>
              <w:end w:w="100" w:type="dxa"/>
            </w:tcMar>
            <w:vAlign w:val="center"/>
          </w:tcPr>
          <w:p>
            <w:pPr>
              <w:spacing w:after="20" w:line="252" w:lineRule="auto"/>
              <w:jc w:val="center"/>
              <w:bidi w:val="1"/>
            </w:pPr>
            <w:r/>
            <w:r>
              <w:rPr>
                <w:rFonts w:ascii="Noto Kufi Arabic" w:hAnsi="Noto Kufi Arabic" w:cs="Noto Kufi Arabic" w:eastAsia="Noto Kufi Arabic"/>
                <w:b/>
                <w:color w:val="FFFFFF"/>
                <w:sz w:val="18"/>
                <w:rtl/>
              </w:rPr>
              <w:t>الإجراء المتبقي</w:t>
            </w:r>
          </w:p>
        </w:tc>
      </w:tr>
      <w:tr>
        <w:trPr/>
        <w:tc>
          <w:tcPr>
            <w:tcW w:type="dxa" w:w="151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5"/>
                <w:rtl/>
              </w:rPr>
              <w:t>المراجعة 1</w:t>
            </w:r>
          </w:p>
        </w:tc>
        <w:tc>
          <w:tcPr>
            <w:tcW w:type="dxa" w:w="1800"/>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الدقة القرآنية</w:t>
            </w:r>
          </w:p>
        </w:tc>
        <w:tc>
          <w:tcPr>
            <w:tcW w:type="dxa" w:w="1080"/>
            <w:shd w:fill="F7FAFD"/>
            <w:tcMar>
              <w:top w:w="80" w:type="dxa"/>
              <w:start w:w="100" w:type="dxa"/>
              <w:bottom w:w="80" w:type="dxa"/>
              <w:end w:w="100" w:type="dxa"/>
            </w:tcMar>
            <w:vAlign w:val="center"/>
          </w:tcPr>
          <w:p>
            <w:pPr>
              <w:spacing w:after="20" w:line="252" w:lineRule="auto"/>
              <w:jc w:val="center"/>
              <w:bidi w:val="1"/>
            </w:pPr>
            <w:r/>
            <w:r>
              <w:rPr>
                <w:rFonts w:ascii="Noto Naskh Arabic" w:hAnsi="Noto Naskh Arabic" w:cs="Noto Naskh Arabic" w:eastAsia="Noto Naskh Arabic"/>
                <w:b w:val="0"/>
                <w:color w:val="1F2937"/>
                <w:sz w:val="15"/>
                <w:rtl/>
              </w:rPr>
              <w:t>99.4%</w:t>
            </w:r>
          </w:p>
        </w:tc>
        <w:tc>
          <w:tcPr>
            <w:tcW w:type="dxa" w:w="4104"/>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تمت مطابقة المقاطع الثلاثة آليًا، ويبقى التدقيق المصحفي البشري النهائي.</w:t>
            </w:r>
          </w:p>
        </w:tc>
        <w:tc>
          <w:tcPr>
            <w:tcW w:type="dxa" w:w="2088"/>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مراجعة مصحفية نهائية.</w:t>
            </w:r>
          </w:p>
        </w:tc>
      </w:tr>
      <w:tr>
        <w:trPr/>
        <w:tc>
          <w:tcPr>
            <w:tcW w:type="dxa" w:w="151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5"/>
                <w:rtl/>
              </w:rPr>
              <w:t>المراجعة 2</w:t>
            </w:r>
          </w:p>
        </w:tc>
        <w:tc>
          <w:tcPr>
            <w:tcW w:type="dxa" w:w="1800"/>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اتساق التفسير</w:t>
            </w:r>
          </w:p>
        </w:tc>
        <w:tc>
          <w:tcPr>
            <w:tcW w:type="dxa" w:w="1080"/>
            <w:shd w:fill="FFFFFF"/>
            <w:tcMar>
              <w:top w:w="80" w:type="dxa"/>
              <w:start w:w="100" w:type="dxa"/>
              <w:bottom w:w="80" w:type="dxa"/>
              <w:end w:w="100" w:type="dxa"/>
            </w:tcMar>
            <w:vAlign w:val="center"/>
          </w:tcPr>
          <w:p>
            <w:pPr>
              <w:spacing w:after="20" w:line="252" w:lineRule="auto"/>
              <w:jc w:val="center"/>
              <w:bidi w:val="1"/>
            </w:pPr>
            <w:r/>
            <w:r>
              <w:rPr>
                <w:rFonts w:ascii="Noto Naskh Arabic" w:hAnsi="Noto Naskh Arabic" w:cs="Noto Naskh Arabic" w:eastAsia="Noto Naskh Arabic"/>
                <w:b w:val="0"/>
                <w:color w:val="1F2937"/>
                <w:sz w:val="15"/>
                <w:rtl/>
              </w:rPr>
              <w:t>97.8%</w:t>
            </w:r>
          </w:p>
        </w:tc>
        <w:tc>
          <w:tcPr>
            <w:tcW w:type="dxa" w:w="4104"/>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الموضوع يتصل بمسائل عقدية وعلمية حساسة، فصيغت الحدود بوضوح وتبقى مراجعة متخصص في العقيدة والتفسير.</w:t>
            </w:r>
          </w:p>
        </w:tc>
        <w:tc>
          <w:tcPr>
            <w:tcW w:type="dxa" w:w="2088"/>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اعتماد شرعي متخصص.</w:t>
            </w:r>
          </w:p>
        </w:tc>
      </w:tr>
      <w:tr>
        <w:trPr/>
        <w:tc>
          <w:tcPr>
            <w:tcW w:type="dxa" w:w="151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5"/>
                <w:rtl/>
              </w:rPr>
              <w:t>المراجعة 3</w:t>
            </w:r>
          </w:p>
        </w:tc>
        <w:tc>
          <w:tcPr>
            <w:tcW w:type="dxa" w:w="1800"/>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تدفق القصة</w:t>
            </w:r>
          </w:p>
        </w:tc>
        <w:tc>
          <w:tcPr>
            <w:tcW w:type="dxa" w:w="1080"/>
            <w:shd w:fill="F7FAFD"/>
            <w:tcMar>
              <w:top w:w="80" w:type="dxa"/>
              <w:start w:w="100" w:type="dxa"/>
              <w:bottom w:w="80" w:type="dxa"/>
              <w:end w:w="100" w:type="dxa"/>
            </w:tcMar>
            <w:vAlign w:val="center"/>
          </w:tcPr>
          <w:p>
            <w:pPr>
              <w:spacing w:after="20" w:line="252" w:lineRule="auto"/>
              <w:jc w:val="center"/>
              <w:bidi w:val="1"/>
            </w:pPr>
            <w:r/>
            <w:r>
              <w:rPr>
                <w:rFonts w:ascii="Noto Naskh Arabic" w:hAnsi="Noto Naskh Arabic" w:cs="Noto Naskh Arabic" w:eastAsia="Noto Naskh Arabic"/>
                <w:b w:val="0"/>
                <w:color w:val="1F2937"/>
                <w:sz w:val="15"/>
                <w:rtl/>
              </w:rPr>
              <w:t>99.2%</w:t>
            </w:r>
          </w:p>
        </w:tc>
        <w:tc>
          <w:tcPr>
            <w:tcW w:type="dxa" w:w="4104"/>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الملف حركة دلالية بين مواضع متعددة لا قصة زمنية كاملة، وقد تحتاج النسخة الجامعة توضيح هذا الفرق في المقدمة.</w:t>
            </w:r>
          </w:p>
        </w:tc>
        <w:tc>
          <w:tcPr>
            <w:tcW w:type="dxa" w:w="2088"/>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مراجعة مقدمة السلسلة.</w:t>
            </w:r>
          </w:p>
        </w:tc>
      </w:tr>
      <w:tr>
        <w:trPr/>
        <w:tc>
          <w:tcPr>
            <w:tcW w:type="dxa" w:w="151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5"/>
                <w:rtl/>
              </w:rPr>
              <w:t>المراجعة 4</w:t>
            </w:r>
          </w:p>
        </w:tc>
        <w:tc>
          <w:tcPr>
            <w:tcW w:type="dxa" w:w="1800"/>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منطق قصة إبليس</w:t>
            </w:r>
          </w:p>
        </w:tc>
        <w:tc>
          <w:tcPr>
            <w:tcW w:type="dxa" w:w="1080"/>
            <w:shd w:fill="FFFFFF"/>
            <w:tcMar>
              <w:top w:w="80" w:type="dxa"/>
              <w:start w:w="100" w:type="dxa"/>
              <w:bottom w:w="80" w:type="dxa"/>
              <w:end w:w="100" w:type="dxa"/>
            </w:tcMar>
            <w:vAlign w:val="center"/>
          </w:tcPr>
          <w:p>
            <w:pPr>
              <w:spacing w:after="20" w:line="252" w:lineRule="auto"/>
              <w:jc w:val="center"/>
              <w:bidi w:val="1"/>
            </w:pPr>
            <w:r/>
            <w:r>
              <w:rPr>
                <w:rFonts w:ascii="Noto Naskh Arabic" w:hAnsi="Noto Naskh Arabic" w:cs="Noto Naskh Arabic" w:eastAsia="Noto Naskh Arabic"/>
                <w:b w:val="0"/>
                <w:color w:val="1F2937"/>
                <w:sz w:val="15"/>
                <w:rtl/>
              </w:rPr>
              <w:t>99.1%</w:t>
            </w:r>
          </w:p>
        </w:tc>
        <w:tc>
          <w:tcPr>
            <w:tcW w:type="dxa" w:w="4104"/>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طُبق منطق الأصل والتصور والقرار والمسؤولية، لكن الموضوع تأسيسي أكثر من كونه صراعًا سرديًا.</w:t>
            </w:r>
          </w:p>
        </w:tc>
        <w:tc>
          <w:tcPr>
            <w:tcW w:type="dxa" w:w="2088"/>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مراجعة مرونة القالب.</w:t>
            </w:r>
          </w:p>
        </w:tc>
      </w:tr>
      <w:tr>
        <w:trPr/>
        <w:tc>
          <w:tcPr>
            <w:tcW w:type="dxa" w:w="151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5"/>
                <w:rtl/>
              </w:rPr>
              <w:t>المراجعة 5</w:t>
            </w:r>
          </w:p>
        </w:tc>
        <w:tc>
          <w:tcPr>
            <w:tcW w:type="dxa" w:w="1800"/>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الصقل اللغوي</w:t>
            </w:r>
          </w:p>
        </w:tc>
        <w:tc>
          <w:tcPr>
            <w:tcW w:type="dxa" w:w="1080"/>
            <w:shd w:fill="F7FAFD"/>
            <w:tcMar>
              <w:top w:w="80" w:type="dxa"/>
              <w:start w:w="100" w:type="dxa"/>
              <w:bottom w:w="80" w:type="dxa"/>
              <w:end w:w="100" w:type="dxa"/>
            </w:tcMar>
            <w:vAlign w:val="center"/>
          </w:tcPr>
          <w:p>
            <w:pPr>
              <w:spacing w:after="20" w:line="252" w:lineRule="auto"/>
              <w:jc w:val="center"/>
              <w:bidi w:val="1"/>
            </w:pPr>
            <w:r/>
            <w:r>
              <w:rPr>
                <w:rFonts w:ascii="Noto Naskh Arabic" w:hAnsi="Noto Naskh Arabic" w:cs="Noto Naskh Arabic" w:eastAsia="Noto Naskh Arabic"/>
                <w:b w:val="0"/>
                <w:color w:val="1F2937"/>
                <w:sz w:val="15"/>
                <w:rtl/>
              </w:rPr>
              <w:t>99.0%</w:t>
            </w:r>
          </w:p>
        </w:tc>
        <w:tc>
          <w:tcPr>
            <w:tcW w:type="dxa" w:w="4104"/>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تم الصقل في دورتين، وتبقى المصطلحات العقدية قابلة لتدقيق أدق من متخصص.</w:t>
            </w:r>
          </w:p>
        </w:tc>
        <w:tc>
          <w:tcPr>
            <w:tcW w:type="dxa" w:w="2088"/>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تدقيق لغوي عقدي.</w:t>
            </w:r>
          </w:p>
        </w:tc>
      </w:tr>
      <w:tr>
        <w:trPr/>
        <w:tc>
          <w:tcPr>
            <w:tcW w:type="dxa" w:w="1512"/>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5"/>
                <w:rtl/>
              </w:rPr>
              <w:t>المراجعة 6</w:t>
            </w:r>
          </w:p>
        </w:tc>
        <w:tc>
          <w:tcPr>
            <w:tcW w:type="dxa" w:w="1800"/>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اتساق إطار المشروع</w:t>
            </w:r>
          </w:p>
        </w:tc>
        <w:tc>
          <w:tcPr>
            <w:tcW w:type="dxa" w:w="1080"/>
            <w:shd w:fill="FFFFFF"/>
            <w:tcMar>
              <w:top w:w="80" w:type="dxa"/>
              <w:start w:w="100" w:type="dxa"/>
              <w:bottom w:w="80" w:type="dxa"/>
              <w:end w:w="100" w:type="dxa"/>
            </w:tcMar>
            <w:vAlign w:val="center"/>
          </w:tcPr>
          <w:p>
            <w:pPr>
              <w:spacing w:after="20" w:line="252" w:lineRule="auto"/>
              <w:jc w:val="center"/>
              <w:bidi w:val="1"/>
            </w:pPr>
            <w:r/>
            <w:r>
              <w:rPr>
                <w:rFonts w:ascii="Noto Naskh Arabic" w:hAnsi="Noto Naskh Arabic" w:cs="Noto Naskh Arabic" w:eastAsia="Noto Naskh Arabic"/>
                <w:b w:val="0"/>
                <w:color w:val="1F2937"/>
                <w:sz w:val="15"/>
                <w:rtl/>
              </w:rPr>
              <w:t>99.2%</w:t>
            </w:r>
          </w:p>
        </w:tc>
        <w:tc>
          <w:tcPr>
            <w:tcW w:type="dxa" w:w="4104"/>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يتطابق مع الوعي بالغاية وتوجيه السلوك، وتبقى مقارنة نهائية بملفي آدم وإبليس.</w:t>
            </w:r>
          </w:p>
        </w:tc>
        <w:tc>
          <w:tcPr>
            <w:tcW w:type="dxa" w:w="2088"/>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مراجعة ثلاثية مترابطة.</w:t>
            </w:r>
          </w:p>
        </w:tc>
      </w:tr>
      <w:tr>
        <w:trPr/>
        <w:tc>
          <w:tcPr>
            <w:tcW w:type="dxa" w:w="1512"/>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5"/>
                <w:rtl/>
              </w:rPr>
              <w:t>النتيجة</w:t>
            </w:r>
          </w:p>
        </w:tc>
        <w:tc>
          <w:tcPr>
            <w:tcW w:type="dxa" w:w="1800"/>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الجاهزية الإجمالية</w:t>
            </w:r>
          </w:p>
        </w:tc>
        <w:tc>
          <w:tcPr>
            <w:tcW w:type="dxa" w:w="1080"/>
            <w:shd w:fill="F7FAFD"/>
            <w:tcMar>
              <w:top w:w="80" w:type="dxa"/>
              <w:start w:w="100" w:type="dxa"/>
              <w:bottom w:w="80" w:type="dxa"/>
              <w:end w:w="100" w:type="dxa"/>
            </w:tcMar>
            <w:vAlign w:val="center"/>
          </w:tcPr>
          <w:p>
            <w:pPr>
              <w:spacing w:after="20" w:line="252" w:lineRule="auto"/>
              <w:jc w:val="center"/>
              <w:bidi w:val="1"/>
            </w:pPr>
            <w:r/>
            <w:r>
              <w:rPr>
                <w:rFonts w:ascii="Noto Naskh Arabic" w:hAnsi="Noto Naskh Arabic" w:cs="Noto Naskh Arabic" w:eastAsia="Noto Naskh Arabic"/>
                <w:b w:val="0"/>
                <w:color w:val="1F2937"/>
                <w:sz w:val="15"/>
                <w:rtl/>
              </w:rPr>
              <w:t>99.0%</w:t>
            </w:r>
          </w:p>
        </w:tc>
        <w:tc>
          <w:tcPr>
            <w:tcW w:type="dxa" w:w="4104"/>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الحساسية العقدية وحدود الربط العلمي تمنع ادعاء الكمال دون اعتماد متخصص.</w:t>
            </w:r>
          </w:p>
        </w:tc>
        <w:tc>
          <w:tcPr>
            <w:tcW w:type="dxa" w:w="2088"/>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5"/>
                <w:rtl/>
              </w:rPr>
              <w:t>مراجعة شرعية وتحريرية نهائية.</w:t>
            </w:r>
          </w:p>
        </w:tc>
      </w:tr>
    </w:tbl>
    <w:p>
      <w:pPr>
        <w:spacing w:before="160" w:after="100" w:line="240" w:lineRule="auto"/>
        <w:jc w:val="right"/>
        <w:keepNext/>
        <w:bidi w:val="1"/>
      </w:pPr>
      <w:r>
        <w:rPr>
          <w:rFonts w:ascii="Noto Kufi Arabic" w:hAnsi="Noto Kufi Arabic" w:cs="Noto Kufi Arabic" w:eastAsia="Noto Kufi Arabic"/>
          <w:b/>
          <w:color w:val="1F4E79"/>
          <w:sz w:val="28"/>
          <w:rtl/>
        </w:rPr>
        <w:t>سجل التحسين التكراري</w:t>
      </w:r>
    </w:p>
    <w:tbl>
      <w:tblPr>
        <w:tblW w:type="auto" w:w="0"/>
        <w:jc w:val="center"/>
        <w:tblLayout w:type="fixed"/>
        <w:tblLook w:firstColumn="1" w:firstRow="1" w:lastColumn="0" w:lastRow="0" w:noHBand="0" w:noVBand="1" w:val="04A0"/>
        <w:bidiVisual w:val="1"/>
        <w:tblBorders>
          <w:top w:val="single" w:sz="5" w:color="D1D5DB"/>
          <w:left w:val="single" w:sz="5" w:color="D1D5DB"/>
          <w:bottom w:val="single" w:sz="5" w:color="D1D5DB"/>
          <w:right w:val="single" w:sz="5" w:color="D1D5DB"/>
          <w:insideH w:val="single" w:sz="5" w:color="D1D5DB"/>
          <w:insideV w:val="single" w:sz="5" w:color="D1D5DB"/>
        </w:tblBorders>
      </w:tblPr>
      <w:tblGrid>
        <w:gridCol w:w="3422"/>
        <w:gridCol w:w="3422"/>
        <w:gridCol w:w="3422"/>
      </w:tblGrid>
      <w:tr>
        <w:trPr>
          <w:tblHeader w:val="true"/>
        </w:trPr>
        <w:tc>
          <w:tcPr>
            <w:tcW w:type="dxa" w:w="1584"/>
            <w:shd w:fill="1F4E79"/>
            <w:tcMar>
              <w:top w:w="80" w:type="dxa"/>
              <w:start w:w="100" w:type="dxa"/>
              <w:bottom w:w="80" w:type="dxa"/>
              <w:end w:w="100" w:type="dxa"/>
            </w:tcMar>
            <w:vAlign w:val="center"/>
          </w:tcPr>
          <w:p>
            <w:pPr>
              <w:spacing w:after="20" w:line="252" w:lineRule="auto"/>
              <w:jc w:val="center"/>
              <w:bidi w:val="1"/>
            </w:pPr>
            <w:r/>
            <w:r>
              <w:rPr>
                <w:rFonts w:ascii="Noto Kufi Arabic" w:hAnsi="Noto Kufi Arabic" w:cs="Noto Kufi Arabic" w:eastAsia="Noto Kufi Arabic"/>
                <w:b/>
                <w:color w:val="FFFFFF"/>
                <w:sz w:val="18"/>
                <w:rtl/>
              </w:rPr>
              <w:t>الدورة</w:t>
            </w:r>
          </w:p>
        </w:tc>
        <w:tc>
          <w:tcPr>
            <w:tcW w:type="dxa" w:w="6408"/>
            <w:shd w:fill="1F4E79"/>
            <w:tcMar>
              <w:top w:w="80" w:type="dxa"/>
              <w:start w:w="100" w:type="dxa"/>
              <w:bottom w:w="80" w:type="dxa"/>
              <w:end w:w="100" w:type="dxa"/>
            </w:tcMar>
            <w:vAlign w:val="center"/>
          </w:tcPr>
          <w:p>
            <w:pPr>
              <w:spacing w:after="20" w:line="252" w:lineRule="auto"/>
              <w:jc w:val="center"/>
              <w:bidi w:val="1"/>
            </w:pPr>
            <w:r/>
            <w:r>
              <w:rPr>
                <w:rFonts w:ascii="Noto Kufi Arabic" w:hAnsi="Noto Kufi Arabic" w:cs="Noto Kufi Arabic" w:eastAsia="Noto Kufi Arabic"/>
                <w:b/>
                <w:color w:val="FFFFFF"/>
                <w:sz w:val="18"/>
                <w:rtl/>
              </w:rPr>
              <w:t>ما تم فحصه وتحسينه</w:t>
            </w:r>
          </w:p>
        </w:tc>
        <w:tc>
          <w:tcPr>
            <w:tcW w:type="dxa" w:w="2520"/>
            <w:shd w:fill="1F4E79"/>
            <w:tcMar>
              <w:top w:w="80" w:type="dxa"/>
              <w:start w:w="100" w:type="dxa"/>
              <w:bottom w:w="80" w:type="dxa"/>
              <w:end w:w="100" w:type="dxa"/>
            </w:tcMar>
            <w:vAlign w:val="center"/>
          </w:tcPr>
          <w:p>
            <w:pPr>
              <w:spacing w:after="20" w:line="252" w:lineRule="auto"/>
              <w:jc w:val="center"/>
              <w:bidi w:val="1"/>
            </w:pPr>
            <w:r/>
            <w:r>
              <w:rPr>
                <w:rFonts w:ascii="Noto Kufi Arabic" w:hAnsi="Noto Kufi Arabic" w:cs="Noto Kufi Arabic" w:eastAsia="Noto Kufi Arabic"/>
                <w:b/>
                <w:color w:val="FFFFFF"/>
                <w:sz w:val="18"/>
                <w:rtl/>
              </w:rPr>
              <w:t>الأثر</w:t>
            </w:r>
          </w:p>
        </w:tc>
      </w:tr>
      <w:tr>
        <w:trPr/>
        <w:tc>
          <w:tcPr>
            <w:tcW w:type="dxa" w:w="1584"/>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7"/>
                <w:rtl/>
              </w:rPr>
              <w:t>الدورة الأولى</w:t>
            </w:r>
          </w:p>
        </w:tc>
        <w:tc>
          <w:tcPr>
            <w:tcW w:type="dxa" w:w="6408"/>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7"/>
                <w:rtl/>
              </w:rPr>
              <w:t>مطابقة عنوان القصة ونطاقات الآيات وترتيب المقاطع، ثم إعادة بناء الروابط بين المؤثر والتفكير والقرار والسلوك والعاقبة.</w:t>
            </w:r>
          </w:p>
        </w:tc>
        <w:tc>
          <w:tcPr>
            <w:tcW w:type="dxa" w:w="2520"/>
            <w:shd w:fill="F7FAFD"/>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7"/>
                <w:rtl/>
              </w:rPr>
              <w:t>رفع الدقة النصية وتماسك الحركة.</w:t>
            </w:r>
          </w:p>
        </w:tc>
      </w:tr>
      <w:tr>
        <w:trPr/>
        <w:tc>
          <w:tcPr>
            <w:tcW w:type="dxa" w:w="1584"/>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color w:val="1F4E79"/>
                <w:sz w:val="17"/>
                <w:rtl/>
              </w:rPr>
              <w:t>الدورة الثانية</w:t>
            </w:r>
          </w:p>
        </w:tc>
        <w:tc>
          <w:tcPr>
            <w:tcW w:type="dxa" w:w="6408"/>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7"/>
                <w:rtl/>
              </w:rPr>
              <w:t>مقارنة الوثيقة بقالب قصة إبليس وبملفات الدفعات السابقة، وصقل اللغة والجداول والتطبيقات والضوابط والتصميم.</w:t>
            </w:r>
          </w:p>
        </w:tc>
        <w:tc>
          <w:tcPr>
            <w:tcW w:type="dxa" w:w="2520"/>
            <w:shd w:fill="FFFFFF"/>
            <w:tcMar>
              <w:top w:w="80" w:type="dxa"/>
              <w:start w:w="100" w:type="dxa"/>
              <w:bottom w:w="80" w:type="dxa"/>
              <w:end w:w="100" w:type="dxa"/>
            </w:tcMar>
            <w:vAlign w:val="center"/>
          </w:tcPr>
          <w:p>
            <w:pPr>
              <w:spacing w:after="20" w:line="252" w:lineRule="auto"/>
              <w:jc w:val="right"/>
              <w:bidi w:val="1"/>
            </w:pPr>
            <w:r/>
            <w:r>
              <w:rPr>
                <w:rFonts w:ascii="Noto Naskh Arabic" w:hAnsi="Noto Naskh Arabic" w:cs="Noto Naskh Arabic" w:eastAsia="Noto Naskh Arabic"/>
                <w:b w:val="0"/>
                <w:color w:val="1F2937"/>
                <w:sz w:val="17"/>
                <w:rtl/>
              </w:rPr>
              <w:t>رفع الاتساق والوضوح والجاهزية للتسليم.</w:t>
            </w:r>
          </w:p>
        </w:tc>
      </w:tr>
    </w:tbl>
    <w:p>
      <w:pPr>
        <w:spacing w:before="160" w:after="100" w:line="240" w:lineRule="auto"/>
        <w:jc w:val="right"/>
        <w:keepNext/>
        <w:bidi w:val="1"/>
      </w:pPr>
      <w:r>
        <w:rPr>
          <w:rFonts w:ascii="Noto Kufi Arabic" w:hAnsi="Noto Kufi Arabic" w:cs="Noto Kufi Arabic" w:eastAsia="Noto Kufi Arabic"/>
          <w:b/>
          <w:color w:val="1F4E79"/>
          <w:sz w:val="28"/>
          <w:rtl/>
        </w:rPr>
        <w:t>المراجع والمنهج</w:t>
      </w:r>
    </w:p>
    <w:p>
      <w:pPr>
        <w:spacing w:after="60" w:line="276" w:lineRule="auto"/>
        <w:jc w:val="both"/>
        <w:bidi w:val="1"/>
      </w:pPr>
      <w:r>
        <w:rPr>
          <w:rFonts w:ascii="Noto Naskh Arabic" w:hAnsi="Noto Naskh Arabic" w:cs="Noto Naskh Arabic" w:eastAsia="Noto Naskh Arabic"/>
          <w:b/>
          <w:color w:val="B8860B"/>
          <w:sz w:val="21"/>
          <w:rtl/>
        </w:rPr>
        <w:t xml:space="preserve">• </w:t>
      </w:r>
      <w:r>
        <w:rPr>
          <w:rFonts w:ascii="Noto Naskh Arabic" w:hAnsi="Noto Naskh Arabic" w:cs="Noto Naskh Arabic" w:eastAsia="Noto Naskh Arabic"/>
          <w:b w:val="0"/>
          <w:color w:val="1F2937"/>
          <w:sz w:val="21"/>
          <w:rtl/>
        </w:rPr>
        <w:t>القرآن الكريم - أصل النص، مع إثبات المقاطع وفق ترتيب ملف Excel ومراجعة صحة نطاق السور والآيات.</w:t>
      </w:r>
    </w:p>
    <w:p>
      <w:pPr>
        <w:spacing w:after="60" w:line="276" w:lineRule="auto"/>
        <w:jc w:val="both"/>
        <w:bidi w:val="1"/>
      </w:pPr>
      <w:r>
        <w:rPr>
          <w:rFonts w:ascii="Noto Naskh Arabic" w:hAnsi="Noto Naskh Arabic" w:cs="Noto Naskh Arabic" w:eastAsia="Noto Naskh Arabic"/>
          <w:b/>
          <w:color w:val="B8860B"/>
          <w:sz w:val="21"/>
          <w:rtl/>
        </w:rPr>
        <w:t xml:space="preserve">• </w:t>
      </w:r>
      <w:r>
        <w:rPr>
          <w:rFonts w:ascii="Noto Naskh Arabic" w:hAnsi="Noto Naskh Arabic" w:cs="Noto Naskh Arabic" w:eastAsia="Noto Naskh Arabic"/>
          <w:b w:val="0"/>
          <w:color w:val="1F2937"/>
          <w:sz w:val="21"/>
          <w:rtl/>
        </w:rPr>
        <w:t>سيد قطب، في ظلال القرآن - المرجع التفسيري الرئيس لقراءة وحدة السياق والحركة الإيمانية والنفسية والاجتماعية.</w:t>
      </w:r>
    </w:p>
    <w:p>
      <w:pPr>
        <w:spacing w:after="60" w:line="276" w:lineRule="auto"/>
        <w:jc w:val="both"/>
        <w:bidi w:val="1"/>
      </w:pPr>
      <w:r>
        <w:rPr>
          <w:rFonts w:ascii="Noto Naskh Arabic" w:hAnsi="Noto Naskh Arabic" w:cs="Noto Naskh Arabic" w:eastAsia="Noto Naskh Arabic"/>
          <w:b/>
          <w:color w:val="B8860B"/>
          <w:sz w:val="21"/>
          <w:rtl/>
        </w:rPr>
        <w:t xml:space="preserve">• </w:t>
      </w:r>
      <w:r>
        <w:rPr>
          <w:rFonts w:ascii="Noto Naskh Arabic" w:hAnsi="Noto Naskh Arabic" w:cs="Noto Naskh Arabic" w:eastAsia="Noto Naskh Arabic"/>
          <w:b w:val="0"/>
          <w:color w:val="1F2937"/>
          <w:sz w:val="21"/>
          <w:rtl/>
        </w:rPr>
        <w:t>الطبري، ابن كثير، القرطبي، السعدي - مراجع مساندة لضبط المعنى المشهور ومواضع الاحتمال عند الحاجة.</w:t>
      </w:r>
    </w:p>
    <w:p>
      <w:pPr>
        <w:spacing w:after="60" w:line="276" w:lineRule="auto"/>
        <w:jc w:val="both"/>
        <w:bidi w:val="1"/>
      </w:pPr>
      <w:r>
        <w:rPr>
          <w:rFonts w:ascii="Noto Naskh Arabic" w:hAnsi="Noto Naskh Arabic" w:cs="Noto Naskh Arabic" w:eastAsia="Noto Naskh Arabic"/>
          <w:b/>
          <w:color w:val="B8860B"/>
          <w:sz w:val="21"/>
          <w:rtl/>
        </w:rPr>
        <w:t xml:space="preserve">• </w:t>
      </w:r>
      <w:r>
        <w:rPr>
          <w:rFonts w:ascii="Noto Naskh Arabic" w:hAnsi="Noto Naskh Arabic" w:cs="Noto Naskh Arabic" w:eastAsia="Noto Naskh Arabic"/>
          <w:b w:val="0"/>
          <w:color w:val="1F2937"/>
          <w:sz w:val="21"/>
          <w:rtl/>
        </w:rPr>
        <w:t>التحليل النفسي والقيادي والإداري والتطبيقات المعاصرة صياغة أصلية ضمن إطار المشروع، وليست نقلًا حرفيًا من التفسير.</w:t>
      </w:r>
    </w:p>
    <w:p>
      <w:pPr>
        <w:spacing w:after="60" w:line="276" w:lineRule="auto"/>
        <w:jc w:val="both"/>
        <w:bidi w:val="1"/>
      </w:pPr>
      <w:r>
        <w:rPr>
          <w:rFonts w:ascii="Noto Naskh Arabic" w:hAnsi="Noto Naskh Arabic" w:cs="Noto Naskh Arabic" w:eastAsia="Noto Naskh Arabic"/>
          <w:b/>
          <w:color w:val="B8860B"/>
          <w:sz w:val="21"/>
          <w:rtl/>
        </w:rPr>
        <w:t xml:space="preserve">• </w:t>
      </w:r>
      <w:r>
        <w:rPr>
          <w:rFonts w:ascii="Noto Naskh Arabic" w:hAnsi="Noto Naskh Arabic" w:cs="Noto Naskh Arabic" w:eastAsia="Noto Naskh Arabic"/>
          <w:b w:val="0"/>
          <w:color w:val="1F2937"/>
          <w:sz w:val="21"/>
          <w:rtl/>
        </w:rPr>
        <w:t>المرجع الإلكتروني المستخدم للمراجعة: https://www.islamweb.net/ar/library/content/210/653/</w:t>
      </w:r>
    </w:p>
    <w:p>
      <w:pPr>
        <w:spacing w:after="60" w:line="276" w:lineRule="auto"/>
        <w:jc w:val="both"/>
        <w:bidi w:val="1"/>
      </w:pPr>
      <w:r>
        <w:rPr>
          <w:rFonts w:ascii="Noto Naskh Arabic" w:hAnsi="Noto Naskh Arabic" w:cs="Noto Naskh Arabic" w:eastAsia="Noto Naskh Arabic"/>
          <w:b/>
          <w:color w:val="B8860B"/>
          <w:sz w:val="21"/>
          <w:rtl/>
        </w:rPr>
        <w:t xml:space="preserve">• </w:t>
      </w:r>
      <w:r>
        <w:rPr>
          <w:rFonts w:ascii="Noto Naskh Arabic" w:hAnsi="Noto Naskh Arabic" w:cs="Noto Naskh Arabic" w:eastAsia="Noto Naskh Arabic"/>
          <w:b w:val="0"/>
          <w:color w:val="1F2937"/>
          <w:sz w:val="21"/>
          <w:rtl/>
        </w:rPr>
        <w:t>المرجع الإلكتروني المستخدم للمراجعة: https://www.islamweb.net/ar/library/content/210/910/</w:t>
      </w:r>
    </w:p>
    <w:p>
      <w:pPr>
        <w:spacing w:after="60" w:line="276" w:lineRule="auto"/>
        <w:jc w:val="both"/>
        <w:bidi w:val="1"/>
      </w:pPr>
      <w:r>
        <w:rPr>
          <w:rFonts w:ascii="Noto Naskh Arabic" w:hAnsi="Noto Naskh Arabic" w:cs="Noto Naskh Arabic" w:eastAsia="Noto Naskh Arabic"/>
          <w:b/>
          <w:color w:val="B8860B"/>
          <w:sz w:val="21"/>
          <w:rtl/>
        </w:rPr>
        <w:t xml:space="preserve">• </w:t>
      </w:r>
      <w:r>
        <w:rPr>
          <w:rFonts w:ascii="Noto Naskh Arabic" w:hAnsi="Noto Naskh Arabic" w:cs="Noto Naskh Arabic" w:eastAsia="Noto Naskh Arabic"/>
          <w:b w:val="0"/>
          <w:color w:val="1F2937"/>
          <w:sz w:val="21"/>
          <w:rtl/>
        </w:rPr>
        <w:t>المرجع الإلكتروني المستخدم للمراجعة: https://www.islamweb.net/ar/library/content/210/970/</w:t>
      </w:r>
    </w:p>
    <w:p>
      <w:pPr>
        <w:spacing w:after="60" w:line="276" w:lineRule="auto"/>
        <w:jc w:val="both"/>
        <w:bidi w:val="1"/>
      </w:pPr>
      <w:r>
        <w:rPr>
          <w:rFonts w:ascii="Noto Naskh Arabic" w:hAnsi="Noto Naskh Arabic" w:cs="Noto Naskh Arabic" w:eastAsia="Noto Naskh Arabic"/>
          <w:b/>
          <w:color w:val="B8860B"/>
          <w:sz w:val="21"/>
          <w:rtl/>
        </w:rPr>
        <w:t xml:space="preserve">• </w:t>
      </w:r>
      <w:r>
        <w:rPr>
          <w:rFonts w:ascii="Noto Naskh Arabic" w:hAnsi="Noto Naskh Arabic" w:cs="Noto Naskh Arabic" w:eastAsia="Noto Naskh Arabic"/>
          <w:b w:val="0"/>
          <w:color w:val="1F2937"/>
          <w:sz w:val="21"/>
          <w:rtl/>
        </w:rPr>
        <w:t>تم تجنب الإسرائيليات والتفاصيل التاريخية غير اللازمة، وحفظ الفرق بين دلالة النص والاستنباط التطبيقي.</w:t>
      </w:r>
    </w:p>
    <w:sectPr w:rsidR="00FC693F" w:rsidRPr="0006063C" w:rsidSect="00034616">
      <w:headerReference w:type="default" r:id="rId9"/>
      <w:footerReference w:type="default" r:id="rId10"/>
      <w:pgSz w:w="11909" w:h="16834"/>
      <w:pgMar w:top="763" w:right="821" w:bottom="763" w:left="82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
      <w:rPr>
        <w:rFonts w:ascii="Noto Naskh Arabic" w:hAnsi="Noto Naskh Arabic" w:cs="Noto Naskh Arabic" w:eastAsia="Noto Naskh Arabic"/>
        <w:b w:val="0"/>
        <w:color w:val="6B7280"/>
        <w:sz w:val="17"/>
        <w:rtl/>
      </w:rPr>
      <w:t>إعداد وتحليل | أحمد لبيب</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r>
      <w:rPr>
        <w:rFonts w:ascii="Noto Kufi Arabic" w:hAnsi="Noto Kufi Arabic" w:cs="Noto Kufi Arabic" w:eastAsia="Noto Kufi Arabic"/>
        <w:b/>
        <w:color w:val="1F4E79"/>
        <w:sz w:val="17"/>
        <w:rtl/>
      </w:rPr>
      <w:t>قصص القرآن | قراءة تدبرية تطبيقية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Naskh Arabic" w:hAnsi="Noto Naskh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